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9FEA3E2">
      <w:pPr>
        <w:pStyle w:val="9"/>
        <w:keepNext w:val="0"/>
        <w:keepLines w:val="0"/>
        <w:pageBreakBefore w:val="0"/>
        <w:widowControl w:val="0"/>
        <w:kinsoku/>
        <w:wordWrap/>
        <w:overflowPunct w:val="0"/>
        <w:topLinePunct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eastAsia="zh-CN"/>
        </w:rPr>
        <w:t>布尔津县2025年中央财政林业草原改革发展资金（</w:t>
      </w: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  <w:t>林草支撑保障体系支出-</w:t>
      </w: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eastAsia="zh-CN"/>
        </w:rPr>
        <w:t>草原有害生物防治）项目</w:t>
      </w: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  <w:t>采购需求</w:t>
      </w:r>
    </w:p>
    <w:p w14:paraId="46321F5A">
      <w:pPr>
        <w:pStyle w:val="9"/>
        <w:keepNext w:val="0"/>
        <w:keepLines w:val="0"/>
        <w:pageBreakBefore w:val="0"/>
        <w:widowControl w:val="0"/>
        <w:kinsoku/>
        <w:wordWrap/>
        <w:overflowPunct w:val="0"/>
        <w:topLinePunct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eastAsia="en-US"/>
        </w:rPr>
      </w:pPr>
    </w:p>
    <w:p w14:paraId="3F9289EC">
      <w:pPr>
        <w:pStyle w:val="9"/>
        <w:keepNext w:val="0"/>
        <w:keepLines w:val="0"/>
        <w:pageBreakBefore w:val="0"/>
        <w:widowControl w:val="0"/>
        <w:kinsoku/>
        <w:wordWrap/>
        <w:overflowPunct w:val="0"/>
        <w:topLinePunct/>
        <w:autoSpaceDE/>
        <w:autoSpaceDN/>
        <w:bidi w:val="0"/>
        <w:adjustRightInd/>
        <w:snapToGrid/>
        <w:spacing w:line="560" w:lineRule="exact"/>
        <w:ind w:left="0" w:leftChars="0" w:firstLine="0" w:firstLineChars="0"/>
        <w:textAlignment w:val="auto"/>
        <w:rPr>
          <w:rFonts w:hint="eastAsia" w:ascii="Times New Roman" w:hAnsi="Times New Roman" w:eastAsia="楷体_GB2312" w:cs="Times New Roman"/>
          <w:b/>
          <w:sz w:val="32"/>
          <w:szCs w:val="32"/>
          <w:lang w:eastAsia="en-US"/>
        </w:rPr>
      </w:pPr>
      <w:r>
        <w:rPr>
          <w:rFonts w:hint="eastAsia" w:ascii="Times New Roman" w:hAnsi="Times New Roman" w:eastAsia="楷体_GB2312" w:cs="Times New Roman"/>
          <w:b/>
          <w:sz w:val="32"/>
          <w:szCs w:val="32"/>
          <w:lang w:eastAsia="en-US"/>
        </w:rPr>
        <w:t>防治药剂。</w:t>
      </w:r>
    </w:p>
    <w:p w14:paraId="43B4B336">
      <w:pPr>
        <w:pStyle w:val="9"/>
        <w:keepNext w:val="0"/>
        <w:keepLines w:val="0"/>
        <w:pageBreakBefore w:val="0"/>
        <w:widowControl/>
        <w:kinsoku/>
        <w:wordWrap/>
        <w:overflowPunct w:val="0"/>
        <w:topLinePunct/>
        <w:autoSpaceDE/>
        <w:autoSpaceDN/>
        <w:bidi w:val="0"/>
        <w:adjustRightInd/>
        <w:snapToGrid w:val="0"/>
        <w:spacing w:beforeAutospacing="0" w:afterAutospacing="0" w:line="560" w:lineRule="exact"/>
        <w:ind w:left="0" w:leftChars="0" w:right="0" w:rightChars="0"/>
        <w:jc w:val="left"/>
        <w:textAlignment w:val="baseline"/>
        <w:rPr>
          <w:rFonts w:hint="default" w:ascii="仿宋_GB2312" w:hAnsi="仿宋_GB2312" w:eastAsia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防治区采取药物防除前，应选用合适的药品。在保证防治效果的前提下，尽量选择低毒、低残留的药物品种，推广使用的生物、微生物制剂如：苦参碱、阿魏·印楝素和蛇床子素水乳剂等。如遇</w:t>
      </w:r>
      <w:r>
        <w:rPr>
          <w:rFonts w:hint="eastAsia" w:ascii="仿宋_GB2312" w:hAnsi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严重危害或大规模集中爆发区域</w:t>
      </w:r>
      <w:r>
        <w:rPr>
          <w:rFonts w:hint="default" w:ascii="仿宋_GB2312" w:hAnsi="仿宋_GB2312" w:eastAsia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，可选用</w:t>
      </w:r>
      <w:r>
        <w:rPr>
          <w:rFonts w:hint="eastAsia" w:ascii="仿宋_GB2312" w:hAnsi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高效氯氟氰</w:t>
      </w:r>
      <w:r>
        <w:rPr>
          <w:rFonts w:hint="default" w:ascii="仿宋_GB2312" w:hAnsi="仿宋_GB2312" w:eastAsia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菊酯类药物防治（但尽量选择高效、低残留药品）。</w:t>
      </w:r>
    </w:p>
    <w:p w14:paraId="5A3DAF51">
      <w:pPr>
        <w:pStyle w:val="9"/>
        <w:keepNext w:val="0"/>
        <w:keepLines w:val="0"/>
        <w:pageBreakBefore w:val="0"/>
        <w:widowControl/>
        <w:kinsoku/>
        <w:wordWrap/>
        <w:overflowPunct w:val="0"/>
        <w:topLinePunct/>
        <w:autoSpaceDE/>
        <w:autoSpaceDN/>
        <w:bidi w:val="0"/>
        <w:adjustRightInd/>
        <w:snapToGrid w:val="0"/>
        <w:spacing w:beforeAutospacing="0" w:afterAutospacing="0" w:line="560" w:lineRule="exact"/>
        <w:ind w:left="0" w:leftChars="0" w:right="0" w:rightChars="0"/>
        <w:jc w:val="left"/>
        <w:textAlignment w:val="baseline"/>
        <w:rPr>
          <w:rFonts w:hint="default" w:ascii="仿宋_GB2312" w:hAnsi="仿宋_GB2312" w:eastAsia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本</w:t>
      </w:r>
      <w:r>
        <w:rPr>
          <w:rFonts w:hint="default" w:ascii="仿宋_GB2312" w:hAnsi="仿宋_GB2312" w:eastAsia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项目使用1.5%苦参碱</w:t>
      </w:r>
      <w:r>
        <w:rPr>
          <w:rFonts w:hint="eastAsia" w:ascii="仿宋_GB2312" w:hAnsi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可溶液剂</w:t>
      </w:r>
      <w:r>
        <w:rPr>
          <w:rFonts w:hint="default" w:ascii="仿宋_GB2312" w:hAnsi="仿宋_GB2312" w:eastAsia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进行防控，该药品属长效性绿色环保有机杀虫剂，喷洒后即对害虫产生呼吸抑制作用，使害虫窒息而死。</w:t>
      </w:r>
    </w:p>
    <w:p w14:paraId="0C47D4FE">
      <w:pPr>
        <w:pStyle w:val="9"/>
        <w:keepNext w:val="0"/>
        <w:keepLines w:val="0"/>
        <w:pageBreakBefore w:val="0"/>
        <w:widowControl/>
        <w:kinsoku/>
        <w:wordWrap/>
        <w:overflowPunct w:val="0"/>
        <w:topLinePunct/>
        <w:autoSpaceDE/>
        <w:autoSpaceDN/>
        <w:bidi w:val="0"/>
        <w:adjustRightInd/>
        <w:snapToGrid w:val="0"/>
        <w:spacing w:beforeAutospacing="0" w:afterAutospacing="0" w:line="560" w:lineRule="exact"/>
        <w:ind w:left="0" w:leftChars="0" w:right="0" w:rightChars="0"/>
        <w:jc w:val="left"/>
        <w:textAlignment w:val="baseline"/>
        <w:rPr>
          <w:rFonts w:hint="default" w:ascii="仿宋_GB2312" w:hAnsi="仿宋_GB2312" w:eastAsia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default" w:ascii="仿宋_GB2312" w:hAnsi="仿宋_GB2312" w:eastAsia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药品具体用量、注意事项可参照药品说明书。根据项目区虫害情，苦参碱建议用量</w:t>
      </w:r>
      <w:r>
        <w:rPr>
          <w:rFonts w:hint="eastAsia" w:ascii="仿宋_GB2312" w:hAnsi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3</w:t>
      </w:r>
      <w:r>
        <w:rPr>
          <w:rFonts w:hint="default" w:ascii="仿宋_GB2312" w:hAnsi="仿宋_GB2312" w:eastAsia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0ml/亩 。</w:t>
      </w:r>
      <w:r>
        <w:rPr>
          <w:rFonts w:hint="eastAsia" w:ascii="仿宋_GB2312" w:hAnsi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例：以1.5%苦参碱可溶液剂为例：药物用量按照1亩地用1升水勾兑30ml药物的比例用无人机喷洒，根据虫害密度增加可进行适当增加。</w:t>
      </w:r>
    </w:p>
    <w:p w14:paraId="1AB80B72">
      <w:pPr>
        <w:pStyle w:val="9"/>
        <w:keepNext w:val="0"/>
        <w:keepLines w:val="0"/>
        <w:pageBreakBefore w:val="0"/>
        <w:widowControl/>
        <w:kinsoku/>
        <w:wordWrap/>
        <w:overflowPunct w:val="0"/>
        <w:topLinePunct/>
        <w:autoSpaceDE/>
        <w:autoSpaceDN/>
        <w:bidi w:val="0"/>
        <w:adjustRightInd/>
        <w:snapToGrid w:val="0"/>
        <w:spacing w:beforeAutospacing="0" w:afterAutospacing="0" w:line="560" w:lineRule="exact"/>
        <w:ind w:left="0" w:leftChars="0" w:right="0" w:rightChars="0"/>
        <w:jc w:val="left"/>
        <w:textAlignment w:val="baseline"/>
        <w:rPr>
          <w:rFonts w:hint="eastAsia" w:ascii="仿宋_GB2312" w:hAnsi="仿宋_GB2312" w:eastAsia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（1）采购的药剂应取得国家行业行政主管部门注册登记，也可选用经权威机构认可且产品质量监测符合相关标准的生物农药。</w:t>
      </w:r>
    </w:p>
    <w:p w14:paraId="26A257DC">
      <w:pPr>
        <w:pStyle w:val="9"/>
        <w:keepNext w:val="0"/>
        <w:keepLines w:val="0"/>
        <w:pageBreakBefore w:val="0"/>
        <w:widowControl/>
        <w:kinsoku/>
        <w:wordWrap/>
        <w:overflowPunct w:val="0"/>
        <w:topLinePunct/>
        <w:autoSpaceDE/>
        <w:autoSpaceDN/>
        <w:bidi w:val="0"/>
        <w:adjustRightInd/>
        <w:snapToGrid w:val="0"/>
        <w:spacing w:beforeAutospacing="0" w:afterAutospacing="0" w:line="560" w:lineRule="exact"/>
        <w:ind w:left="0" w:leftChars="0" w:right="0" w:rightChars="0"/>
        <w:jc w:val="left"/>
        <w:textAlignment w:val="baseline"/>
        <w:rPr>
          <w:rFonts w:hint="eastAsia" w:ascii="仿宋_GB2312" w:hAnsi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（2）</w:t>
      </w:r>
      <w:r>
        <w:rPr>
          <w:rFonts w:hint="eastAsia" w:ascii="仿宋_GB2312" w:hAnsi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生产厂家需</w:t>
      </w:r>
      <w:r>
        <w:rPr>
          <w:rFonts w:hint="eastAsia" w:ascii="仿宋_GB2312" w:hAnsi="仿宋_GB2312" w:eastAsia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提供</w:t>
      </w:r>
      <w:r>
        <w:rPr>
          <w:rFonts w:hint="eastAsia" w:ascii="仿宋_GB2312" w:hAnsi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农药三证（“农药标准证、农药</w:t>
      </w:r>
      <w:r>
        <w:rPr>
          <w:rFonts w:hint="eastAsia" w:ascii="仿宋_GB2312" w:hAnsi="仿宋_GB2312" w:eastAsia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生产许可证书</w:t>
      </w:r>
      <w:r>
        <w:rPr>
          <w:rFonts w:hint="eastAsia" w:ascii="仿宋_GB2312" w:hAnsi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、农药登记证”）。</w:t>
      </w:r>
    </w:p>
    <w:p w14:paraId="6DDEF9A1">
      <w:pPr>
        <w:pStyle w:val="9"/>
        <w:keepNext w:val="0"/>
        <w:keepLines w:val="0"/>
        <w:pageBreakBefore w:val="0"/>
        <w:widowControl/>
        <w:kinsoku/>
        <w:wordWrap/>
        <w:overflowPunct w:val="0"/>
        <w:topLinePunct/>
        <w:autoSpaceDE/>
        <w:autoSpaceDN/>
        <w:bidi w:val="0"/>
        <w:adjustRightInd/>
        <w:snapToGrid w:val="0"/>
        <w:spacing w:beforeAutospacing="0" w:afterAutospacing="0" w:line="560" w:lineRule="exact"/>
        <w:ind w:left="0" w:leftChars="0" w:right="0" w:rightChars="0"/>
        <w:jc w:val="left"/>
        <w:textAlignment w:val="baseline"/>
        <w:rPr>
          <w:rFonts w:hint="eastAsia" w:ascii="仿宋_GB2312" w:hAnsi="仿宋_GB2312" w:eastAsia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（3）</w:t>
      </w:r>
      <w:r>
        <w:rPr>
          <w:rFonts w:hint="eastAsia" w:ascii="仿宋_GB2312" w:hAnsi="仿宋_GB2312" w:eastAsia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代理</w:t>
      </w:r>
      <w:r>
        <w:rPr>
          <w:rFonts w:hint="eastAsia" w:ascii="仿宋_GB2312" w:hAnsi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供应</w:t>
      </w:r>
      <w:r>
        <w:rPr>
          <w:rFonts w:hint="eastAsia" w:ascii="仿宋_GB2312" w:hAnsi="仿宋_GB2312" w:eastAsia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商必须具有“农药经营许可证”</w:t>
      </w:r>
      <w:r>
        <w:rPr>
          <w:rFonts w:hint="eastAsia" w:ascii="仿宋_GB2312" w:hAnsi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、生产厂家农药三证（“农药标准证、农药</w:t>
      </w:r>
      <w:r>
        <w:rPr>
          <w:rFonts w:hint="eastAsia" w:ascii="仿宋_GB2312" w:hAnsi="仿宋_GB2312" w:eastAsia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生产许可证书</w:t>
      </w:r>
      <w:r>
        <w:rPr>
          <w:rFonts w:hint="eastAsia" w:ascii="仿宋_GB2312" w:hAnsi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、农药登记证”）</w:t>
      </w:r>
      <w:r>
        <w:rPr>
          <w:rFonts w:hint="eastAsia" w:ascii="仿宋_GB2312" w:hAnsi="仿宋_GB2312" w:eastAsia="仿宋_GB2312" w:cs="仿宋_GB2312"/>
          <w:bCs/>
          <w:snapToGrid w:val="0"/>
          <w:color w:val="auto"/>
          <w:kern w:val="0"/>
          <w:sz w:val="32"/>
          <w:szCs w:val="32"/>
          <w:highlight w:val="none"/>
          <w:lang w:val="en-US" w:eastAsia="zh-CN" w:bidi="ar-SA"/>
        </w:rPr>
        <w:t>所有采购农药必须在指定地点验收交货并提供售后技术指导。</w:t>
      </w:r>
    </w:p>
    <w:p w14:paraId="736635C3"/>
    <w:p w14:paraId="41C712DA">
      <w:pPr>
        <w:pStyle w:val="5"/>
        <w:pageBreakBefore w:val="0"/>
        <w:kinsoku/>
        <w:wordWrap/>
        <w:overflowPunct w:val="0"/>
        <w:topLinePunct/>
        <w:autoSpaceDE/>
        <w:autoSpaceDN/>
        <w:bidi w:val="0"/>
        <w:spacing w:line="400" w:lineRule="exact"/>
        <w:ind w:firstLine="0" w:firstLineChars="0"/>
        <w:jc w:val="center"/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eastAsia="zh-CN"/>
        </w:rPr>
        <w:t>布尔津县2025年中央财</w:t>
      </w:r>
      <w:bookmarkStart w:id="0" w:name="_GoBack"/>
      <w:bookmarkEnd w:id="0"/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eastAsia="zh-CN"/>
        </w:rPr>
        <w:t>政林业草原改革发展资金（</w:t>
      </w: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  <w:t>林草支撑保障体系支出-</w:t>
      </w: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eastAsia="zh-CN"/>
        </w:rPr>
        <w:t>草原有害生物防治）</w:t>
      </w:r>
      <w:r>
        <w:rPr>
          <w:rFonts w:hint="eastAsia" w:ascii="方正仿宋_GBK" w:hAnsi="方正仿宋_GBK" w:eastAsia="方正仿宋_GBK" w:cs="方正仿宋_GBK"/>
          <w:b/>
          <w:bCs/>
          <w:spacing w:val="-2"/>
          <w:sz w:val="32"/>
          <w:szCs w:val="32"/>
          <w:lang w:eastAsia="zh-CN"/>
        </w:rPr>
        <w:t>项目资金</w:t>
      </w:r>
      <w:r>
        <w:rPr>
          <w:rFonts w:hint="eastAsia" w:ascii="方正仿宋_GBK" w:hAnsi="方正仿宋_GBK" w:eastAsia="方正仿宋_GBK" w:cs="方正仿宋_GBK"/>
          <w:b/>
          <w:bCs/>
          <w:spacing w:val="-2"/>
          <w:sz w:val="32"/>
          <w:szCs w:val="32"/>
          <w:lang w:val="en-US" w:eastAsia="zh-CN"/>
        </w:rPr>
        <w:t>预算</w:t>
      </w:r>
      <w:r>
        <w:rPr>
          <w:rFonts w:hint="eastAsia" w:ascii="方正仿宋_GBK" w:hAnsi="方正仿宋_GBK" w:eastAsia="方正仿宋_GBK" w:cs="方正仿宋_GBK"/>
          <w:b/>
          <w:bCs/>
          <w:spacing w:val="-2"/>
          <w:sz w:val="32"/>
          <w:szCs w:val="32"/>
          <w:lang w:eastAsia="zh-CN"/>
        </w:rPr>
        <w:t>表</w:t>
      </w:r>
    </w:p>
    <w:tbl>
      <w:tblPr>
        <w:tblStyle w:val="7"/>
        <w:tblW w:w="9402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9"/>
        <w:gridCol w:w="1090"/>
        <w:gridCol w:w="1142"/>
        <w:gridCol w:w="1002"/>
        <w:gridCol w:w="1278"/>
        <w:gridCol w:w="726"/>
        <w:gridCol w:w="1002"/>
        <w:gridCol w:w="1002"/>
        <w:gridCol w:w="1301"/>
      </w:tblGrid>
      <w:tr w14:paraId="12CA34A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3" w:hRule="atLeast"/>
          <w:jc w:val="center"/>
        </w:trPr>
        <w:tc>
          <w:tcPr>
            <w:tcW w:w="859" w:type="dxa"/>
            <w:noWrap w:val="0"/>
            <w:vAlign w:val="center"/>
          </w:tcPr>
          <w:p w14:paraId="53D10D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1090" w:type="dxa"/>
            <w:noWrap w:val="0"/>
            <w:vAlign w:val="center"/>
          </w:tcPr>
          <w:p w14:paraId="5C8B8C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1142" w:type="dxa"/>
            <w:noWrap w:val="0"/>
            <w:vAlign w:val="center"/>
          </w:tcPr>
          <w:p w14:paraId="1C2F12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分项</w:t>
            </w:r>
          </w:p>
        </w:tc>
        <w:tc>
          <w:tcPr>
            <w:tcW w:w="1002" w:type="dxa"/>
            <w:noWrap w:val="0"/>
            <w:vAlign w:val="center"/>
          </w:tcPr>
          <w:p w14:paraId="76B226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主要建设内容</w:t>
            </w:r>
          </w:p>
        </w:tc>
        <w:tc>
          <w:tcPr>
            <w:tcW w:w="1278" w:type="dxa"/>
            <w:noWrap w:val="0"/>
            <w:vAlign w:val="center"/>
          </w:tcPr>
          <w:p w14:paraId="5C66FDF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规格、型号</w:t>
            </w:r>
          </w:p>
        </w:tc>
        <w:tc>
          <w:tcPr>
            <w:tcW w:w="726" w:type="dxa"/>
            <w:noWrap w:val="0"/>
            <w:vAlign w:val="center"/>
          </w:tcPr>
          <w:p w14:paraId="315857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</w:t>
            </w:r>
          </w:p>
        </w:tc>
        <w:tc>
          <w:tcPr>
            <w:tcW w:w="1002" w:type="dxa"/>
            <w:noWrap w:val="0"/>
            <w:vAlign w:val="center"/>
          </w:tcPr>
          <w:p w14:paraId="363D268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</w:t>
            </w:r>
          </w:p>
        </w:tc>
        <w:tc>
          <w:tcPr>
            <w:tcW w:w="1002" w:type="dxa"/>
            <w:noWrap w:val="0"/>
            <w:vAlign w:val="center"/>
          </w:tcPr>
          <w:p w14:paraId="1D4BA7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单价（元/亩）</w:t>
            </w:r>
          </w:p>
        </w:tc>
        <w:tc>
          <w:tcPr>
            <w:tcW w:w="1301" w:type="dxa"/>
            <w:noWrap w:val="0"/>
            <w:vAlign w:val="center"/>
          </w:tcPr>
          <w:p w14:paraId="18A5D8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金额（万元）</w:t>
            </w:r>
          </w:p>
        </w:tc>
      </w:tr>
      <w:tr w14:paraId="06C745E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1949" w:type="dxa"/>
            <w:gridSpan w:val="2"/>
            <w:noWrap w:val="0"/>
            <w:vAlign w:val="center"/>
          </w:tcPr>
          <w:p w14:paraId="2627367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合计</w:t>
            </w:r>
          </w:p>
        </w:tc>
        <w:tc>
          <w:tcPr>
            <w:tcW w:w="1142" w:type="dxa"/>
            <w:noWrap w:val="0"/>
            <w:vAlign w:val="center"/>
          </w:tcPr>
          <w:p w14:paraId="373766C5">
            <w:pPr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jc w:val="center"/>
              <w:rPr>
                <w:rFonts w:eastAsia="宋体"/>
                <w:b/>
                <w:bCs/>
                <w:sz w:val="20"/>
                <w:szCs w:val="20"/>
              </w:rPr>
            </w:pPr>
          </w:p>
        </w:tc>
        <w:tc>
          <w:tcPr>
            <w:tcW w:w="1002" w:type="dxa"/>
            <w:noWrap w:val="0"/>
            <w:vAlign w:val="center"/>
          </w:tcPr>
          <w:p w14:paraId="48C94FDC">
            <w:pPr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jc w:val="center"/>
              <w:rPr>
                <w:rFonts w:hint="default" w:eastAsia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eastAsia="宋体"/>
                <w:b/>
                <w:bCs/>
                <w:sz w:val="18"/>
                <w:szCs w:val="18"/>
                <w:lang w:val="en-US" w:eastAsia="zh-CN"/>
              </w:rPr>
              <w:t>虫害防治</w:t>
            </w:r>
          </w:p>
        </w:tc>
        <w:tc>
          <w:tcPr>
            <w:tcW w:w="1278" w:type="dxa"/>
            <w:noWrap w:val="0"/>
            <w:vAlign w:val="center"/>
          </w:tcPr>
          <w:p w14:paraId="6821B1D6">
            <w:pPr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jc w:val="center"/>
              <w:rPr>
                <w:rFonts w:eastAsia="宋体"/>
                <w:b/>
                <w:bCs/>
                <w:sz w:val="20"/>
                <w:szCs w:val="20"/>
              </w:rPr>
            </w:pPr>
          </w:p>
        </w:tc>
        <w:tc>
          <w:tcPr>
            <w:tcW w:w="726" w:type="dxa"/>
            <w:noWrap w:val="0"/>
            <w:vAlign w:val="center"/>
          </w:tcPr>
          <w:p w14:paraId="2625750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万亩</w:t>
            </w:r>
          </w:p>
        </w:tc>
        <w:tc>
          <w:tcPr>
            <w:tcW w:w="1002" w:type="dxa"/>
            <w:noWrap w:val="0"/>
            <w:vAlign w:val="center"/>
          </w:tcPr>
          <w:p w14:paraId="6BBF1C2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jc w:val="center"/>
              <w:textAlignment w:val="center"/>
              <w:rPr>
                <w:rFonts w:eastAsia="宋体"/>
                <w:b/>
                <w:bCs/>
                <w:sz w:val="20"/>
                <w:szCs w:val="20"/>
              </w:rPr>
            </w:pPr>
            <w:r>
              <w:rPr>
                <w:rFonts w:hint="eastAsia" w:eastAsia="等线" w:cs="Times New Roman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1002" w:type="dxa"/>
            <w:noWrap w:val="0"/>
            <w:vAlign w:val="center"/>
          </w:tcPr>
          <w:p w14:paraId="4B1194C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jc w:val="center"/>
              <w:textAlignment w:val="center"/>
              <w:rPr>
                <w:rFonts w:hint="default" w:eastAsia="宋体"/>
                <w:b/>
                <w:bCs/>
                <w:sz w:val="20"/>
                <w:szCs w:val="20"/>
                <w:lang w:val="en-US" w:eastAsia="zh-CN"/>
              </w:rPr>
            </w:pPr>
          </w:p>
        </w:tc>
        <w:tc>
          <w:tcPr>
            <w:tcW w:w="1301" w:type="dxa"/>
            <w:noWrap w:val="0"/>
            <w:vAlign w:val="center"/>
          </w:tcPr>
          <w:p w14:paraId="40E8561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jc w:val="center"/>
              <w:textAlignment w:val="center"/>
              <w:rPr>
                <w:rFonts w:hint="default" w:eastAsia="宋体"/>
                <w:b/>
                <w:bCs/>
                <w:sz w:val="20"/>
                <w:szCs w:val="20"/>
                <w:lang w:val="en-US"/>
              </w:rPr>
            </w:pPr>
          </w:p>
        </w:tc>
      </w:tr>
      <w:tr w14:paraId="0B46340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859" w:type="dxa"/>
            <w:noWrap w:val="0"/>
            <w:vAlign w:val="center"/>
          </w:tcPr>
          <w:p w14:paraId="45257D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</w:t>
            </w:r>
          </w:p>
        </w:tc>
        <w:tc>
          <w:tcPr>
            <w:tcW w:w="1090" w:type="dxa"/>
            <w:noWrap w:val="0"/>
            <w:vAlign w:val="center"/>
          </w:tcPr>
          <w:p w14:paraId="3E1A0B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直接费用</w:t>
            </w:r>
          </w:p>
        </w:tc>
        <w:tc>
          <w:tcPr>
            <w:tcW w:w="1142" w:type="dxa"/>
            <w:noWrap w:val="0"/>
            <w:vAlign w:val="center"/>
          </w:tcPr>
          <w:p w14:paraId="1965A2E3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eastAsia="宋体"/>
                <w:b/>
                <w:bCs/>
                <w:sz w:val="20"/>
                <w:szCs w:val="20"/>
              </w:rPr>
            </w:pPr>
          </w:p>
        </w:tc>
        <w:tc>
          <w:tcPr>
            <w:tcW w:w="1002" w:type="dxa"/>
            <w:noWrap w:val="0"/>
            <w:vAlign w:val="center"/>
          </w:tcPr>
          <w:p w14:paraId="61E7353F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eastAsia="宋体"/>
                <w:b/>
                <w:bCs/>
                <w:sz w:val="20"/>
                <w:szCs w:val="20"/>
              </w:rPr>
            </w:pPr>
          </w:p>
        </w:tc>
        <w:tc>
          <w:tcPr>
            <w:tcW w:w="1278" w:type="dxa"/>
            <w:noWrap w:val="0"/>
            <w:vAlign w:val="center"/>
          </w:tcPr>
          <w:p w14:paraId="4719F8B0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eastAsia="宋体"/>
                <w:b/>
                <w:bCs/>
                <w:sz w:val="20"/>
                <w:szCs w:val="20"/>
              </w:rPr>
            </w:pPr>
          </w:p>
        </w:tc>
        <w:tc>
          <w:tcPr>
            <w:tcW w:w="726" w:type="dxa"/>
            <w:noWrap w:val="0"/>
            <w:vAlign w:val="center"/>
          </w:tcPr>
          <w:p w14:paraId="02878406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eastAsia="宋体"/>
                <w:b/>
                <w:bCs/>
                <w:sz w:val="20"/>
                <w:szCs w:val="20"/>
              </w:rPr>
            </w:pPr>
          </w:p>
        </w:tc>
        <w:tc>
          <w:tcPr>
            <w:tcW w:w="1002" w:type="dxa"/>
            <w:noWrap w:val="0"/>
            <w:vAlign w:val="center"/>
          </w:tcPr>
          <w:p w14:paraId="18ECA56D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eastAsia="宋体"/>
                <w:b/>
                <w:bCs/>
                <w:sz w:val="20"/>
                <w:szCs w:val="20"/>
              </w:rPr>
            </w:pPr>
          </w:p>
        </w:tc>
        <w:tc>
          <w:tcPr>
            <w:tcW w:w="1002" w:type="dxa"/>
            <w:noWrap w:val="0"/>
            <w:vAlign w:val="center"/>
          </w:tcPr>
          <w:p w14:paraId="009EB014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eastAsia="宋体"/>
                <w:b/>
                <w:bCs/>
                <w:sz w:val="20"/>
                <w:szCs w:val="20"/>
              </w:rPr>
            </w:pPr>
          </w:p>
        </w:tc>
        <w:tc>
          <w:tcPr>
            <w:tcW w:w="1301" w:type="dxa"/>
            <w:noWrap w:val="0"/>
            <w:vAlign w:val="center"/>
          </w:tcPr>
          <w:p w14:paraId="29C920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eastAsia="宋体"/>
                <w:b/>
                <w:bCs/>
                <w:sz w:val="20"/>
                <w:szCs w:val="20"/>
                <w:lang w:val="en-US"/>
              </w:rPr>
            </w:pPr>
          </w:p>
        </w:tc>
      </w:tr>
      <w:tr w14:paraId="6D16C7E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  <w:jc w:val="center"/>
        </w:trPr>
        <w:tc>
          <w:tcPr>
            <w:tcW w:w="859" w:type="dxa"/>
            <w:noWrap w:val="0"/>
            <w:vAlign w:val="center"/>
          </w:tcPr>
          <w:p w14:paraId="2C75F2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（一）</w:t>
            </w:r>
          </w:p>
        </w:tc>
        <w:tc>
          <w:tcPr>
            <w:tcW w:w="1090" w:type="dxa"/>
            <w:noWrap w:val="0"/>
            <w:vAlign w:val="center"/>
          </w:tcPr>
          <w:p w14:paraId="0E5CD4A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草原虫</w:t>
            </w:r>
          </w:p>
          <w:p w14:paraId="0ED6D3C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害防治</w:t>
            </w:r>
            <w:r>
              <w:rPr>
                <w:rStyle w:val="10"/>
                <w:rFonts w:eastAsia="宋体"/>
                <w:snapToGrid w:val="0"/>
                <w:lang w:val="en-US" w:eastAsia="zh-CN" w:bidi="ar"/>
              </w:rPr>
              <w:t>——</w:t>
            </w:r>
            <w:r>
              <w:rPr>
                <w:rStyle w:val="11"/>
                <w:snapToGrid w:val="0"/>
                <w:lang w:val="en-US" w:eastAsia="zh-CN" w:bidi="ar"/>
              </w:rPr>
              <w:t>药剂药械</w:t>
            </w:r>
          </w:p>
        </w:tc>
        <w:tc>
          <w:tcPr>
            <w:tcW w:w="1142" w:type="dxa"/>
            <w:noWrap w:val="0"/>
            <w:vAlign w:val="center"/>
          </w:tcPr>
          <w:p w14:paraId="2160DB7B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  <w:lang w:eastAsia="zh-CN"/>
              </w:rPr>
            </w:pPr>
          </w:p>
        </w:tc>
        <w:tc>
          <w:tcPr>
            <w:tcW w:w="1002" w:type="dxa"/>
            <w:noWrap w:val="0"/>
            <w:vAlign w:val="center"/>
          </w:tcPr>
          <w:p w14:paraId="7418FB9B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eastAsia="宋体"/>
                <w:b/>
                <w:bCs/>
                <w:sz w:val="20"/>
                <w:szCs w:val="20"/>
                <w:lang w:eastAsia="zh-CN"/>
              </w:rPr>
            </w:pPr>
          </w:p>
        </w:tc>
        <w:tc>
          <w:tcPr>
            <w:tcW w:w="1278" w:type="dxa"/>
            <w:noWrap w:val="0"/>
            <w:vAlign w:val="center"/>
          </w:tcPr>
          <w:p w14:paraId="02407F12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eastAsia="宋体"/>
                <w:b/>
                <w:bCs/>
                <w:sz w:val="20"/>
                <w:szCs w:val="20"/>
                <w:lang w:eastAsia="zh-CN"/>
              </w:rPr>
            </w:pPr>
          </w:p>
        </w:tc>
        <w:tc>
          <w:tcPr>
            <w:tcW w:w="726" w:type="dxa"/>
            <w:noWrap w:val="0"/>
            <w:vAlign w:val="center"/>
          </w:tcPr>
          <w:p w14:paraId="0CB2FC14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eastAsia="宋体"/>
                <w:b/>
                <w:bCs/>
                <w:sz w:val="20"/>
                <w:szCs w:val="20"/>
                <w:lang w:eastAsia="zh-CN"/>
              </w:rPr>
            </w:pPr>
          </w:p>
        </w:tc>
        <w:tc>
          <w:tcPr>
            <w:tcW w:w="1002" w:type="dxa"/>
            <w:noWrap w:val="0"/>
            <w:vAlign w:val="center"/>
          </w:tcPr>
          <w:p w14:paraId="152F4BEA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eastAsia="宋体"/>
                <w:b/>
                <w:bCs/>
                <w:sz w:val="20"/>
                <w:szCs w:val="20"/>
                <w:lang w:eastAsia="zh-CN"/>
              </w:rPr>
            </w:pPr>
          </w:p>
        </w:tc>
        <w:tc>
          <w:tcPr>
            <w:tcW w:w="1002" w:type="dxa"/>
            <w:noWrap w:val="0"/>
            <w:vAlign w:val="center"/>
          </w:tcPr>
          <w:p w14:paraId="4F9D896D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eastAsia="宋体"/>
                <w:b/>
                <w:bCs/>
                <w:sz w:val="20"/>
                <w:szCs w:val="20"/>
                <w:lang w:eastAsia="zh-CN"/>
              </w:rPr>
            </w:pPr>
          </w:p>
        </w:tc>
        <w:tc>
          <w:tcPr>
            <w:tcW w:w="1301" w:type="dxa"/>
            <w:noWrap/>
            <w:vAlign w:val="center"/>
          </w:tcPr>
          <w:p w14:paraId="395E500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</w:tr>
      <w:tr w14:paraId="27182EF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  <w:jc w:val="center"/>
        </w:trPr>
        <w:tc>
          <w:tcPr>
            <w:tcW w:w="859" w:type="dxa"/>
            <w:noWrap w:val="0"/>
            <w:vAlign w:val="center"/>
          </w:tcPr>
          <w:p w14:paraId="441F9C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eastAsia="宋体"/>
                <w:sz w:val="20"/>
                <w:szCs w:val="20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1.1</w:t>
            </w:r>
          </w:p>
        </w:tc>
        <w:tc>
          <w:tcPr>
            <w:tcW w:w="1090" w:type="dxa"/>
            <w:noWrap w:val="0"/>
            <w:vAlign w:val="center"/>
          </w:tcPr>
          <w:p w14:paraId="6D6354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药品购置</w:t>
            </w:r>
          </w:p>
        </w:tc>
        <w:tc>
          <w:tcPr>
            <w:tcW w:w="1142" w:type="dxa"/>
            <w:noWrap w:val="0"/>
            <w:vAlign w:val="center"/>
          </w:tcPr>
          <w:p w14:paraId="2B83D990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</w:p>
        </w:tc>
        <w:tc>
          <w:tcPr>
            <w:tcW w:w="1002" w:type="dxa"/>
            <w:noWrap w:val="0"/>
            <w:vAlign w:val="center"/>
          </w:tcPr>
          <w:p w14:paraId="54D3376C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</w:p>
        </w:tc>
        <w:tc>
          <w:tcPr>
            <w:tcW w:w="1278" w:type="dxa"/>
            <w:noWrap w:val="0"/>
            <w:vAlign w:val="center"/>
          </w:tcPr>
          <w:p w14:paraId="2C8A73C2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eastAsia="宋体"/>
                <w:sz w:val="20"/>
                <w:szCs w:val="20"/>
              </w:rPr>
            </w:pPr>
          </w:p>
        </w:tc>
        <w:tc>
          <w:tcPr>
            <w:tcW w:w="726" w:type="dxa"/>
            <w:noWrap w:val="0"/>
            <w:vAlign w:val="center"/>
          </w:tcPr>
          <w:p w14:paraId="523175CB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</w:p>
        </w:tc>
        <w:tc>
          <w:tcPr>
            <w:tcW w:w="1002" w:type="dxa"/>
            <w:noWrap w:val="0"/>
            <w:vAlign w:val="center"/>
          </w:tcPr>
          <w:p w14:paraId="2CEF5EE2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eastAsia="宋体"/>
                <w:sz w:val="20"/>
                <w:szCs w:val="20"/>
              </w:rPr>
            </w:pPr>
          </w:p>
        </w:tc>
        <w:tc>
          <w:tcPr>
            <w:tcW w:w="1002" w:type="dxa"/>
            <w:noWrap w:val="0"/>
            <w:vAlign w:val="center"/>
          </w:tcPr>
          <w:p w14:paraId="1A760CCE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eastAsia="宋体"/>
                <w:sz w:val="20"/>
                <w:szCs w:val="20"/>
              </w:rPr>
            </w:pPr>
          </w:p>
        </w:tc>
        <w:tc>
          <w:tcPr>
            <w:tcW w:w="1301" w:type="dxa"/>
            <w:noWrap w:val="0"/>
            <w:vAlign w:val="center"/>
          </w:tcPr>
          <w:p w14:paraId="7A8112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eastAsia="宋体"/>
                <w:sz w:val="20"/>
                <w:szCs w:val="20"/>
                <w:lang w:val="en-US"/>
              </w:rPr>
            </w:pPr>
            <w:r>
              <w:rPr>
                <w:rFonts w:hint="eastAsia" w:eastAsia="等线" w:cs="Times New Roman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</w:tr>
      <w:tr w14:paraId="6E08C1C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5" w:hRule="atLeast"/>
          <w:jc w:val="center"/>
        </w:trPr>
        <w:tc>
          <w:tcPr>
            <w:tcW w:w="859" w:type="dxa"/>
            <w:noWrap w:val="0"/>
            <w:vAlign w:val="center"/>
          </w:tcPr>
          <w:p w14:paraId="191293B4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</w:p>
        </w:tc>
        <w:tc>
          <w:tcPr>
            <w:tcW w:w="1090" w:type="dxa"/>
            <w:noWrap w:val="0"/>
            <w:vAlign w:val="center"/>
          </w:tcPr>
          <w:p w14:paraId="5B7FE535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1142" w:type="dxa"/>
            <w:noWrap/>
            <w:vAlign w:val="center"/>
          </w:tcPr>
          <w:p w14:paraId="5EDB62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药品购置费</w:t>
            </w:r>
          </w:p>
        </w:tc>
        <w:tc>
          <w:tcPr>
            <w:tcW w:w="1002" w:type="dxa"/>
            <w:noWrap/>
            <w:vAlign w:val="center"/>
          </w:tcPr>
          <w:p w14:paraId="0878B0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防治药品采购</w:t>
            </w:r>
          </w:p>
        </w:tc>
        <w:tc>
          <w:tcPr>
            <w:tcW w:w="1278" w:type="dxa"/>
            <w:noWrap/>
            <w:vAlign w:val="center"/>
          </w:tcPr>
          <w:p w14:paraId="51731C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1.5%</w:t>
            </w:r>
            <w:r>
              <w:rPr>
                <w:rStyle w:val="12"/>
                <w:snapToGrid w:val="0"/>
                <w:lang w:val="en-US" w:eastAsia="zh-CN" w:bidi="ar"/>
              </w:rPr>
              <w:t>苦参碱可溶液剂</w:t>
            </w:r>
          </w:p>
        </w:tc>
        <w:tc>
          <w:tcPr>
            <w:tcW w:w="726" w:type="dxa"/>
            <w:noWrap w:val="0"/>
            <w:vAlign w:val="center"/>
          </w:tcPr>
          <w:p w14:paraId="2D4BAF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吨</w:t>
            </w:r>
          </w:p>
        </w:tc>
        <w:tc>
          <w:tcPr>
            <w:tcW w:w="1002" w:type="dxa"/>
            <w:noWrap/>
            <w:vAlign w:val="center"/>
          </w:tcPr>
          <w:p w14:paraId="4967E5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宋体" w:hAnsi="宋体" w:eastAsia="宋体" w:cs="宋体"/>
                <w:sz w:val="20"/>
                <w:szCs w:val="20"/>
                <w:lang w:val="en-US"/>
              </w:rPr>
            </w:pPr>
            <w:r>
              <w:rPr>
                <w:rFonts w:hint="eastAsia" w:eastAsia="等线" w:cs="Times New Roman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002" w:type="dxa"/>
            <w:noWrap/>
            <w:vAlign w:val="center"/>
          </w:tcPr>
          <w:p w14:paraId="7AB9E3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  <w:r>
              <w:rPr>
                <w:rFonts w:hint="default" w:ascii="Times New Roman" w:hAnsi="Times New Roman" w:eastAsia="等线" w:cs="Times New Roman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  <w:r>
              <w:rPr>
                <w:rStyle w:val="12"/>
                <w:snapToGrid w:val="0"/>
                <w:lang w:val="en-US" w:eastAsia="zh-CN" w:bidi="ar"/>
              </w:rPr>
              <w:t>万元</w:t>
            </w:r>
            <w:r>
              <w:rPr>
                <w:rStyle w:val="13"/>
                <w:rFonts w:eastAsia="等线"/>
                <w:snapToGrid w:val="0"/>
                <w:lang w:val="en-US" w:eastAsia="zh-CN" w:bidi="ar"/>
              </w:rPr>
              <w:t>/</w:t>
            </w:r>
            <w:r>
              <w:rPr>
                <w:rStyle w:val="12"/>
                <w:snapToGrid w:val="0"/>
                <w:lang w:val="en-US" w:eastAsia="zh-CN" w:bidi="ar"/>
              </w:rPr>
              <w:t>吨</w:t>
            </w:r>
          </w:p>
        </w:tc>
        <w:tc>
          <w:tcPr>
            <w:tcW w:w="1301" w:type="dxa"/>
            <w:noWrap/>
            <w:vAlign w:val="center"/>
          </w:tcPr>
          <w:p w14:paraId="652A9BC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宋体" w:hAnsi="宋体" w:eastAsia="宋体" w:cs="宋体"/>
                <w:sz w:val="20"/>
                <w:szCs w:val="20"/>
                <w:lang w:val="en-US"/>
              </w:rPr>
            </w:pPr>
            <w:r>
              <w:rPr>
                <w:rFonts w:hint="eastAsia" w:eastAsia="等线" w:cs="Times New Roman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</w:tr>
      <w:tr w14:paraId="40D519F2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859" w:type="dxa"/>
            <w:noWrap w:val="0"/>
            <w:vAlign w:val="center"/>
          </w:tcPr>
          <w:p w14:paraId="55E2F5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（二）</w:t>
            </w:r>
          </w:p>
        </w:tc>
        <w:tc>
          <w:tcPr>
            <w:tcW w:w="1090" w:type="dxa"/>
            <w:noWrap w:val="0"/>
            <w:vAlign w:val="center"/>
          </w:tcPr>
          <w:p w14:paraId="1BBDE44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作业服务</w:t>
            </w:r>
          </w:p>
        </w:tc>
        <w:tc>
          <w:tcPr>
            <w:tcW w:w="1142" w:type="dxa"/>
            <w:noWrap w:val="0"/>
            <w:vAlign w:val="center"/>
          </w:tcPr>
          <w:p w14:paraId="2DDA79D4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</w:p>
        </w:tc>
        <w:tc>
          <w:tcPr>
            <w:tcW w:w="1002" w:type="dxa"/>
            <w:noWrap w:val="0"/>
            <w:vAlign w:val="center"/>
          </w:tcPr>
          <w:p w14:paraId="54EE6611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</w:p>
        </w:tc>
        <w:tc>
          <w:tcPr>
            <w:tcW w:w="1278" w:type="dxa"/>
            <w:noWrap w:val="0"/>
            <w:vAlign w:val="center"/>
          </w:tcPr>
          <w:p w14:paraId="37E0465C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</w:p>
        </w:tc>
        <w:tc>
          <w:tcPr>
            <w:tcW w:w="726" w:type="dxa"/>
            <w:noWrap w:val="0"/>
            <w:vAlign w:val="center"/>
          </w:tcPr>
          <w:p w14:paraId="6808BBDC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</w:p>
        </w:tc>
        <w:tc>
          <w:tcPr>
            <w:tcW w:w="1002" w:type="dxa"/>
            <w:noWrap/>
            <w:vAlign w:val="center"/>
          </w:tcPr>
          <w:p w14:paraId="5D3A4E43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</w:p>
        </w:tc>
        <w:tc>
          <w:tcPr>
            <w:tcW w:w="1002" w:type="dxa"/>
            <w:noWrap/>
            <w:vAlign w:val="center"/>
          </w:tcPr>
          <w:p w14:paraId="21590A87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ascii="宋体" w:hAnsi="宋体" w:eastAsia="宋体" w:cs="宋体"/>
                <w:sz w:val="20"/>
                <w:szCs w:val="20"/>
              </w:rPr>
            </w:pPr>
          </w:p>
        </w:tc>
        <w:tc>
          <w:tcPr>
            <w:tcW w:w="1301" w:type="dxa"/>
            <w:noWrap/>
            <w:vAlign w:val="center"/>
          </w:tcPr>
          <w:p w14:paraId="132A32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宋体" w:hAnsi="宋体" w:eastAsia="宋体" w:cs="宋体"/>
                <w:sz w:val="20"/>
                <w:szCs w:val="20"/>
                <w:lang w:val="en-US"/>
              </w:rPr>
            </w:pPr>
          </w:p>
        </w:tc>
      </w:tr>
      <w:tr w14:paraId="7B76FF4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  <w:jc w:val="center"/>
        </w:trPr>
        <w:tc>
          <w:tcPr>
            <w:tcW w:w="859" w:type="dxa"/>
            <w:noWrap w:val="0"/>
            <w:vAlign w:val="center"/>
          </w:tcPr>
          <w:p w14:paraId="27F86A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snapToGrid w:val="0"/>
                <w:color w:val="000000"/>
                <w:kern w:val="0"/>
                <w:sz w:val="20"/>
                <w:szCs w:val="20"/>
                <w:highlight w:val="none"/>
                <w:u w:val="none"/>
                <w:lang w:val="en-US" w:eastAsia="zh-CN" w:bidi="ar"/>
              </w:rPr>
              <w:t>（三）</w:t>
            </w:r>
          </w:p>
        </w:tc>
        <w:tc>
          <w:tcPr>
            <w:tcW w:w="1090" w:type="dxa"/>
            <w:noWrap w:val="0"/>
            <w:vAlign w:val="center"/>
          </w:tcPr>
          <w:p w14:paraId="07E104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0"/>
                <w:szCs w:val="20"/>
                <w:highlight w:val="none"/>
                <w:u w:val="none"/>
                <w:lang w:val="en-US" w:eastAsia="zh-CN"/>
              </w:rPr>
              <w:t>虫害防前调查及防后评估</w:t>
            </w:r>
          </w:p>
        </w:tc>
        <w:tc>
          <w:tcPr>
            <w:tcW w:w="1142" w:type="dxa"/>
            <w:noWrap w:val="0"/>
            <w:vAlign w:val="center"/>
          </w:tcPr>
          <w:p w14:paraId="12C684E6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</w:p>
        </w:tc>
        <w:tc>
          <w:tcPr>
            <w:tcW w:w="1002" w:type="dxa"/>
            <w:noWrap w:val="0"/>
            <w:vAlign w:val="center"/>
          </w:tcPr>
          <w:p w14:paraId="739ADCE7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</w:p>
        </w:tc>
        <w:tc>
          <w:tcPr>
            <w:tcW w:w="1278" w:type="dxa"/>
            <w:noWrap w:val="0"/>
            <w:vAlign w:val="center"/>
          </w:tcPr>
          <w:p w14:paraId="7982D396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</w:p>
        </w:tc>
        <w:tc>
          <w:tcPr>
            <w:tcW w:w="726" w:type="dxa"/>
            <w:noWrap w:val="0"/>
            <w:vAlign w:val="center"/>
          </w:tcPr>
          <w:p w14:paraId="5277AE41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sz w:val="20"/>
                <w:szCs w:val="20"/>
              </w:rPr>
            </w:pPr>
          </w:p>
        </w:tc>
        <w:tc>
          <w:tcPr>
            <w:tcW w:w="1002" w:type="dxa"/>
            <w:noWrap w:val="0"/>
            <w:vAlign w:val="center"/>
          </w:tcPr>
          <w:p w14:paraId="449939BA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eastAsia="宋体"/>
                <w:sz w:val="20"/>
                <w:szCs w:val="20"/>
                <w:lang w:val="en-US"/>
              </w:rPr>
            </w:pPr>
            <w:r>
              <w:rPr>
                <w:rFonts w:hint="eastAsia" w:eastAsia="宋体"/>
                <w:b/>
                <w:bCs/>
                <w:sz w:val="20"/>
                <w:szCs w:val="20"/>
                <w:highlight w:val="none"/>
                <w:lang w:val="en-US" w:eastAsia="zh-CN"/>
              </w:rPr>
              <w:t>60000</w:t>
            </w:r>
          </w:p>
        </w:tc>
        <w:tc>
          <w:tcPr>
            <w:tcW w:w="1002" w:type="dxa"/>
            <w:noWrap w:val="0"/>
            <w:vAlign w:val="center"/>
          </w:tcPr>
          <w:p w14:paraId="1C89DA36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eastAsia="宋体"/>
                <w:sz w:val="20"/>
                <w:szCs w:val="20"/>
              </w:rPr>
            </w:pPr>
            <w:r>
              <w:rPr>
                <w:rFonts w:hint="default" w:ascii="Arial" w:hAnsi="Arial" w:eastAsia="宋体" w:cs="Arial"/>
                <w:b/>
                <w:bCs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≤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4"/>
                <w:szCs w:val="24"/>
                <w:highlight w:val="none"/>
                <w:u w:val="none"/>
                <w:lang w:val="en-US" w:eastAsia="zh-CN"/>
              </w:rPr>
              <w:t>0.4</w:t>
            </w:r>
            <w:r>
              <w:rPr>
                <w:rStyle w:val="14"/>
                <w:snapToGrid w:val="0"/>
                <w:color w:val="auto"/>
                <w:highlight w:val="none"/>
                <w:lang w:val="en-US" w:eastAsia="zh-CN" w:bidi="ar"/>
              </w:rPr>
              <w:t>元</w:t>
            </w:r>
            <w:r>
              <w:rPr>
                <w:rStyle w:val="15"/>
                <w:rFonts w:eastAsia="宋体"/>
                <w:snapToGrid w:val="0"/>
                <w:color w:val="auto"/>
                <w:highlight w:val="none"/>
                <w:lang w:val="en-US" w:eastAsia="zh-CN" w:bidi="ar"/>
              </w:rPr>
              <w:t>/</w:t>
            </w:r>
            <w:r>
              <w:rPr>
                <w:rStyle w:val="14"/>
                <w:snapToGrid w:val="0"/>
                <w:color w:val="auto"/>
                <w:highlight w:val="none"/>
                <w:lang w:val="en-US" w:eastAsia="zh-CN" w:bidi="ar"/>
              </w:rPr>
              <w:t>亩</w:t>
            </w:r>
          </w:p>
        </w:tc>
        <w:tc>
          <w:tcPr>
            <w:tcW w:w="1301" w:type="dxa"/>
            <w:noWrap w:val="0"/>
            <w:vAlign w:val="center"/>
          </w:tcPr>
          <w:p w14:paraId="6D3281B5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default" w:ascii="宋体" w:hAnsi="宋体" w:eastAsia="宋体" w:cs="宋体"/>
                <w:sz w:val="20"/>
                <w:szCs w:val="20"/>
                <w:lang w:val="en-US" w:eastAsia="zh-CN"/>
              </w:rPr>
            </w:pPr>
          </w:p>
        </w:tc>
      </w:tr>
      <w:tr w14:paraId="272100A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859" w:type="dxa"/>
            <w:noWrap w:val="0"/>
            <w:vAlign w:val="center"/>
          </w:tcPr>
          <w:p w14:paraId="4333311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0"/>
                <w:szCs w:val="20"/>
                <w:lang w:val="en-US" w:eastAsia="zh-CN"/>
              </w:rPr>
              <w:t>3.1</w:t>
            </w:r>
          </w:p>
        </w:tc>
        <w:tc>
          <w:tcPr>
            <w:tcW w:w="1090" w:type="dxa"/>
            <w:noWrap w:val="0"/>
            <w:vAlign w:val="center"/>
          </w:tcPr>
          <w:p w14:paraId="6CF67E2B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  <w:lang w:eastAsia="zh-CN" w:bidi="ar"/>
              </w:rPr>
            </w:pPr>
          </w:p>
        </w:tc>
        <w:tc>
          <w:tcPr>
            <w:tcW w:w="1142" w:type="dxa"/>
            <w:noWrap w:val="0"/>
            <w:vAlign w:val="center"/>
          </w:tcPr>
          <w:p w14:paraId="05BE18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eastAsia="宋体"/>
                <w:b/>
                <w:bCs/>
                <w:sz w:val="20"/>
                <w:szCs w:val="20"/>
              </w:rPr>
            </w:pPr>
          </w:p>
        </w:tc>
        <w:tc>
          <w:tcPr>
            <w:tcW w:w="1002" w:type="dxa"/>
            <w:noWrap w:val="0"/>
            <w:vAlign w:val="center"/>
          </w:tcPr>
          <w:p w14:paraId="262D97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1278" w:type="dxa"/>
            <w:noWrap w:val="0"/>
            <w:vAlign w:val="center"/>
          </w:tcPr>
          <w:p w14:paraId="69CEDFE1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eastAsia="宋体"/>
                <w:b/>
                <w:bCs/>
                <w:sz w:val="20"/>
                <w:szCs w:val="20"/>
              </w:rPr>
            </w:pPr>
          </w:p>
        </w:tc>
        <w:tc>
          <w:tcPr>
            <w:tcW w:w="726" w:type="dxa"/>
            <w:noWrap w:val="0"/>
            <w:vAlign w:val="center"/>
          </w:tcPr>
          <w:p w14:paraId="0B5C4A6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</w:rPr>
            </w:pPr>
          </w:p>
        </w:tc>
        <w:tc>
          <w:tcPr>
            <w:tcW w:w="1002" w:type="dxa"/>
            <w:noWrap w:val="0"/>
            <w:vAlign w:val="center"/>
          </w:tcPr>
          <w:p w14:paraId="1ED7B73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eastAsia="宋体"/>
                <w:b/>
                <w:bCs/>
                <w:sz w:val="20"/>
                <w:szCs w:val="20"/>
                <w:lang w:val="en-US"/>
              </w:rPr>
            </w:pPr>
          </w:p>
        </w:tc>
        <w:tc>
          <w:tcPr>
            <w:tcW w:w="1002" w:type="dxa"/>
            <w:noWrap w:val="0"/>
            <w:vAlign w:val="center"/>
          </w:tcPr>
          <w:p w14:paraId="613E074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eastAsia="宋体"/>
                <w:b/>
                <w:bCs/>
                <w:sz w:val="20"/>
                <w:szCs w:val="20"/>
              </w:rPr>
            </w:pPr>
          </w:p>
        </w:tc>
        <w:tc>
          <w:tcPr>
            <w:tcW w:w="1301" w:type="dxa"/>
            <w:noWrap w:val="0"/>
            <w:vAlign w:val="center"/>
          </w:tcPr>
          <w:p w14:paraId="74102E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eastAsia="宋体"/>
                <w:b/>
                <w:bCs/>
                <w:sz w:val="20"/>
                <w:szCs w:val="20"/>
                <w:lang w:val="en-US" w:eastAsia="zh-CN" w:bidi="ar"/>
              </w:rPr>
            </w:pPr>
          </w:p>
        </w:tc>
      </w:tr>
      <w:tr w14:paraId="056F035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0" w:hRule="atLeast"/>
          <w:jc w:val="center"/>
        </w:trPr>
        <w:tc>
          <w:tcPr>
            <w:tcW w:w="859" w:type="dxa"/>
            <w:noWrap w:val="0"/>
            <w:vAlign w:val="center"/>
          </w:tcPr>
          <w:p w14:paraId="3EC25AE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  <w:highlight w:val="none"/>
                <w:lang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3.2</w:t>
            </w:r>
          </w:p>
        </w:tc>
        <w:tc>
          <w:tcPr>
            <w:tcW w:w="1090" w:type="dxa"/>
            <w:noWrap w:val="0"/>
            <w:vAlign w:val="center"/>
          </w:tcPr>
          <w:p w14:paraId="6E555E14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  <w:highlight w:val="none"/>
                <w:lang w:eastAsia="zh-CN" w:bidi="ar"/>
              </w:rPr>
            </w:pPr>
          </w:p>
        </w:tc>
        <w:tc>
          <w:tcPr>
            <w:tcW w:w="1142" w:type="dxa"/>
            <w:noWrap w:val="0"/>
            <w:vAlign w:val="center"/>
          </w:tcPr>
          <w:p w14:paraId="2F25617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eastAsia="宋体"/>
                <w:b/>
                <w:bCs/>
                <w:sz w:val="20"/>
                <w:szCs w:val="20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专用材料购置费</w:t>
            </w:r>
          </w:p>
        </w:tc>
        <w:tc>
          <w:tcPr>
            <w:tcW w:w="1002" w:type="dxa"/>
            <w:noWrap w:val="0"/>
            <w:vAlign w:val="center"/>
          </w:tcPr>
          <w:p w14:paraId="0F9608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防护服</w:t>
            </w:r>
          </w:p>
        </w:tc>
        <w:tc>
          <w:tcPr>
            <w:tcW w:w="1278" w:type="dxa"/>
            <w:noWrap w:val="0"/>
            <w:vAlign w:val="center"/>
          </w:tcPr>
          <w:p w14:paraId="50034903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eastAsia="宋体"/>
                <w:b/>
                <w:bCs/>
                <w:sz w:val="20"/>
                <w:szCs w:val="20"/>
                <w:highlight w:val="none"/>
              </w:rPr>
            </w:pPr>
          </w:p>
        </w:tc>
        <w:tc>
          <w:tcPr>
            <w:tcW w:w="726" w:type="dxa"/>
            <w:noWrap w:val="0"/>
            <w:vAlign w:val="center"/>
          </w:tcPr>
          <w:p w14:paraId="3A4555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  <w:highlight w:val="none"/>
              </w:rPr>
            </w:pP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（套）</w:t>
            </w:r>
          </w:p>
        </w:tc>
        <w:tc>
          <w:tcPr>
            <w:tcW w:w="1002" w:type="dxa"/>
            <w:noWrap w:val="0"/>
            <w:vAlign w:val="center"/>
          </w:tcPr>
          <w:p w14:paraId="2F4744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eastAsia="宋体"/>
                <w:b/>
                <w:bCs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</w:t>
            </w:r>
          </w:p>
        </w:tc>
        <w:tc>
          <w:tcPr>
            <w:tcW w:w="1002" w:type="dxa"/>
            <w:noWrap w:val="0"/>
            <w:vAlign w:val="center"/>
          </w:tcPr>
          <w:p w14:paraId="46AB58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eastAsia="宋体"/>
                <w:b/>
                <w:bCs/>
                <w:sz w:val="20"/>
                <w:szCs w:val="20"/>
                <w:highlight w:val="none"/>
                <w:lang w:val="en-US" w:eastAsia="zh-CN"/>
              </w:rPr>
            </w:pPr>
            <w:r>
              <w:rPr>
                <w:rStyle w:val="12"/>
                <w:rFonts w:hint="eastAsia"/>
                <w:snapToGrid w:val="0"/>
                <w:lang w:val="en-US" w:eastAsia="zh-CN" w:bidi="ar"/>
              </w:rPr>
              <w:t>35</w:t>
            </w:r>
            <w:r>
              <w:rPr>
                <w:rStyle w:val="12"/>
                <w:snapToGrid w:val="0"/>
                <w:lang w:val="en-US" w:eastAsia="zh-CN" w:bidi="ar"/>
              </w:rPr>
              <w:t>元</w:t>
            </w:r>
            <w:r>
              <w:rPr>
                <w:rStyle w:val="13"/>
                <w:rFonts w:eastAsia="等线"/>
                <w:snapToGrid w:val="0"/>
                <w:lang w:val="en-US" w:eastAsia="zh-CN" w:bidi="ar"/>
              </w:rPr>
              <w:t>/</w:t>
            </w:r>
            <w:r>
              <w:rPr>
                <w:rStyle w:val="12"/>
                <w:rFonts w:hint="eastAsia"/>
                <w:snapToGrid w:val="0"/>
                <w:lang w:val="en-US" w:eastAsia="zh-CN" w:bidi="ar"/>
              </w:rPr>
              <w:t>套</w:t>
            </w:r>
          </w:p>
        </w:tc>
        <w:tc>
          <w:tcPr>
            <w:tcW w:w="1301" w:type="dxa"/>
            <w:noWrap w:val="0"/>
            <w:vAlign w:val="center"/>
          </w:tcPr>
          <w:p w14:paraId="53790F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eastAsia="宋体"/>
                <w:b/>
                <w:bCs/>
                <w:sz w:val="20"/>
                <w:szCs w:val="20"/>
                <w:highlight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0.28</w:t>
            </w:r>
          </w:p>
        </w:tc>
      </w:tr>
      <w:tr w14:paraId="145154C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  <w:jc w:val="center"/>
        </w:trPr>
        <w:tc>
          <w:tcPr>
            <w:tcW w:w="859" w:type="dxa"/>
            <w:noWrap w:val="0"/>
            <w:vAlign w:val="center"/>
          </w:tcPr>
          <w:p w14:paraId="18A415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3.3</w:t>
            </w:r>
          </w:p>
        </w:tc>
        <w:tc>
          <w:tcPr>
            <w:tcW w:w="1090" w:type="dxa"/>
            <w:noWrap w:val="0"/>
            <w:vAlign w:val="center"/>
          </w:tcPr>
          <w:p w14:paraId="4E12C6B3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  <w:lang w:val="en-US" w:eastAsia="zh-CN"/>
              </w:rPr>
            </w:pPr>
          </w:p>
        </w:tc>
        <w:tc>
          <w:tcPr>
            <w:tcW w:w="1142" w:type="dxa"/>
            <w:noWrap w:val="0"/>
            <w:vAlign w:val="center"/>
          </w:tcPr>
          <w:p w14:paraId="3CE8CA6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eastAsia="宋体"/>
                <w:b/>
                <w:bCs/>
                <w:sz w:val="20"/>
                <w:szCs w:val="20"/>
              </w:rPr>
            </w:pPr>
          </w:p>
        </w:tc>
        <w:tc>
          <w:tcPr>
            <w:tcW w:w="1002" w:type="dxa"/>
            <w:noWrap w:val="0"/>
            <w:vAlign w:val="center"/>
          </w:tcPr>
          <w:p w14:paraId="591E664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sz w:val="20"/>
                <w:szCs w:val="20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一次性乳胶手套</w:t>
            </w:r>
          </w:p>
        </w:tc>
        <w:tc>
          <w:tcPr>
            <w:tcW w:w="1278" w:type="dxa"/>
            <w:noWrap w:val="0"/>
            <w:vAlign w:val="center"/>
          </w:tcPr>
          <w:p w14:paraId="3F385333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eastAsia="宋体"/>
                <w:b/>
                <w:bCs/>
                <w:sz w:val="20"/>
                <w:szCs w:val="20"/>
              </w:rPr>
            </w:pPr>
          </w:p>
        </w:tc>
        <w:tc>
          <w:tcPr>
            <w:tcW w:w="726" w:type="dxa"/>
            <w:noWrap w:val="0"/>
            <w:vAlign w:val="center"/>
          </w:tcPr>
          <w:p w14:paraId="2857A4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（双）</w:t>
            </w:r>
          </w:p>
        </w:tc>
        <w:tc>
          <w:tcPr>
            <w:tcW w:w="1002" w:type="dxa"/>
            <w:noWrap w:val="0"/>
            <w:vAlign w:val="center"/>
          </w:tcPr>
          <w:p w14:paraId="024C423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300</w:t>
            </w:r>
          </w:p>
        </w:tc>
        <w:tc>
          <w:tcPr>
            <w:tcW w:w="1002" w:type="dxa"/>
            <w:noWrap w:val="0"/>
            <w:vAlign w:val="center"/>
          </w:tcPr>
          <w:p w14:paraId="685CC30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  <w:r>
              <w:rPr>
                <w:rStyle w:val="12"/>
                <w:snapToGrid w:val="0"/>
                <w:lang w:val="en-US" w:eastAsia="zh-CN" w:bidi="ar"/>
              </w:rPr>
              <w:t>元</w:t>
            </w:r>
            <w:r>
              <w:rPr>
                <w:rStyle w:val="13"/>
                <w:rFonts w:eastAsia="等线"/>
                <w:snapToGrid w:val="0"/>
                <w:lang w:val="en-US" w:eastAsia="zh-CN" w:bidi="ar"/>
              </w:rPr>
              <w:t>/</w:t>
            </w: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双</w:t>
            </w:r>
          </w:p>
        </w:tc>
        <w:tc>
          <w:tcPr>
            <w:tcW w:w="1301" w:type="dxa"/>
            <w:noWrap w:val="0"/>
            <w:vAlign w:val="center"/>
          </w:tcPr>
          <w:p w14:paraId="58A702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0.06</w:t>
            </w:r>
          </w:p>
        </w:tc>
      </w:tr>
      <w:tr w14:paraId="7B3E290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  <w:jc w:val="center"/>
        </w:trPr>
        <w:tc>
          <w:tcPr>
            <w:tcW w:w="859" w:type="dxa"/>
            <w:noWrap w:val="0"/>
            <w:vAlign w:val="center"/>
          </w:tcPr>
          <w:p w14:paraId="36D9D7A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3.4</w:t>
            </w:r>
          </w:p>
        </w:tc>
        <w:tc>
          <w:tcPr>
            <w:tcW w:w="1090" w:type="dxa"/>
            <w:noWrap w:val="0"/>
            <w:vAlign w:val="center"/>
          </w:tcPr>
          <w:p w14:paraId="359FF08B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  <w:lang w:val="en-US" w:eastAsia="zh-CN"/>
              </w:rPr>
            </w:pPr>
          </w:p>
        </w:tc>
        <w:tc>
          <w:tcPr>
            <w:tcW w:w="1142" w:type="dxa"/>
            <w:vMerge w:val="restart"/>
            <w:noWrap w:val="0"/>
            <w:vAlign w:val="center"/>
          </w:tcPr>
          <w:p w14:paraId="432B35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02" w:type="dxa"/>
            <w:noWrap w:val="0"/>
            <w:vAlign w:val="center"/>
          </w:tcPr>
          <w:p w14:paraId="1A11D4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半清乳胶压纹防滑手套</w:t>
            </w:r>
          </w:p>
        </w:tc>
        <w:tc>
          <w:tcPr>
            <w:tcW w:w="1278" w:type="dxa"/>
            <w:noWrap w:val="0"/>
            <w:vAlign w:val="center"/>
          </w:tcPr>
          <w:p w14:paraId="2A5C0452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eastAsia="宋体"/>
                <w:b/>
                <w:bCs/>
                <w:sz w:val="20"/>
                <w:szCs w:val="20"/>
              </w:rPr>
            </w:pPr>
          </w:p>
        </w:tc>
        <w:tc>
          <w:tcPr>
            <w:tcW w:w="726" w:type="dxa"/>
            <w:noWrap w:val="0"/>
            <w:vAlign w:val="center"/>
          </w:tcPr>
          <w:p w14:paraId="549D68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（双）</w:t>
            </w:r>
          </w:p>
        </w:tc>
        <w:tc>
          <w:tcPr>
            <w:tcW w:w="1002" w:type="dxa"/>
            <w:noWrap w:val="0"/>
            <w:vAlign w:val="center"/>
          </w:tcPr>
          <w:p w14:paraId="4EE8E64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</w:t>
            </w:r>
          </w:p>
        </w:tc>
        <w:tc>
          <w:tcPr>
            <w:tcW w:w="1002" w:type="dxa"/>
            <w:noWrap w:val="0"/>
            <w:vAlign w:val="center"/>
          </w:tcPr>
          <w:p w14:paraId="44A664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  <w:r>
              <w:rPr>
                <w:rStyle w:val="12"/>
                <w:snapToGrid w:val="0"/>
                <w:lang w:val="en-US" w:eastAsia="zh-CN" w:bidi="ar"/>
              </w:rPr>
              <w:t>元</w:t>
            </w:r>
            <w:r>
              <w:rPr>
                <w:rStyle w:val="13"/>
                <w:rFonts w:eastAsia="等线"/>
                <w:snapToGrid w:val="0"/>
                <w:lang w:val="en-US" w:eastAsia="zh-CN" w:bidi="ar"/>
              </w:rPr>
              <w:t>/</w:t>
            </w: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双</w:t>
            </w:r>
          </w:p>
        </w:tc>
        <w:tc>
          <w:tcPr>
            <w:tcW w:w="1301" w:type="dxa"/>
            <w:noWrap w:val="0"/>
            <w:vAlign w:val="center"/>
          </w:tcPr>
          <w:p w14:paraId="5D132F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0.075</w:t>
            </w:r>
          </w:p>
        </w:tc>
      </w:tr>
      <w:tr w14:paraId="65242C5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  <w:jc w:val="center"/>
        </w:trPr>
        <w:tc>
          <w:tcPr>
            <w:tcW w:w="859" w:type="dxa"/>
            <w:noWrap w:val="0"/>
            <w:vAlign w:val="center"/>
          </w:tcPr>
          <w:p w14:paraId="00F72D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default" w:ascii="宋体" w:hAnsi="宋体" w:eastAsia="宋体" w:cs="宋体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3.5</w:t>
            </w:r>
          </w:p>
        </w:tc>
        <w:tc>
          <w:tcPr>
            <w:tcW w:w="1090" w:type="dxa"/>
            <w:noWrap w:val="0"/>
            <w:vAlign w:val="center"/>
          </w:tcPr>
          <w:p w14:paraId="7722B387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hint="eastAsia" w:ascii="宋体" w:hAnsi="宋体" w:eastAsia="宋体" w:cs="宋体"/>
                <w:b/>
                <w:bCs/>
                <w:sz w:val="20"/>
                <w:szCs w:val="20"/>
                <w:lang w:val="en-US" w:eastAsia="zh-CN"/>
              </w:rPr>
            </w:pPr>
          </w:p>
        </w:tc>
        <w:tc>
          <w:tcPr>
            <w:tcW w:w="1142" w:type="dxa"/>
            <w:vMerge w:val="continue"/>
            <w:noWrap w:val="0"/>
            <w:vAlign w:val="center"/>
          </w:tcPr>
          <w:p w14:paraId="6FB731E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both"/>
              <w:textAlignment w:val="center"/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</w:p>
        </w:tc>
        <w:tc>
          <w:tcPr>
            <w:tcW w:w="1002" w:type="dxa"/>
            <w:noWrap w:val="0"/>
            <w:vAlign w:val="center"/>
          </w:tcPr>
          <w:p w14:paraId="22386AB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口罩</w:t>
            </w:r>
          </w:p>
        </w:tc>
        <w:tc>
          <w:tcPr>
            <w:tcW w:w="1278" w:type="dxa"/>
            <w:noWrap w:val="0"/>
            <w:vAlign w:val="center"/>
          </w:tcPr>
          <w:p w14:paraId="3FA75A0E">
            <w:pPr>
              <w:keepNext w:val="0"/>
              <w:keepLines w:val="0"/>
              <w:pageBreakBefore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rPr>
                <w:rFonts w:eastAsia="宋体"/>
                <w:b/>
                <w:bCs/>
                <w:sz w:val="20"/>
                <w:szCs w:val="20"/>
              </w:rPr>
            </w:pPr>
          </w:p>
        </w:tc>
        <w:tc>
          <w:tcPr>
            <w:tcW w:w="726" w:type="dxa"/>
            <w:noWrap w:val="0"/>
            <w:vAlign w:val="center"/>
          </w:tcPr>
          <w:p w14:paraId="11EC84E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（个）</w:t>
            </w:r>
          </w:p>
        </w:tc>
        <w:tc>
          <w:tcPr>
            <w:tcW w:w="1002" w:type="dxa"/>
            <w:noWrap w:val="0"/>
            <w:vAlign w:val="center"/>
          </w:tcPr>
          <w:p w14:paraId="2C1EBC4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700</w:t>
            </w:r>
          </w:p>
        </w:tc>
        <w:tc>
          <w:tcPr>
            <w:tcW w:w="1002" w:type="dxa"/>
            <w:noWrap w:val="0"/>
            <w:vAlign w:val="center"/>
          </w:tcPr>
          <w:p w14:paraId="646983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0.5</w:t>
            </w:r>
            <w:r>
              <w:rPr>
                <w:rStyle w:val="12"/>
                <w:snapToGrid w:val="0"/>
                <w:lang w:val="en-US" w:eastAsia="zh-CN" w:bidi="ar"/>
              </w:rPr>
              <w:t>元</w:t>
            </w:r>
            <w:r>
              <w:rPr>
                <w:rStyle w:val="13"/>
                <w:rFonts w:eastAsia="等线"/>
                <w:snapToGrid w:val="0"/>
                <w:lang w:val="en-US" w:eastAsia="zh-CN" w:bidi="ar"/>
              </w:rPr>
              <w:t>/</w:t>
            </w: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个</w:t>
            </w:r>
          </w:p>
        </w:tc>
        <w:tc>
          <w:tcPr>
            <w:tcW w:w="1301" w:type="dxa"/>
            <w:noWrap w:val="0"/>
            <w:vAlign w:val="center"/>
          </w:tcPr>
          <w:p w14:paraId="2A5A57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 w:val="0"/>
              <w:topLinePunct/>
              <w:autoSpaceDE/>
              <w:autoSpaceDN/>
              <w:bidi w:val="0"/>
              <w:adjustRightInd/>
              <w:snapToGrid/>
              <w:spacing w:line="30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snapToGrid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0.035</w:t>
            </w:r>
          </w:p>
        </w:tc>
      </w:tr>
    </w:tbl>
    <w:p w14:paraId="375736AB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82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2F4317F"/>
    <w:rsid w:val="583045F9"/>
    <w:rsid w:val="5D0F66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60" w:lineRule="exact"/>
      <w:jc w:val="both"/>
    </w:pPr>
    <w:rPr>
      <w:rFonts w:ascii="Times New Roman" w:hAnsi="Times New Roman" w:eastAsia="仿宋" w:cs="Times New Roman"/>
      <w:kern w:val="2"/>
      <w:sz w:val="32"/>
      <w:szCs w:val="22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="260" w:after="260" w:line="416" w:lineRule="auto"/>
      <w:outlineLvl w:val="2"/>
    </w:pPr>
    <w:rPr>
      <w:rFonts w:eastAsia="宋体" w:cs="Times New Roman"/>
      <w:b/>
      <w:bCs/>
      <w:szCs w:val="32"/>
    </w:rPr>
  </w:style>
  <w:style w:type="paragraph" w:styleId="3">
    <w:name w:val="heading 4"/>
    <w:basedOn w:val="2"/>
    <w:next w:val="4"/>
    <w:unhideWhenUsed/>
    <w:qFormat/>
    <w:uiPriority w:val="0"/>
    <w:pPr>
      <w:spacing w:before="280" w:beforeLines="0" w:after="290" w:afterLines="0" w:line="376" w:lineRule="auto"/>
      <w:outlineLvl w:val="3"/>
    </w:pPr>
    <w:rPr>
      <w:rFonts w:hint="default" w:ascii="Times New Roman"/>
      <w:sz w:val="28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天创内容"/>
    <w:basedOn w:val="1"/>
    <w:unhideWhenUsed/>
    <w:qFormat/>
    <w:uiPriority w:val="0"/>
    <w:pPr>
      <w:spacing w:beforeLines="0" w:afterLines="0"/>
      <w:ind w:firstLine="200" w:firstLineChars="200"/>
    </w:pPr>
    <w:rPr>
      <w:rFonts w:hint="default" w:ascii="Times New Roman"/>
      <w:sz w:val="21"/>
    </w:rPr>
  </w:style>
  <w:style w:type="paragraph" w:styleId="5">
    <w:name w:val="Body Text"/>
    <w:basedOn w:val="1"/>
    <w:next w:val="6"/>
    <w:qFormat/>
    <w:uiPriority w:val="0"/>
    <w:pPr>
      <w:spacing w:after="120"/>
    </w:pPr>
  </w:style>
  <w:style w:type="paragraph" w:styleId="6">
    <w:name w:val="Body Text Indent"/>
    <w:basedOn w:val="1"/>
    <w:next w:val="3"/>
    <w:qFormat/>
    <w:uiPriority w:val="99"/>
    <w:pPr>
      <w:spacing w:after="120"/>
      <w:ind w:left="420" w:leftChars="200"/>
    </w:pPr>
  </w:style>
  <w:style w:type="paragraph" w:customStyle="1" w:styleId="9">
    <w:name w:val="目录"/>
    <w:basedOn w:val="1"/>
    <w:qFormat/>
    <w:uiPriority w:val="0"/>
    <w:pPr>
      <w:spacing w:line="540" w:lineRule="exact"/>
      <w:ind w:left="53" w:firstLine="560" w:firstLineChars="200"/>
    </w:pPr>
    <w:rPr>
      <w:rFonts w:eastAsia="仿宋_GB2312"/>
      <w:sz w:val="28"/>
      <w:szCs w:val="28"/>
    </w:rPr>
  </w:style>
  <w:style w:type="character" w:customStyle="1" w:styleId="10">
    <w:name w:val="font31"/>
    <w:basedOn w:val="8"/>
    <w:qFormat/>
    <w:uiPriority w:val="0"/>
    <w:rPr>
      <w:rFonts w:hint="default" w:ascii="Times New Roman" w:hAnsi="Times New Roman" w:cs="Times New Roman"/>
      <w:b/>
      <w:color w:val="000000"/>
      <w:sz w:val="20"/>
      <w:szCs w:val="20"/>
      <w:u w:val="none"/>
    </w:rPr>
  </w:style>
  <w:style w:type="character" w:customStyle="1" w:styleId="11">
    <w:name w:val="font41"/>
    <w:basedOn w:val="8"/>
    <w:qFormat/>
    <w:uiPriority w:val="0"/>
    <w:rPr>
      <w:rFonts w:hint="eastAsia" w:ascii="宋体" w:hAnsi="宋体" w:eastAsia="宋体" w:cs="宋体"/>
      <w:b/>
      <w:color w:val="000000"/>
      <w:sz w:val="20"/>
      <w:szCs w:val="20"/>
      <w:u w:val="none"/>
    </w:rPr>
  </w:style>
  <w:style w:type="character" w:customStyle="1" w:styleId="12">
    <w:name w:val="font01"/>
    <w:basedOn w:val="8"/>
    <w:qFormat/>
    <w:uiPriority w:val="0"/>
    <w:rPr>
      <w:rFonts w:hint="eastAsia" w:ascii="仿宋" w:hAnsi="仿宋" w:eastAsia="仿宋" w:cs="仿宋"/>
      <w:b/>
      <w:bCs/>
      <w:color w:val="000000"/>
      <w:sz w:val="22"/>
      <w:szCs w:val="22"/>
      <w:u w:val="none"/>
    </w:rPr>
  </w:style>
  <w:style w:type="character" w:customStyle="1" w:styleId="13">
    <w:name w:val="font21"/>
    <w:basedOn w:val="8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14">
    <w:name w:val="font101"/>
    <w:basedOn w:val="8"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15">
    <w:name w:val="font112"/>
    <w:basedOn w:val="8"/>
    <w:qFormat/>
    <w:uiPriority w:val="0"/>
    <w:rPr>
      <w:rFonts w:hint="default" w:ascii="Times New Roman" w:hAnsi="Times New Roman" w:cs="Times New Roman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583</Words>
  <Characters>602</Characters>
  <Lines>0</Lines>
  <Paragraphs>0</Paragraphs>
  <TotalTime>4</TotalTime>
  <ScaleCrop>false</ScaleCrop>
  <LinksUpToDate>false</LinksUpToDate>
  <CharactersWithSpaces>603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2025-04-19T03:28:00Z</dcterms:created>
  <dc:creator>HTBoy</dc:creator>
  <cp:lastModifiedBy>李粉莲</cp:lastModifiedBy>
  <dcterms:modified xsi:type="dcterms:W3CDTF">2025-04-19T04:58:19Z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49DC8BEB3FD34425BAE14A119320D025_12</vt:lpwstr>
  </property>
  <property fmtid="{D5CDD505-2E9C-101B-9397-08002B2CF9AE}" pid="4" name="KSOTemplateDocerSaveRecord">
    <vt:lpwstr>eyJoZGlkIjoiZDY5YTdkNTFmOTVhNDJmNWJjN2ZjOWRkZTVlNTRkNDYiLCJ1c2VySWQiOiI2NzgxMzExNTgifQ==</vt:lpwstr>
  </property>
</Properties>
</file>