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_GoBack"/>
      <w:bookmarkEnd w:id="2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</w:rPr>
        <w:t>文化和旅游志愿服务（塔地财教〔2024〕73号）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竞价公告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color="auto" w:fill="FFFFFF"/>
        </w:rPr>
        <w:t>文化和旅游志愿服务（塔地财教〔2024〕73号）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项目</w:t>
      </w:r>
      <w:r>
        <w:rPr>
          <w:rFonts w:ascii="黑体" w:hAnsi="黑体" w:eastAsia="黑体" w:cs="仿宋_GB2312"/>
          <w:b/>
          <w:sz w:val="32"/>
          <w:szCs w:val="32"/>
        </w:rPr>
        <w:t>内容</w:t>
      </w:r>
      <w:r>
        <w:rPr>
          <w:rFonts w:ascii="方正小标宋简体" w:hAnsi="仿宋_GB2312" w:eastAsia="方正小标宋简体" w:cs="仿宋_GB2312"/>
          <w:b/>
          <w:sz w:val="32"/>
          <w:szCs w:val="32"/>
        </w:rPr>
        <w:t>：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设计制作塔城文化旅游志愿者制服（马甲单独带帽子）不少于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。马甲面料100%聚酯纤维，单独里料密网双层，配套设计塔城特色标识、反光条，高密度涤纶+玻璃纤维混纺布、帽子面料100%长绒棉，帽檐加厚PVC衬板。要求舒适透气，不起球、不拉丝，工艺精细，防水和防风、耐用易清洗、色彩鲜艳不褪色，满足户外工作环境需求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供应商响应报价结束后24小时内企业提供马甲设计样品并通过审核。企业需具备服装销售等相关资质，提供报价单、营业执照及六个月售后质量保证。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塔城地区文化体育广播电视和旅游局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2025年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西北总部</Company>
  <Pages>1</Pages>
  <Words>288</Words>
  <Characters>311</Characters>
  <Paragraphs>9</Paragraphs>
  <TotalTime>317</TotalTime>
  <ScaleCrop>false</ScaleCrop>
  <LinksUpToDate>false</LinksUpToDate>
  <CharactersWithSpaces>326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2024-06-26T05:38:00Z</dcterms:created>
  <dc:creator>Whk</dc:creator>
  <cp:lastModifiedBy>Administrator</cp:lastModifiedBy>
  <cp:lastPrinted>2025-04-23T08:32:00Z</cp:lastPrinted>
  <dcterms:modified xsi:type="dcterms:W3CDTF">2025-06-17T09:51:47Z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4678373B72874B029A1075C69B986709</vt:lpwstr>
  </property>
</Properties>
</file>