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7CFFF7">
      <w:pPr>
        <w:jc w:val="center"/>
        <w:rPr>
          <w:rFonts w:hint="eastAsia"/>
          <w:b/>
          <w:bCs/>
          <w:sz w:val="32"/>
          <w:szCs w:val="32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关于塔城地区食品药品检验所药品实验室室外箱式变电站、室内实验室和办公区域电力设施、设备维护的要求</w:t>
      </w:r>
    </w:p>
    <w:p w14:paraId="5D96C331">
      <w:pPr>
        <w:ind w:firstLine="560" w:firstLineChars="2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为保证地区食品药品检验所室外箱式变电站、室内实验和办公楼及地下实验室用电设备长期有效的安全运行，现需采购以下电力设施维保服务：</w:t>
      </w:r>
    </w:p>
    <w:p w14:paraId="06C13CCF">
      <w:pPr>
        <w:numPr>
          <w:ilvl w:val="0"/>
          <w:numId w:val="1"/>
        </w:numPr>
        <w:jc w:val="center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要求在服务期内至少每季度开展一次对室外800kv箱式变电站进行交流耐压试验、绝缘电阻试验、直流电阻测试及高压电缆交流耐压试验，</w:t>
      </w:r>
      <w:r>
        <w:rPr>
          <w:rFonts w:hint="eastAsia"/>
          <w:b/>
          <w:bCs/>
          <w:sz w:val="28"/>
          <w:szCs w:val="28"/>
          <w:lang w:val="en-US" w:eastAsia="zh-CN"/>
        </w:rPr>
        <w:t>并出具相关具备资质试验单位的测试报告。</w:t>
      </w:r>
      <w:r>
        <w:rPr>
          <w:rFonts w:hint="eastAsia"/>
          <w:b w:val="0"/>
          <w:bCs w:val="0"/>
          <w:sz w:val="28"/>
          <w:szCs w:val="28"/>
          <w:lang w:val="en-US" w:eastAsia="zh-CN"/>
        </w:rPr>
        <w:t>同时，</w:t>
      </w:r>
      <w:r>
        <w:rPr>
          <w:rFonts w:hint="eastAsia"/>
          <w:sz w:val="28"/>
          <w:szCs w:val="28"/>
          <w:lang w:val="en-US" w:eastAsia="zh-CN"/>
        </w:rPr>
        <w:t>并按接地网进行电阻测试（要求接地电阻≤0.4Ω，地线和零线压差小于1V）的要求，对本所35台件大型、精密设备（详见附表）进行必要的用</w:t>
      </w:r>
    </w:p>
    <w:p w14:paraId="5042A36E">
      <w:pPr>
        <w:numPr>
          <w:ilvl w:val="0"/>
          <w:numId w:val="0"/>
        </w:numPr>
        <w:jc w:val="both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电测试和用电安全核查，确保设备正常用电。</w:t>
      </w:r>
    </w:p>
    <w:p w14:paraId="04A2210B">
      <w:pPr>
        <w:numPr>
          <w:ilvl w:val="0"/>
          <w:numId w:val="0"/>
        </w:numPr>
        <w:ind w:firstLine="280" w:firstLineChars="100"/>
        <w:jc w:val="lef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二、在服务期内，要求每月对我单位电源、低压配电箱部分进行如下检测内容，</w:t>
      </w:r>
      <w:r>
        <w:rPr>
          <w:rFonts w:hint="eastAsia"/>
          <w:b/>
          <w:bCs/>
          <w:sz w:val="28"/>
          <w:szCs w:val="28"/>
          <w:lang w:val="en-US" w:eastAsia="zh-CN"/>
        </w:rPr>
        <w:t>并出具维保单位相关测试报告，</w:t>
      </w:r>
      <w:r>
        <w:rPr>
          <w:rFonts w:hint="eastAsia"/>
          <w:b w:val="0"/>
          <w:bCs w:val="0"/>
          <w:sz w:val="28"/>
          <w:szCs w:val="28"/>
          <w:lang w:val="en-US" w:eastAsia="zh-CN"/>
        </w:rPr>
        <w:t>具体为：</w:t>
      </w:r>
    </w:p>
    <w:p w14:paraId="1367D94E">
      <w:pPr>
        <w:numPr>
          <w:ilvl w:val="0"/>
          <w:numId w:val="0"/>
        </w:numPr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1、电箱外观是否完整，配线是否整齐完好，有无虚接现象。</w:t>
      </w:r>
    </w:p>
    <w:p w14:paraId="7F1061A4">
      <w:pPr>
        <w:numPr>
          <w:ilvl w:val="0"/>
          <w:numId w:val="0"/>
        </w:numPr>
        <w:ind w:firstLine="280" w:firstLineChars="10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2、电箱是否有漏保，漏保测试是否合格。</w:t>
      </w:r>
    </w:p>
    <w:p w14:paraId="1FD95EEB">
      <w:pPr>
        <w:numPr>
          <w:ilvl w:val="0"/>
          <w:numId w:val="0"/>
        </w:numPr>
        <w:ind w:firstLine="280" w:firstLineChars="10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3、两相配电是否平衡。</w:t>
      </w:r>
    </w:p>
    <w:p w14:paraId="69766BDA">
      <w:pPr>
        <w:numPr>
          <w:ilvl w:val="0"/>
          <w:numId w:val="0"/>
        </w:numPr>
        <w:ind w:firstLine="280" w:firstLineChars="10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4、各项电流是否过载。</w:t>
      </w:r>
    </w:p>
    <w:p w14:paraId="6535096C">
      <w:pPr>
        <w:numPr>
          <w:ilvl w:val="0"/>
          <w:numId w:val="2"/>
        </w:numPr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在服务期内，要求每月对我单位室内实验室、地下实验室和办公区域线路部分及照明部分进行如下检测内容：</w:t>
      </w:r>
    </w:p>
    <w:p w14:paraId="4932B7E5">
      <w:pPr>
        <w:numPr>
          <w:ilvl w:val="0"/>
          <w:numId w:val="0"/>
        </w:numPr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（一）线路部分：</w:t>
      </w:r>
    </w:p>
    <w:p w14:paraId="5C8BC496">
      <w:pPr>
        <w:numPr>
          <w:ilvl w:val="0"/>
          <w:numId w:val="3"/>
        </w:numPr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线路是否</w:t>
      </w:r>
      <w:r>
        <w:rPr>
          <w:sz w:val="28"/>
          <w:szCs w:val="28"/>
        </w:rPr>
        <w:t>敷</w:t>
      </w:r>
      <w:r>
        <w:rPr>
          <w:rFonts w:hint="eastAsia"/>
          <w:sz w:val="28"/>
          <w:szCs w:val="28"/>
          <w:lang w:val="en-US" w:eastAsia="zh-CN"/>
        </w:rPr>
        <w:t>设。明敷设线路配有阻燃线槽。</w:t>
      </w:r>
    </w:p>
    <w:p w14:paraId="6F85D1F4">
      <w:pPr>
        <w:numPr>
          <w:ilvl w:val="0"/>
          <w:numId w:val="3"/>
        </w:numPr>
        <w:jc w:val="lef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线路的高度，低位置线路的防护与易燃品距离。</w:t>
      </w:r>
    </w:p>
    <w:p w14:paraId="2906E6AF">
      <w:pPr>
        <w:numPr>
          <w:ilvl w:val="0"/>
          <w:numId w:val="3"/>
        </w:numPr>
        <w:jc w:val="lef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线路的连接方式，接头的防护处理合乎要求。</w:t>
      </w:r>
    </w:p>
    <w:p w14:paraId="24BD80FB">
      <w:pPr>
        <w:numPr>
          <w:ilvl w:val="0"/>
          <w:numId w:val="0"/>
        </w:numPr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（二）照明部分：</w:t>
      </w:r>
    </w:p>
    <w:p w14:paraId="78BAFE0D">
      <w:pPr>
        <w:numPr>
          <w:ilvl w:val="0"/>
          <w:numId w:val="3"/>
        </w:numPr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照明灯具是否安全要求。</w:t>
      </w:r>
    </w:p>
    <w:p w14:paraId="3B527105">
      <w:pPr>
        <w:numPr>
          <w:ilvl w:val="0"/>
          <w:numId w:val="3"/>
        </w:numPr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照明灯具的安装高度及与可燃物是否有安全距离。</w:t>
      </w:r>
    </w:p>
    <w:p w14:paraId="13A4726A">
      <w:pPr>
        <w:numPr>
          <w:ilvl w:val="0"/>
          <w:numId w:val="3"/>
        </w:numPr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应急照明是否有效。</w:t>
      </w:r>
    </w:p>
    <w:p w14:paraId="667BB624">
      <w:pPr>
        <w:numPr>
          <w:ilvl w:val="0"/>
          <w:numId w:val="2"/>
        </w:numPr>
        <w:ind w:left="0" w:leftChars="0" w:firstLine="0" w:firstLineChar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其他电气要求：</w:t>
      </w:r>
    </w:p>
    <w:p w14:paraId="46965F85"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1、电器有无生产厂家名称，有无出厂检验合格证。</w:t>
      </w:r>
    </w:p>
    <w:p w14:paraId="2CA8160B"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2、是否有3C认证。</w:t>
      </w:r>
    </w:p>
    <w:p w14:paraId="19E25342"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3、用电器的散热距离是否畅通安全。</w:t>
      </w:r>
    </w:p>
    <w:p w14:paraId="3BE9F89B"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4、有无不符合安全规定的电器。</w:t>
      </w:r>
    </w:p>
    <w:p w14:paraId="6E6C115B"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五、插座插排</w:t>
      </w:r>
    </w:p>
    <w:p w14:paraId="22FC4E0F"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1、是否有3C认证，外观是否合格。</w:t>
      </w:r>
    </w:p>
    <w:p w14:paraId="7BD9A4BE"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2、插座插排是否过载。</w:t>
      </w:r>
    </w:p>
    <w:p w14:paraId="440D72C7"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3、 插排是否多次转插。</w:t>
      </w:r>
    </w:p>
    <w:p w14:paraId="68E310A2"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六、电器火灾预防</w:t>
      </w:r>
    </w:p>
    <w:p w14:paraId="39B69D38"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1、 是否配有扑灭电火的灭火器。</w:t>
      </w:r>
    </w:p>
    <w:p w14:paraId="6E10D7F8">
      <w:pPr>
        <w:numPr>
          <w:ilvl w:val="0"/>
          <w:numId w:val="0"/>
        </w:numPr>
        <w:ind w:leftChars="0"/>
        <w:jc w:val="left"/>
        <w:rPr>
          <w:sz w:val="21"/>
          <w:szCs w:val="21"/>
        </w:rPr>
      </w:pPr>
      <w:r>
        <w:rPr>
          <w:rFonts w:hint="eastAsia"/>
          <w:sz w:val="28"/>
          <w:szCs w:val="28"/>
          <w:lang w:val="en-US" w:eastAsia="zh-CN"/>
        </w:rPr>
        <w:t>2、安全有效日期是否过期</w:t>
      </w:r>
      <w:r>
        <w:rPr>
          <w:sz w:val="21"/>
          <w:szCs w:val="21"/>
        </w:rPr>
        <w:t>。</w:t>
      </w:r>
    </w:p>
    <w:p w14:paraId="789C8AC8">
      <w:pPr>
        <w:numPr>
          <w:ilvl w:val="0"/>
          <w:numId w:val="0"/>
        </w:numPr>
        <w:ind w:leftChars="0"/>
        <w:jc w:val="left"/>
        <w:rPr>
          <w:sz w:val="21"/>
          <w:szCs w:val="21"/>
        </w:rPr>
      </w:pPr>
    </w:p>
    <w:p w14:paraId="7D57E6C8">
      <w:pPr>
        <w:numPr>
          <w:ilvl w:val="0"/>
          <w:numId w:val="4"/>
        </w:numPr>
        <w:ind w:leftChars="0"/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对参与我单位用电维保单位要求如下：</w:t>
      </w:r>
    </w:p>
    <w:p w14:paraId="669D045E">
      <w:pPr>
        <w:numPr>
          <w:ilvl w:val="0"/>
          <w:numId w:val="5"/>
        </w:numPr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在塔城市有固定的办公地点。</w:t>
      </w:r>
    </w:p>
    <w:p w14:paraId="3CA93937">
      <w:pPr>
        <w:numPr>
          <w:ilvl w:val="0"/>
          <w:numId w:val="5"/>
        </w:numPr>
        <w:jc w:val="left"/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要求维保单位派出的参与本项目维保人员证件齐全。</w:t>
      </w:r>
    </w:p>
    <w:p w14:paraId="3C7246A5">
      <w:pPr>
        <w:numPr>
          <w:ilvl w:val="0"/>
          <w:numId w:val="5"/>
        </w:numPr>
        <w:jc w:val="left"/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要求参与维保单位具备政府部门颁发的在有效期内的营业执照（三合一证），安全许可证，职业健康安全管理、质量管理、环境管理体系认证证书、企业资质证书（电力工程施工总承包叁级及以上）。</w:t>
      </w:r>
    </w:p>
    <w:p w14:paraId="346E4478">
      <w:pPr>
        <w:numPr>
          <w:ilvl w:val="0"/>
          <w:numId w:val="5"/>
        </w:numPr>
        <w:jc w:val="left"/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提供近三年（20211</w:t>
      </w:r>
      <w:bookmarkStart w:id="0" w:name="_GoBack"/>
      <w:bookmarkEnd w:id="0"/>
      <w:r>
        <w:rPr>
          <w:rFonts w:hint="eastAsia"/>
          <w:b/>
          <w:bCs/>
          <w:sz w:val="28"/>
          <w:szCs w:val="28"/>
          <w:lang w:val="en-US" w:eastAsia="zh-CN"/>
        </w:rPr>
        <w:t>年01月01日）起在塔城地区有相应电力工程施工、维修等类似业绩，以中标通知书为准（业绩不低于4个）</w:t>
      </w:r>
    </w:p>
    <w:p w14:paraId="145C7A87">
      <w:pPr>
        <w:numPr>
          <w:ilvl w:val="0"/>
          <w:numId w:val="5"/>
        </w:numPr>
        <w:ind w:left="0" w:leftChars="0" w:firstLine="0" w:firstLineChars="0"/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要求维保单位参与维保人员能定期（合同期内不少于3次）对我单位相关人员进行电力维护相关知识的培训。（以实际维保项目和电力安全常识为培训内容）</w:t>
      </w:r>
    </w:p>
    <w:p w14:paraId="0636C527">
      <w:pPr>
        <w:numPr>
          <w:ilvl w:val="0"/>
          <w:numId w:val="5"/>
        </w:numPr>
        <w:ind w:left="0" w:leftChars="0" w:firstLine="0" w:firstLineChars="0"/>
        <w:jc w:val="left"/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维保单位提供全年24小时电力故障维修和保障工作，要求发生一般故障时10分钟内响（电话指导能处理的要在20分钟内解决）应，不能电话解决的，须在半小时内到达现场，1小时内处理完毕，发生严重事故或故障时须在半小时内到达现场，3小时内处理完毕（特殊情况下协商解决）。</w:t>
      </w:r>
    </w:p>
    <w:p w14:paraId="20813250">
      <w:pPr>
        <w:numPr>
          <w:ilvl w:val="0"/>
          <w:numId w:val="5"/>
        </w:numPr>
        <w:ind w:left="0" w:leftChars="0" w:firstLine="0" w:firstLineChars="0"/>
        <w:jc w:val="left"/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在日常维护中和出现一般故障时，维保单位要对变电站和实验室、办公区域的易损和常用一般设备进行免费更新和及时修理。</w:t>
      </w:r>
    </w:p>
    <w:p w14:paraId="2EC69BCE">
      <w:pPr>
        <w:widowControl w:val="0"/>
        <w:numPr>
          <w:ilvl w:val="0"/>
          <w:numId w:val="0"/>
        </w:numPr>
        <w:jc w:val="left"/>
        <w:rPr>
          <w:rFonts w:hint="eastAsia"/>
          <w:b/>
          <w:bCs/>
          <w:sz w:val="28"/>
          <w:szCs w:val="28"/>
          <w:lang w:val="en-US" w:eastAsia="zh-CN"/>
        </w:rPr>
      </w:pPr>
    </w:p>
    <w:p w14:paraId="316BDC79">
      <w:pPr>
        <w:widowControl w:val="0"/>
        <w:numPr>
          <w:ilvl w:val="0"/>
          <w:numId w:val="0"/>
        </w:numPr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附表1：塔城地区食品药品检验所大型、精密设备用电服务一览表</w:t>
      </w:r>
    </w:p>
    <w:p w14:paraId="1873590C">
      <w:pPr>
        <w:widowControl w:val="0"/>
        <w:numPr>
          <w:ilvl w:val="0"/>
          <w:numId w:val="0"/>
        </w:numPr>
        <w:jc w:val="left"/>
        <w:rPr>
          <w:rFonts w:hint="eastAsia"/>
          <w:b/>
          <w:bCs/>
          <w:sz w:val="28"/>
          <w:szCs w:val="28"/>
          <w:lang w:val="en-US" w:eastAsia="zh-CN"/>
        </w:rPr>
      </w:pPr>
    </w:p>
    <w:p w14:paraId="2416DBD4">
      <w:pPr>
        <w:widowControl w:val="0"/>
        <w:numPr>
          <w:ilvl w:val="0"/>
          <w:numId w:val="0"/>
        </w:numPr>
        <w:jc w:val="left"/>
        <w:rPr>
          <w:rFonts w:hint="eastAsia"/>
          <w:b/>
          <w:bCs/>
          <w:sz w:val="28"/>
          <w:szCs w:val="28"/>
          <w:lang w:val="en-US" w:eastAsia="zh-CN"/>
        </w:rPr>
      </w:pPr>
    </w:p>
    <w:p w14:paraId="650C1E63">
      <w:pPr>
        <w:widowControl w:val="0"/>
        <w:numPr>
          <w:ilvl w:val="0"/>
          <w:numId w:val="0"/>
        </w:numPr>
        <w:jc w:val="left"/>
        <w:rPr>
          <w:rFonts w:hint="eastAsia"/>
          <w:b/>
          <w:bCs/>
          <w:sz w:val="28"/>
          <w:szCs w:val="28"/>
          <w:lang w:val="en-US" w:eastAsia="zh-CN"/>
        </w:rPr>
      </w:pPr>
    </w:p>
    <w:p w14:paraId="530D6391">
      <w:pPr>
        <w:widowControl w:val="0"/>
        <w:numPr>
          <w:ilvl w:val="0"/>
          <w:numId w:val="0"/>
        </w:numPr>
        <w:jc w:val="left"/>
        <w:rPr>
          <w:rFonts w:hint="eastAsia"/>
          <w:b/>
          <w:bCs/>
          <w:sz w:val="28"/>
          <w:szCs w:val="28"/>
          <w:lang w:val="en-US" w:eastAsia="zh-CN"/>
        </w:rPr>
      </w:pPr>
    </w:p>
    <w:p w14:paraId="5563D52E">
      <w:pPr>
        <w:widowControl w:val="0"/>
        <w:numPr>
          <w:ilvl w:val="0"/>
          <w:numId w:val="0"/>
        </w:numPr>
        <w:jc w:val="left"/>
        <w:rPr>
          <w:rFonts w:hint="eastAsia"/>
          <w:b/>
          <w:bCs/>
          <w:sz w:val="28"/>
          <w:szCs w:val="28"/>
          <w:lang w:val="en-US" w:eastAsia="zh-CN"/>
        </w:rPr>
      </w:pPr>
    </w:p>
    <w:p w14:paraId="3C61AA65">
      <w:pPr>
        <w:widowControl w:val="0"/>
        <w:numPr>
          <w:ilvl w:val="0"/>
          <w:numId w:val="0"/>
        </w:numPr>
        <w:jc w:val="left"/>
        <w:rPr>
          <w:rFonts w:hint="eastAsia"/>
          <w:b/>
          <w:bCs/>
          <w:sz w:val="28"/>
          <w:szCs w:val="28"/>
          <w:lang w:val="en-US" w:eastAsia="zh-CN"/>
        </w:rPr>
      </w:pPr>
    </w:p>
    <w:tbl>
      <w:tblPr>
        <w:tblStyle w:val="5"/>
        <w:tblpPr w:leftFromText="180" w:rightFromText="180" w:vertAnchor="page" w:horzAnchor="page" w:tblpXSpec="center" w:tblpY="2983"/>
        <w:tblOverlap w:val="never"/>
        <w:tblW w:w="95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9"/>
        <w:gridCol w:w="2376"/>
        <w:gridCol w:w="1280"/>
        <w:gridCol w:w="1536"/>
        <w:gridCol w:w="1438"/>
        <w:gridCol w:w="1897"/>
      </w:tblGrid>
      <w:tr w14:paraId="4BA806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019" w:type="dxa"/>
          </w:tcPr>
          <w:p w14:paraId="551E9E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376" w:type="dxa"/>
          </w:tcPr>
          <w:p w14:paraId="6D559A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仪器名称</w:t>
            </w:r>
          </w:p>
        </w:tc>
        <w:tc>
          <w:tcPr>
            <w:tcW w:w="1280" w:type="dxa"/>
          </w:tcPr>
          <w:p w14:paraId="1CF24C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厂家</w:t>
            </w:r>
          </w:p>
        </w:tc>
        <w:tc>
          <w:tcPr>
            <w:tcW w:w="1536" w:type="dxa"/>
          </w:tcPr>
          <w:p w14:paraId="393412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型号</w:t>
            </w:r>
          </w:p>
        </w:tc>
        <w:tc>
          <w:tcPr>
            <w:tcW w:w="1438" w:type="dxa"/>
          </w:tcPr>
          <w:p w14:paraId="259B9C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（台件）</w:t>
            </w:r>
          </w:p>
        </w:tc>
        <w:tc>
          <w:tcPr>
            <w:tcW w:w="1897" w:type="dxa"/>
          </w:tcPr>
          <w:p w14:paraId="24B757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0413F4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019" w:type="dxa"/>
          </w:tcPr>
          <w:p w14:paraId="112FAE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376" w:type="dxa"/>
            <w:vAlign w:val="top"/>
          </w:tcPr>
          <w:p w14:paraId="2EE283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液相色谱仪</w:t>
            </w:r>
          </w:p>
        </w:tc>
        <w:tc>
          <w:tcPr>
            <w:tcW w:w="1280" w:type="dxa"/>
            <w:vAlign w:val="top"/>
          </w:tcPr>
          <w:p w14:paraId="6FC82C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安捷伦</w:t>
            </w:r>
          </w:p>
        </w:tc>
        <w:tc>
          <w:tcPr>
            <w:tcW w:w="1536" w:type="dxa"/>
            <w:vAlign w:val="top"/>
          </w:tcPr>
          <w:p w14:paraId="4E862B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1260</w:t>
            </w:r>
          </w:p>
        </w:tc>
        <w:tc>
          <w:tcPr>
            <w:tcW w:w="1438" w:type="dxa"/>
            <w:vAlign w:val="top"/>
          </w:tcPr>
          <w:p w14:paraId="4E7302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897" w:type="dxa"/>
          </w:tcPr>
          <w:p w14:paraId="05B47E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1747DE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19" w:type="dxa"/>
          </w:tcPr>
          <w:p w14:paraId="1010EC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376" w:type="dxa"/>
            <w:vAlign w:val="top"/>
          </w:tcPr>
          <w:p w14:paraId="38DD89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液相色谱仪</w:t>
            </w:r>
          </w:p>
        </w:tc>
        <w:tc>
          <w:tcPr>
            <w:tcW w:w="1280" w:type="dxa"/>
            <w:vAlign w:val="top"/>
          </w:tcPr>
          <w:p w14:paraId="6D1D01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岛津</w:t>
            </w:r>
          </w:p>
        </w:tc>
        <w:tc>
          <w:tcPr>
            <w:tcW w:w="1536" w:type="dxa"/>
            <w:vAlign w:val="top"/>
          </w:tcPr>
          <w:p w14:paraId="3EE33A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20A</w:t>
            </w:r>
          </w:p>
        </w:tc>
        <w:tc>
          <w:tcPr>
            <w:tcW w:w="1438" w:type="dxa"/>
            <w:vAlign w:val="top"/>
          </w:tcPr>
          <w:p w14:paraId="55B684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897" w:type="dxa"/>
          </w:tcPr>
          <w:p w14:paraId="47A9A1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275C40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  <w:jc w:val="center"/>
        </w:trPr>
        <w:tc>
          <w:tcPr>
            <w:tcW w:w="1019" w:type="dxa"/>
          </w:tcPr>
          <w:p w14:paraId="1BBDD0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376" w:type="dxa"/>
            <w:vAlign w:val="top"/>
          </w:tcPr>
          <w:p w14:paraId="3BD5C2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液相色谱仪</w:t>
            </w:r>
          </w:p>
        </w:tc>
        <w:tc>
          <w:tcPr>
            <w:tcW w:w="1280" w:type="dxa"/>
            <w:vAlign w:val="top"/>
          </w:tcPr>
          <w:p w14:paraId="56CF26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岛津</w:t>
            </w:r>
          </w:p>
        </w:tc>
        <w:tc>
          <w:tcPr>
            <w:tcW w:w="1536" w:type="dxa"/>
            <w:vAlign w:val="top"/>
          </w:tcPr>
          <w:p w14:paraId="1FD743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2030-C</w:t>
            </w:r>
          </w:p>
        </w:tc>
        <w:tc>
          <w:tcPr>
            <w:tcW w:w="1438" w:type="dxa"/>
            <w:vAlign w:val="top"/>
          </w:tcPr>
          <w:p w14:paraId="4A6AC1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</w:tcPr>
          <w:p w14:paraId="048DBD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12DF92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19" w:type="dxa"/>
          </w:tcPr>
          <w:p w14:paraId="628D25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376" w:type="dxa"/>
            <w:vAlign w:val="top"/>
          </w:tcPr>
          <w:p w14:paraId="5C3BEB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液相色谱仪</w:t>
            </w:r>
          </w:p>
        </w:tc>
        <w:tc>
          <w:tcPr>
            <w:tcW w:w="1280" w:type="dxa"/>
            <w:vAlign w:val="top"/>
          </w:tcPr>
          <w:p w14:paraId="3C5CBB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//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岛津</w:t>
            </w:r>
          </w:p>
        </w:tc>
        <w:tc>
          <w:tcPr>
            <w:tcW w:w="1536" w:type="dxa"/>
            <w:vAlign w:val="top"/>
          </w:tcPr>
          <w:p w14:paraId="4F9B9E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2030</w:t>
            </w:r>
          </w:p>
        </w:tc>
        <w:tc>
          <w:tcPr>
            <w:tcW w:w="1438" w:type="dxa"/>
            <w:vAlign w:val="top"/>
          </w:tcPr>
          <w:p w14:paraId="63321C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897" w:type="dxa"/>
          </w:tcPr>
          <w:p w14:paraId="0D8053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150DC9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1019" w:type="dxa"/>
          </w:tcPr>
          <w:p w14:paraId="066907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76" w:type="dxa"/>
            <w:vAlign w:val="top"/>
          </w:tcPr>
          <w:p w14:paraId="7A0402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液相色谱仪</w:t>
            </w:r>
          </w:p>
        </w:tc>
        <w:tc>
          <w:tcPr>
            <w:tcW w:w="1280" w:type="dxa"/>
            <w:vAlign w:val="top"/>
          </w:tcPr>
          <w:p w14:paraId="341D1E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岛津</w:t>
            </w:r>
          </w:p>
        </w:tc>
        <w:tc>
          <w:tcPr>
            <w:tcW w:w="1536" w:type="dxa"/>
            <w:vAlign w:val="top"/>
          </w:tcPr>
          <w:p w14:paraId="754B88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2010A</w:t>
            </w:r>
          </w:p>
        </w:tc>
        <w:tc>
          <w:tcPr>
            <w:tcW w:w="1438" w:type="dxa"/>
            <w:vAlign w:val="top"/>
          </w:tcPr>
          <w:p w14:paraId="2E42F9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</w:tcPr>
          <w:p w14:paraId="1C5B3A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13734A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019" w:type="dxa"/>
          </w:tcPr>
          <w:p w14:paraId="5183A7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376" w:type="dxa"/>
            <w:vAlign w:val="top"/>
          </w:tcPr>
          <w:p w14:paraId="100779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气相色谱仪</w:t>
            </w:r>
          </w:p>
        </w:tc>
        <w:tc>
          <w:tcPr>
            <w:tcW w:w="1280" w:type="dxa"/>
            <w:vAlign w:val="top"/>
          </w:tcPr>
          <w:p w14:paraId="20E111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安捷伦</w:t>
            </w:r>
          </w:p>
        </w:tc>
        <w:tc>
          <w:tcPr>
            <w:tcW w:w="1536" w:type="dxa"/>
            <w:vAlign w:val="top"/>
          </w:tcPr>
          <w:p w14:paraId="297564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7890A</w:t>
            </w:r>
          </w:p>
        </w:tc>
        <w:tc>
          <w:tcPr>
            <w:tcW w:w="1438" w:type="dxa"/>
            <w:vAlign w:val="top"/>
          </w:tcPr>
          <w:p w14:paraId="0EB26B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897" w:type="dxa"/>
          </w:tcPr>
          <w:p w14:paraId="1998D3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070029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  <w:jc w:val="center"/>
        </w:trPr>
        <w:tc>
          <w:tcPr>
            <w:tcW w:w="1019" w:type="dxa"/>
          </w:tcPr>
          <w:p w14:paraId="0F932E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376" w:type="dxa"/>
            <w:vAlign w:val="top"/>
          </w:tcPr>
          <w:p w14:paraId="7973A2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原子吸收分光光度计</w:t>
            </w:r>
          </w:p>
        </w:tc>
        <w:tc>
          <w:tcPr>
            <w:tcW w:w="1280" w:type="dxa"/>
            <w:vAlign w:val="top"/>
          </w:tcPr>
          <w:p w14:paraId="5EFC35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PE</w:t>
            </w:r>
          </w:p>
        </w:tc>
        <w:tc>
          <w:tcPr>
            <w:tcW w:w="1536" w:type="dxa"/>
            <w:vAlign w:val="top"/>
          </w:tcPr>
          <w:p w14:paraId="7CADF5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900+400</w:t>
            </w:r>
          </w:p>
        </w:tc>
        <w:tc>
          <w:tcPr>
            <w:tcW w:w="1438" w:type="dxa"/>
            <w:vAlign w:val="top"/>
          </w:tcPr>
          <w:p w14:paraId="52BE2C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</w:tcPr>
          <w:p w14:paraId="13D0BB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0E9413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6FF6F4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376" w:type="dxa"/>
            <w:vAlign w:val="center"/>
          </w:tcPr>
          <w:p w14:paraId="726DA9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卡尔菲休滴定仪</w:t>
            </w:r>
          </w:p>
        </w:tc>
        <w:tc>
          <w:tcPr>
            <w:tcW w:w="1280" w:type="dxa"/>
            <w:vAlign w:val="center"/>
          </w:tcPr>
          <w:p w14:paraId="578108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梅特勒</w:t>
            </w:r>
          </w:p>
        </w:tc>
        <w:tc>
          <w:tcPr>
            <w:tcW w:w="1536" w:type="dxa"/>
            <w:vAlign w:val="center"/>
          </w:tcPr>
          <w:p w14:paraId="317646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V20</w:t>
            </w:r>
          </w:p>
        </w:tc>
        <w:tc>
          <w:tcPr>
            <w:tcW w:w="1438" w:type="dxa"/>
            <w:vAlign w:val="top"/>
          </w:tcPr>
          <w:p w14:paraId="124436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</w:tcPr>
          <w:p w14:paraId="025488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496F6B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5E0A2B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376" w:type="dxa"/>
            <w:vAlign w:val="center"/>
          </w:tcPr>
          <w:p w14:paraId="758A3C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生物安全柜</w:t>
            </w:r>
          </w:p>
        </w:tc>
        <w:tc>
          <w:tcPr>
            <w:tcW w:w="1280" w:type="dxa"/>
            <w:vAlign w:val="center"/>
          </w:tcPr>
          <w:p w14:paraId="7EAC15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苏州安泰</w:t>
            </w:r>
          </w:p>
        </w:tc>
        <w:tc>
          <w:tcPr>
            <w:tcW w:w="1536" w:type="dxa"/>
            <w:vAlign w:val="center"/>
          </w:tcPr>
          <w:p w14:paraId="50C4C4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BHC-1300ⅡA2</w:t>
            </w:r>
          </w:p>
        </w:tc>
        <w:tc>
          <w:tcPr>
            <w:tcW w:w="1438" w:type="dxa"/>
            <w:vAlign w:val="top"/>
          </w:tcPr>
          <w:p w14:paraId="1AE61E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</w:tcPr>
          <w:p w14:paraId="2939EF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4D677D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2755AD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376" w:type="dxa"/>
            <w:vAlign w:val="center"/>
          </w:tcPr>
          <w:p w14:paraId="13B828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生物安全柜</w:t>
            </w:r>
          </w:p>
        </w:tc>
        <w:tc>
          <w:tcPr>
            <w:tcW w:w="1280" w:type="dxa"/>
            <w:vAlign w:val="center"/>
          </w:tcPr>
          <w:p w14:paraId="281BF4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上海博讯</w:t>
            </w:r>
          </w:p>
        </w:tc>
        <w:tc>
          <w:tcPr>
            <w:tcW w:w="1536" w:type="dxa"/>
            <w:vAlign w:val="center"/>
          </w:tcPr>
          <w:p w14:paraId="45F27B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BSC-1000A2</w:t>
            </w:r>
          </w:p>
        </w:tc>
        <w:tc>
          <w:tcPr>
            <w:tcW w:w="1438" w:type="dxa"/>
            <w:vAlign w:val="top"/>
          </w:tcPr>
          <w:p w14:paraId="66E059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</w:tcPr>
          <w:p w14:paraId="1F517C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68958A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79992F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376" w:type="dxa"/>
            <w:vAlign w:val="center"/>
          </w:tcPr>
          <w:p w14:paraId="4DDEF4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全自动电位滴定仪</w:t>
            </w:r>
          </w:p>
        </w:tc>
        <w:tc>
          <w:tcPr>
            <w:tcW w:w="1280" w:type="dxa"/>
            <w:vAlign w:val="center"/>
          </w:tcPr>
          <w:p w14:paraId="18D8BF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梅特勒</w:t>
            </w:r>
          </w:p>
        </w:tc>
        <w:tc>
          <w:tcPr>
            <w:tcW w:w="1536" w:type="dxa"/>
            <w:vAlign w:val="center"/>
          </w:tcPr>
          <w:p w14:paraId="54C6CD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T50</w:t>
            </w:r>
          </w:p>
        </w:tc>
        <w:tc>
          <w:tcPr>
            <w:tcW w:w="1438" w:type="dxa"/>
            <w:vAlign w:val="top"/>
          </w:tcPr>
          <w:p w14:paraId="105F44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897" w:type="dxa"/>
            <w:vAlign w:val="top"/>
          </w:tcPr>
          <w:p w14:paraId="243630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0DC92A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371B3C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376" w:type="dxa"/>
            <w:vAlign w:val="center"/>
          </w:tcPr>
          <w:p w14:paraId="3F4EF0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自动永停滴定仪</w:t>
            </w:r>
          </w:p>
        </w:tc>
        <w:tc>
          <w:tcPr>
            <w:tcW w:w="1280" w:type="dxa"/>
            <w:vAlign w:val="center"/>
          </w:tcPr>
          <w:p w14:paraId="4C7AD0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上海仪电</w:t>
            </w:r>
          </w:p>
        </w:tc>
        <w:tc>
          <w:tcPr>
            <w:tcW w:w="1536" w:type="dxa"/>
            <w:vAlign w:val="bottom"/>
          </w:tcPr>
          <w:p w14:paraId="4AA84F0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ZDY-500</w:t>
            </w:r>
          </w:p>
        </w:tc>
        <w:tc>
          <w:tcPr>
            <w:tcW w:w="1438" w:type="dxa"/>
            <w:vAlign w:val="top"/>
          </w:tcPr>
          <w:p w14:paraId="318F1A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1684D7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5BAA16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4FCCE4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376" w:type="dxa"/>
            <w:vAlign w:val="center"/>
          </w:tcPr>
          <w:p w14:paraId="235077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低温培养箱</w:t>
            </w:r>
          </w:p>
        </w:tc>
        <w:tc>
          <w:tcPr>
            <w:tcW w:w="1280" w:type="dxa"/>
            <w:vAlign w:val="center"/>
          </w:tcPr>
          <w:p w14:paraId="085ABA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德国制造</w:t>
            </w:r>
          </w:p>
        </w:tc>
        <w:tc>
          <w:tcPr>
            <w:tcW w:w="1536" w:type="dxa"/>
            <w:vAlign w:val="center"/>
          </w:tcPr>
          <w:p w14:paraId="211380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FC-B2V-M/FC222</w:t>
            </w:r>
          </w:p>
        </w:tc>
        <w:tc>
          <w:tcPr>
            <w:tcW w:w="1438" w:type="dxa"/>
            <w:vAlign w:val="top"/>
          </w:tcPr>
          <w:p w14:paraId="142288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260F05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02C347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08527B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376" w:type="dxa"/>
            <w:vAlign w:val="center"/>
          </w:tcPr>
          <w:p w14:paraId="3218ED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荧光分光光度计</w:t>
            </w:r>
          </w:p>
        </w:tc>
        <w:tc>
          <w:tcPr>
            <w:tcW w:w="1280" w:type="dxa"/>
            <w:vAlign w:val="center"/>
          </w:tcPr>
          <w:p w14:paraId="590CC4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岛津</w:t>
            </w:r>
          </w:p>
        </w:tc>
        <w:tc>
          <w:tcPr>
            <w:tcW w:w="1536" w:type="dxa"/>
            <w:vAlign w:val="center"/>
          </w:tcPr>
          <w:p w14:paraId="752457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RF-5301PC</w:t>
            </w:r>
          </w:p>
        </w:tc>
        <w:tc>
          <w:tcPr>
            <w:tcW w:w="1438" w:type="dxa"/>
            <w:vAlign w:val="top"/>
          </w:tcPr>
          <w:p w14:paraId="36C98C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67CE7D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18DE31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4805A5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376" w:type="dxa"/>
            <w:vAlign w:val="center"/>
          </w:tcPr>
          <w:p w14:paraId="676537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离子色谱仪</w:t>
            </w:r>
          </w:p>
        </w:tc>
        <w:tc>
          <w:tcPr>
            <w:tcW w:w="1280" w:type="dxa"/>
            <w:vAlign w:val="center"/>
          </w:tcPr>
          <w:p w14:paraId="00DE9E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DIONEX</w:t>
            </w:r>
          </w:p>
        </w:tc>
        <w:tc>
          <w:tcPr>
            <w:tcW w:w="1536" w:type="dxa"/>
            <w:vAlign w:val="center"/>
          </w:tcPr>
          <w:p w14:paraId="7AE449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ICS-1100</w:t>
            </w:r>
          </w:p>
        </w:tc>
        <w:tc>
          <w:tcPr>
            <w:tcW w:w="1438" w:type="dxa"/>
            <w:vAlign w:val="top"/>
          </w:tcPr>
          <w:p w14:paraId="1F7A74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49AA1D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45F02F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6C8064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376" w:type="dxa"/>
            <w:vAlign w:val="center"/>
          </w:tcPr>
          <w:p w14:paraId="313D43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火焰光度计</w:t>
            </w:r>
          </w:p>
        </w:tc>
        <w:tc>
          <w:tcPr>
            <w:tcW w:w="1280" w:type="dxa"/>
            <w:vAlign w:val="center"/>
          </w:tcPr>
          <w:p w14:paraId="2B1EC6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上海昶析</w:t>
            </w:r>
          </w:p>
        </w:tc>
        <w:tc>
          <w:tcPr>
            <w:tcW w:w="1536" w:type="dxa"/>
            <w:vAlign w:val="bottom"/>
          </w:tcPr>
          <w:p w14:paraId="2C121B6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WGH6420</w:t>
            </w:r>
          </w:p>
        </w:tc>
        <w:tc>
          <w:tcPr>
            <w:tcW w:w="1438" w:type="dxa"/>
            <w:vAlign w:val="top"/>
          </w:tcPr>
          <w:p w14:paraId="5C5DA8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5B2E50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71DA9A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6BA5E2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376" w:type="dxa"/>
            <w:vAlign w:val="center"/>
          </w:tcPr>
          <w:p w14:paraId="76FFFF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全自动凯氏定氮仪</w:t>
            </w:r>
          </w:p>
        </w:tc>
        <w:tc>
          <w:tcPr>
            <w:tcW w:w="1280" w:type="dxa"/>
            <w:vAlign w:val="center"/>
          </w:tcPr>
          <w:p w14:paraId="3E4DB7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海能仪器</w:t>
            </w:r>
          </w:p>
        </w:tc>
        <w:tc>
          <w:tcPr>
            <w:tcW w:w="1536" w:type="dxa"/>
            <w:vAlign w:val="bottom"/>
          </w:tcPr>
          <w:p w14:paraId="6A04EA32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K1100F</w:t>
            </w:r>
          </w:p>
        </w:tc>
        <w:tc>
          <w:tcPr>
            <w:tcW w:w="1438" w:type="dxa"/>
            <w:vAlign w:val="top"/>
          </w:tcPr>
          <w:p w14:paraId="050FA3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3CDC43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0B9B94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51A22B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376" w:type="dxa"/>
            <w:vAlign w:val="center"/>
          </w:tcPr>
          <w:p w14:paraId="720ADD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薄层色谱半自动点样仪</w:t>
            </w:r>
          </w:p>
        </w:tc>
        <w:tc>
          <w:tcPr>
            <w:tcW w:w="1280" w:type="dxa"/>
            <w:vAlign w:val="center"/>
          </w:tcPr>
          <w:p w14:paraId="022855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力扬企业</w:t>
            </w:r>
          </w:p>
        </w:tc>
        <w:tc>
          <w:tcPr>
            <w:tcW w:w="1536" w:type="dxa"/>
            <w:vAlign w:val="center"/>
          </w:tcPr>
          <w:p w14:paraId="5EFE04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Linomat-5</w:t>
            </w:r>
          </w:p>
        </w:tc>
        <w:tc>
          <w:tcPr>
            <w:tcW w:w="1438" w:type="dxa"/>
            <w:vAlign w:val="top"/>
          </w:tcPr>
          <w:p w14:paraId="269B69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6A99BA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273A61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40BB70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376" w:type="dxa"/>
            <w:vAlign w:val="center"/>
          </w:tcPr>
          <w:p w14:paraId="10039A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电子分析天平</w:t>
            </w:r>
          </w:p>
        </w:tc>
        <w:tc>
          <w:tcPr>
            <w:tcW w:w="1280" w:type="dxa"/>
            <w:vAlign w:val="center"/>
          </w:tcPr>
          <w:p w14:paraId="593C8F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赛多利斯</w:t>
            </w:r>
          </w:p>
        </w:tc>
        <w:tc>
          <w:tcPr>
            <w:tcW w:w="1536" w:type="dxa"/>
            <w:vAlign w:val="center"/>
          </w:tcPr>
          <w:p w14:paraId="696DA3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BP110S</w:t>
            </w:r>
          </w:p>
        </w:tc>
        <w:tc>
          <w:tcPr>
            <w:tcW w:w="1438" w:type="dxa"/>
            <w:vAlign w:val="top"/>
          </w:tcPr>
          <w:p w14:paraId="2EA414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355A23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2DE778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088F42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376" w:type="dxa"/>
            <w:vAlign w:val="center"/>
          </w:tcPr>
          <w:p w14:paraId="5A9C30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自动指示旋光仪</w:t>
            </w:r>
          </w:p>
        </w:tc>
        <w:tc>
          <w:tcPr>
            <w:tcW w:w="1280" w:type="dxa"/>
            <w:vAlign w:val="center"/>
          </w:tcPr>
          <w:p w14:paraId="7EF1B7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上海物理</w:t>
            </w:r>
          </w:p>
        </w:tc>
        <w:tc>
          <w:tcPr>
            <w:tcW w:w="1536" w:type="dxa"/>
            <w:vAlign w:val="center"/>
          </w:tcPr>
          <w:p w14:paraId="378495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WZZ-1</w:t>
            </w:r>
          </w:p>
        </w:tc>
        <w:tc>
          <w:tcPr>
            <w:tcW w:w="1438" w:type="dxa"/>
            <w:vAlign w:val="top"/>
          </w:tcPr>
          <w:p w14:paraId="5F2509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1CC122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3861A0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3A5431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376" w:type="dxa"/>
            <w:vAlign w:val="center"/>
          </w:tcPr>
          <w:p w14:paraId="742A70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傅立叶红外分光光度计</w:t>
            </w:r>
          </w:p>
        </w:tc>
        <w:tc>
          <w:tcPr>
            <w:tcW w:w="1280" w:type="dxa"/>
            <w:vAlign w:val="center"/>
          </w:tcPr>
          <w:p w14:paraId="1595A9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PE</w:t>
            </w:r>
          </w:p>
        </w:tc>
        <w:tc>
          <w:tcPr>
            <w:tcW w:w="1536" w:type="dxa"/>
            <w:vAlign w:val="center"/>
          </w:tcPr>
          <w:p w14:paraId="5CF920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spectrum100</w:t>
            </w:r>
          </w:p>
        </w:tc>
        <w:tc>
          <w:tcPr>
            <w:tcW w:w="1438" w:type="dxa"/>
            <w:vAlign w:val="top"/>
          </w:tcPr>
          <w:p w14:paraId="7304A2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28DBF5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070000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679D8E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376" w:type="dxa"/>
            <w:vAlign w:val="center"/>
          </w:tcPr>
          <w:p w14:paraId="126D9E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紫外可见分光光度计</w:t>
            </w:r>
          </w:p>
        </w:tc>
        <w:tc>
          <w:tcPr>
            <w:tcW w:w="1280" w:type="dxa"/>
            <w:vAlign w:val="center"/>
          </w:tcPr>
          <w:p w14:paraId="4EE120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岛津</w:t>
            </w:r>
          </w:p>
        </w:tc>
        <w:tc>
          <w:tcPr>
            <w:tcW w:w="1536" w:type="dxa"/>
            <w:vAlign w:val="bottom"/>
          </w:tcPr>
          <w:p w14:paraId="351091F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UV2600</w:t>
            </w:r>
          </w:p>
        </w:tc>
        <w:tc>
          <w:tcPr>
            <w:tcW w:w="1438" w:type="dxa"/>
            <w:vAlign w:val="top"/>
          </w:tcPr>
          <w:p w14:paraId="6409C2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440FAC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10FB39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542932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376" w:type="dxa"/>
            <w:vAlign w:val="center"/>
          </w:tcPr>
          <w:p w14:paraId="2BAC5F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酸度计</w:t>
            </w:r>
          </w:p>
        </w:tc>
        <w:tc>
          <w:tcPr>
            <w:tcW w:w="1280" w:type="dxa"/>
            <w:vAlign w:val="center"/>
          </w:tcPr>
          <w:p w14:paraId="0C0007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梅特勒</w:t>
            </w:r>
          </w:p>
        </w:tc>
        <w:tc>
          <w:tcPr>
            <w:tcW w:w="1536" w:type="dxa"/>
            <w:vAlign w:val="center"/>
          </w:tcPr>
          <w:p w14:paraId="42486F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FE28</w:t>
            </w:r>
          </w:p>
        </w:tc>
        <w:tc>
          <w:tcPr>
            <w:tcW w:w="1438" w:type="dxa"/>
            <w:vAlign w:val="top"/>
          </w:tcPr>
          <w:p w14:paraId="34D397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04F15A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478B80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21065F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376" w:type="dxa"/>
            <w:vAlign w:val="center"/>
          </w:tcPr>
          <w:p w14:paraId="59A411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显微镜</w:t>
            </w:r>
          </w:p>
        </w:tc>
        <w:tc>
          <w:tcPr>
            <w:tcW w:w="1280" w:type="dxa"/>
            <w:vAlign w:val="top"/>
          </w:tcPr>
          <w:p w14:paraId="7F5EEB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OLYMPUS</w:t>
            </w:r>
          </w:p>
        </w:tc>
        <w:tc>
          <w:tcPr>
            <w:tcW w:w="1536" w:type="dxa"/>
            <w:vAlign w:val="center"/>
          </w:tcPr>
          <w:p w14:paraId="6C9F6C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CHC</w:t>
            </w:r>
          </w:p>
        </w:tc>
        <w:tc>
          <w:tcPr>
            <w:tcW w:w="1438" w:type="dxa"/>
            <w:vAlign w:val="top"/>
          </w:tcPr>
          <w:p w14:paraId="05219A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19E341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413E8F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702D97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376" w:type="dxa"/>
            <w:vAlign w:val="center"/>
          </w:tcPr>
          <w:p w14:paraId="67A267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显微镜</w:t>
            </w:r>
          </w:p>
        </w:tc>
        <w:tc>
          <w:tcPr>
            <w:tcW w:w="1280" w:type="dxa"/>
            <w:vAlign w:val="top"/>
          </w:tcPr>
          <w:p w14:paraId="6A0632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OLYMPUS</w:t>
            </w:r>
          </w:p>
        </w:tc>
        <w:tc>
          <w:tcPr>
            <w:tcW w:w="1536" w:type="dxa"/>
            <w:vAlign w:val="center"/>
          </w:tcPr>
          <w:p w14:paraId="358FD0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CHC</w:t>
            </w:r>
          </w:p>
        </w:tc>
        <w:tc>
          <w:tcPr>
            <w:tcW w:w="1438" w:type="dxa"/>
            <w:vAlign w:val="top"/>
          </w:tcPr>
          <w:p w14:paraId="5191F5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51C8F6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5F5A8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6B2FEE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376" w:type="dxa"/>
            <w:vAlign w:val="center"/>
          </w:tcPr>
          <w:p w14:paraId="02026E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显微镜</w:t>
            </w:r>
          </w:p>
        </w:tc>
        <w:tc>
          <w:tcPr>
            <w:tcW w:w="1280" w:type="dxa"/>
            <w:vAlign w:val="top"/>
          </w:tcPr>
          <w:p w14:paraId="132281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OLYMPUS</w:t>
            </w:r>
          </w:p>
        </w:tc>
        <w:tc>
          <w:tcPr>
            <w:tcW w:w="1536" w:type="dxa"/>
            <w:vAlign w:val="center"/>
          </w:tcPr>
          <w:p w14:paraId="1EB516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</w:t>
            </w:r>
          </w:p>
        </w:tc>
        <w:tc>
          <w:tcPr>
            <w:tcW w:w="1438" w:type="dxa"/>
            <w:vAlign w:val="top"/>
          </w:tcPr>
          <w:p w14:paraId="30FA03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3BD462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39FAE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774CD1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376" w:type="dxa"/>
            <w:vAlign w:val="center"/>
          </w:tcPr>
          <w:p w14:paraId="24C704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薄层色谱仪</w:t>
            </w:r>
          </w:p>
        </w:tc>
        <w:tc>
          <w:tcPr>
            <w:tcW w:w="1280" w:type="dxa"/>
            <w:vAlign w:val="center"/>
          </w:tcPr>
          <w:p w14:paraId="7709E6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力扬</w:t>
            </w:r>
          </w:p>
        </w:tc>
        <w:tc>
          <w:tcPr>
            <w:tcW w:w="1536" w:type="dxa"/>
            <w:vAlign w:val="center"/>
          </w:tcPr>
          <w:p w14:paraId="38EACC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CAMAG</w:t>
            </w:r>
          </w:p>
        </w:tc>
        <w:tc>
          <w:tcPr>
            <w:tcW w:w="1438" w:type="dxa"/>
            <w:vAlign w:val="top"/>
          </w:tcPr>
          <w:p w14:paraId="452EB1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5519FE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3DACF7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3F1151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376" w:type="dxa"/>
            <w:vAlign w:val="center"/>
          </w:tcPr>
          <w:p w14:paraId="7805EF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专家型微波消解仪</w:t>
            </w:r>
          </w:p>
        </w:tc>
        <w:tc>
          <w:tcPr>
            <w:tcW w:w="1280" w:type="dxa"/>
            <w:vAlign w:val="center"/>
          </w:tcPr>
          <w:p w14:paraId="2284DC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上海屹尧</w:t>
            </w:r>
          </w:p>
        </w:tc>
        <w:tc>
          <w:tcPr>
            <w:tcW w:w="1536" w:type="dxa"/>
            <w:vAlign w:val="center"/>
          </w:tcPr>
          <w:p w14:paraId="7F5A4A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WX-8000</w:t>
            </w:r>
          </w:p>
        </w:tc>
        <w:tc>
          <w:tcPr>
            <w:tcW w:w="1438" w:type="dxa"/>
            <w:vAlign w:val="top"/>
          </w:tcPr>
          <w:p w14:paraId="181673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  <w:vAlign w:val="top"/>
          </w:tcPr>
          <w:p w14:paraId="12D56F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7BCA90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2FC946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376" w:type="dxa"/>
            <w:vAlign w:val="center"/>
          </w:tcPr>
          <w:p w14:paraId="6F4CD4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全自动凯氏定氮仪</w:t>
            </w:r>
          </w:p>
        </w:tc>
        <w:tc>
          <w:tcPr>
            <w:tcW w:w="1280" w:type="dxa"/>
            <w:vAlign w:val="center"/>
          </w:tcPr>
          <w:p w14:paraId="55CF29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海能仪器</w:t>
            </w:r>
          </w:p>
        </w:tc>
        <w:tc>
          <w:tcPr>
            <w:tcW w:w="1536" w:type="dxa"/>
            <w:vAlign w:val="bottom"/>
          </w:tcPr>
          <w:p w14:paraId="48E64389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K1100F</w:t>
            </w:r>
          </w:p>
        </w:tc>
        <w:tc>
          <w:tcPr>
            <w:tcW w:w="1438" w:type="dxa"/>
            <w:vAlign w:val="top"/>
          </w:tcPr>
          <w:p w14:paraId="2EDCA6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</w:tcPr>
          <w:p w14:paraId="26E921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6EA4CF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38F891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376" w:type="dxa"/>
            <w:vAlign w:val="center"/>
          </w:tcPr>
          <w:p w14:paraId="4EA0F1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智能崩解仪</w:t>
            </w:r>
          </w:p>
        </w:tc>
        <w:tc>
          <w:tcPr>
            <w:tcW w:w="1280" w:type="dxa"/>
            <w:vAlign w:val="center"/>
          </w:tcPr>
          <w:p w14:paraId="504EB3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天津创兴</w:t>
            </w:r>
          </w:p>
        </w:tc>
        <w:tc>
          <w:tcPr>
            <w:tcW w:w="1536" w:type="dxa"/>
            <w:vAlign w:val="bottom"/>
          </w:tcPr>
          <w:p w14:paraId="7C35403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BJ-6D  </w:t>
            </w:r>
          </w:p>
        </w:tc>
        <w:tc>
          <w:tcPr>
            <w:tcW w:w="1438" w:type="dxa"/>
            <w:vAlign w:val="top"/>
          </w:tcPr>
          <w:p w14:paraId="4AE6E7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97" w:type="dxa"/>
          </w:tcPr>
          <w:p w14:paraId="5BACF4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  <w:tr w14:paraId="67BEB0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019" w:type="dxa"/>
            <w:vAlign w:val="center"/>
          </w:tcPr>
          <w:p w14:paraId="0FBC23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376" w:type="dxa"/>
            <w:vAlign w:val="center"/>
          </w:tcPr>
          <w:p w14:paraId="169AD6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280" w:type="dxa"/>
            <w:vAlign w:val="center"/>
          </w:tcPr>
          <w:p w14:paraId="6A4045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\</w:t>
            </w:r>
          </w:p>
        </w:tc>
        <w:tc>
          <w:tcPr>
            <w:tcW w:w="1536" w:type="dxa"/>
            <w:vAlign w:val="bottom"/>
          </w:tcPr>
          <w:p w14:paraId="3D877CA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\</w:t>
            </w:r>
          </w:p>
        </w:tc>
        <w:tc>
          <w:tcPr>
            <w:tcW w:w="1438" w:type="dxa"/>
            <w:vAlign w:val="top"/>
          </w:tcPr>
          <w:p w14:paraId="2A56C1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= sum(E2:E31) \* MERGEFORMAT </w:instrTex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897" w:type="dxa"/>
          </w:tcPr>
          <w:p w14:paraId="537F2F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</w:tr>
    </w:tbl>
    <w:p w14:paraId="1C193E27"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44"/>
          <w:lang w:eastAsia="zh-CN"/>
        </w:rPr>
        <w:t>塔城地区食品药品检验所</w:t>
      </w:r>
    </w:p>
    <w:p w14:paraId="633AD591">
      <w:pPr>
        <w:jc w:val="center"/>
        <w:rPr>
          <w:rFonts w:hint="default" w:ascii="方正小标宋简体" w:hAnsi="方正小标宋简体" w:eastAsia="方正小标宋简体" w:cs="方正小标宋简体"/>
          <w:sz w:val="36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44"/>
          <w:lang w:eastAsia="zh-CN"/>
        </w:rPr>
        <w:t>大型、精密设备用电保养服务一览表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04581099-0212-4E47-9A65-A4B18DDCEB67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06422BE"/>
    <w:multiLevelType w:val="singleLevel"/>
    <w:tmpl w:val="C06422BE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D029509B"/>
    <w:multiLevelType w:val="singleLevel"/>
    <w:tmpl w:val="D029509B"/>
    <w:lvl w:ilvl="0" w:tentative="0">
      <w:start w:val="7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FF1FFEF9"/>
    <w:multiLevelType w:val="singleLevel"/>
    <w:tmpl w:val="FF1FFEF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6A54165F"/>
    <w:multiLevelType w:val="singleLevel"/>
    <w:tmpl w:val="6A54165F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71B163B2"/>
    <w:multiLevelType w:val="singleLevel"/>
    <w:tmpl w:val="71B163B2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iYjk5NmE4N2EwODg4OGU5NDEyODNmNDk4NWJmNjYifQ=="/>
  </w:docVars>
  <w:rsids>
    <w:rsidRoot w:val="520462C6"/>
    <w:rsid w:val="10B24EE2"/>
    <w:rsid w:val="1D8F0CAF"/>
    <w:rsid w:val="1FEF1D33"/>
    <w:rsid w:val="3C1D10AF"/>
    <w:rsid w:val="520462C6"/>
    <w:rsid w:val="53EB7A5D"/>
    <w:rsid w:val="73C81214"/>
    <w:rsid w:val="7D6F9A3E"/>
    <w:rsid w:val="8F2B7346"/>
    <w:rsid w:val="F9FF51BC"/>
    <w:rsid w:val="FFF34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1622</Words>
  <Characters>1844</Characters>
  <Lines>0</Lines>
  <Paragraphs>0</Paragraphs>
  <TotalTime>11</TotalTime>
  <ScaleCrop>false</ScaleCrop>
  <LinksUpToDate>false</LinksUpToDate>
  <CharactersWithSpaces>1851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2023-09-16T02:51:00Z</dcterms:created>
  <dc:creator>吴慧彬</dc:creator>
  <cp:lastModifiedBy>唿洏妗嗄1396871348</cp:lastModifiedBy>
  <dcterms:modified xsi:type="dcterms:W3CDTF">2024-11-20T05:03:26Z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4B14040A399A4A7DA5CE33070DE50218_13</vt:lpwstr>
  </property>
</Properties>
</file>