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A28" w:rsidRDefault="002F6E21">
      <w:pPr>
        <w:jc w:val="center"/>
        <w:rPr>
          <w:sz w:val="28"/>
          <w:szCs w:val="28"/>
        </w:rPr>
      </w:pPr>
      <w:r>
        <w:rPr>
          <w:rFonts w:hint="eastAsia"/>
          <w:b/>
          <w:bCs/>
          <w:sz w:val="32"/>
          <w:szCs w:val="32"/>
        </w:rPr>
        <w:t>托里县文旅局户户通双模机顶盒</w:t>
      </w:r>
    </w:p>
    <w:p w:rsidR="008F7A28" w:rsidRDefault="002F6E21">
      <w:pPr>
        <w:jc w:val="center"/>
        <w:rPr>
          <w:b/>
          <w:bCs/>
          <w:sz w:val="28"/>
          <w:szCs w:val="28"/>
        </w:rPr>
      </w:pPr>
      <w:r>
        <w:rPr>
          <w:rFonts w:hint="eastAsia"/>
          <w:b/>
          <w:bCs/>
          <w:sz w:val="28"/>
          <w:szCs w:val="28"/>
        </w:rPr>
        <w:t>一、设备技术参数要求</w:t>
      </w:r>
    </w:p>
    <w:p w:rsidR="008F7A28" w:rsidRDefault="002F6E21">
      <w:pPr>
        <w:jc w:val="center"/>
        <w:rPr>
          <w:rFonts w:asciiTheme="minorEastAsia" w:hAnsiTheme="minorEastAsia" w:cstheme="minorEastAsia"/>
          <w:b/>
          <w:bCs/>
          <w:sz w:val="24"/>
        </w:rPr>
      </w:pPr>
      <w:r>
        <w:rPr>
          <w:rFonts w:asciiTheme="minorEastAsia" w:hAnsiTheme="minorEastAsia" w:cstheme="minorEastAsia" w:hint="eastAsia"/>
          <w:b/>
          <w:bCs/>
          <w:sz w:val="24"/>
        </w:rPr>
        <w:t>（一）户户通双模机顶盒（</w:t>
      </w:r>
      <w:r>
        <w:rPr>
          <w:rFonts w:ascii="宋体" w:eastAsia="宋体" w:hAnsi="宋体" w:cs="宋体" w:hint="eastAsia"/>
          <w:kern w:val="0"/>
          <w:sz w:val="24"/>
        </w:rPr>
        <w:t>北斗接收+DTMB接收</w:t>
      </w:r>
      <w:r>
        <w:rPr>
          <w:rFonts w:asciiTheme="minorEastAsia" w:hAnsiTheme="minorEastAsia" w:cstheme="minorEastAsia" w:hint="eastAsia"/>
          <w:b/>
          <w:bCs/>
          <w:sz w:val="24"/>
        </w:rPr>
        <w:t>）</w:t>
      </w:r>
    </w:p>
    <w:p w:rsidR="008F7A28" w:rsidRDefault="002F6E21">
      <w:pPr>
        <w:tabs>
          <w:tab w:val="left" w:pos="0"/>
        </w:tabs>
        <w:spacing w:line="320" w:lineRule="exact"/>
        <w:rPr>
          <w:rFonts w:ascii="仿宋" w:eastAsia="仿宋" w:hAnsi="仿宋" w:cs="宋体"/>
          <w:color w:val="FF0000"/>
          <w:sz w:val="24"/>
        </w:rPr>
      </w:pPr>
      <w:r>
        <w:rPr>
          <w:rFonts w:ascii="宋体" w:hAnsi="宋体" w:cs="宋体" w:hint="eastAsia"/>
          <w:color w:val="FF0000"/>
          <w:kern w:val="0"/>
          <w:szCs w:val="22"/>
        </w:rPr>
        <w:t>▲</w:t>
      </w:r>
      <w:r>
        <w:rPr>
          <w:rFonts w:ascii="仿宋" w:eastAsia="仿宋" w:hAnsi="仿宋" w:cs="宋体" w:hint="eastAsia"/>
          <w:color w:val="FF0000"/>
          <w:sz w:val="24"/>
        </w:rPr>
        <w:t>卫星直播系统综合接收解码器具有国家广播电视总局广播电视设备器材入网认定证书。</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1.采用TVOS智能系统，支持DCAS可下载CA系统；</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2.主芯片内置北斗定位功能；</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3.在线路板上双面(主板、电源板等)涂覆绝缘漆处理，有效防止因潮湿、高温、霉菌、盐雾等情况对电路的损害；</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4.至少具有1个USB2.0接口、1个HMDI1.4a接口和1个AV接口；</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5.产品硬件配置要求：</w:t>
      </w:r>
    </w:p>
    <w:tbl>
      <w:tblPr>
        <w:tblW w:w="64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683"/>
        <w:gridCol w:w="3736"/>
      </w:tblGrid>
      <w:tr w:rsidR="008F7A28">
        <w:trPr>
          <w:trHeight w:val="456"/>
        </w:trPr>
        <w:tc>
          <w:tcPr>
            <w:tcW w:w="2683" w:type="dxa"/>
          </w:tcPr>
          <w:p w:rsidR="008F7A28" w:rsidRDefault="002F6E21">
            <w:pPr>
              <w:tabs>
                <w:tab w:val="left" w:pos="0"/>
              </w:tabs>
              <w:spacing w:line="320" w:lineRule="exact"/>
              <w:rPr>
                <w:rFonts w:ascii="仿宋" w:eastAsia="仿宋" w:hAnsi="仿宋" w:cs="宋体"/>
                <w:b/>
                <w:bCs/>
                <w:sz w:val="24"/>
              </w:rPr>
            </w:pPr>
            <w:r>
              <w:rPr>
                <w:rFonts w:ascii="仿宋" w:eastAsia="仿宋" w:hAnsi="仿宋" w:cs="宋体" w:hint="eastAsia"/>
                <w:b/>
                <w:bCs/>
                <w:sz w:val="24"/>
              </w:rPr>
              <w:t>名称</w:t>
            </w:r>
          </w:p>
        </w:tc>
        <w:tc>
          <w:tcPr>
            <w:tcW w:w="3736" w:type="dxa"/>
          </w:tcPr>
          <w:p w:rsidR="008F7A28" w:rsidRDefault="002F6E21">
            <w:pPr>
              <w:tabs>
                <w:tab w:val="left" w:pos="0"/>
              </w:tabs>
              <w:spacing w:line="320" w:lineRule="exact"/>
              <w:rPr>
                <w:rFonts w:ascii="仿宋" w:eastAsia="仿宋" w:hAnsi="仿宋" w:cs="宋体"/>
                <w:b/>
                <w:bCs/>
                <w:sz w:val="24"/>
              </w:rPr>
            </w:pPr>
            <w:r>
              <w:rPr>
                <w:rFonts w:ascii="仿宋" w:eastAsia="仿宋" w:hAnsi="仿宋" w:cs="宋体" w:hint="eastAsia"/>
                <w:b/>
                <w:bCs/>
                <w:sz w:val="24"/>
              </w:rPr>
              <w:t>配置要求</w:t>
            </w:r>
          </w:p>
        </w:tc>
      </w:tr>
      <w:tr w:rsidR="008F7A28">
        <w:trPr>
          <w:trHeight w:val="467"/>
        </w:trPr>
        <w:tc>
          <w:tcPr>
            <w:tcW w:w="2683" w:type="dxa"/>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卫星解调芯片</w:t>
            </w:r>
          </w:p>
        </w:tc>
        <w:tc>
          <w:tcPr>
            <w:tcW w:w="3736" w:type="dxa"/>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内置</w:t>
            </w:r>
          </w:p>
        </w:tc>
      </w:tr>
      <w:tr w:rsidR="008F7A28">
        <w:trPr>
          <w:trHeight w:val="391"/>
        </w:trPr>
        <w:tc>
          <w:tcPr>
            <w:tcW w:w="2683" w:type="dxa"/>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FLASH</w:t>
            </w:r>
          </w:p>
        </w:tc>
        <w:tc>
          <w:tcPr>
            <w:tcW w:w="3736" w:type="dxa"/>
            <w:vAlign w:val="center"/>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至少256MB</w:t>
            </w:r>
          </w:p>
        </w:tc>
      </w:tr>
      <w:tr w:rsidR="008F7A28">
        <w:trPr>
          <w:trHeight w:val="424"/>
        </w:trPr>
        <w:tc>
          <w:tcPr>
            <w:tcW w:w="2683" w:type="dxa"/>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动态内存</w:t>
            </w:r>
          </w:p>
        </w:tc>
        <w:tc>
          <w:tcPr>
            <w:tcW w:w="3736" w:type="dxa"/>
            <w:vAlign w:val="center"/>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至少512MB</w:t>
            </w:r>
          </w:p>
        </w:tc>
      </w:tr>
      <w:tr w:rsidR="008F7A28">
        <w:trPr>
          <w:trHeight w:val="478"/>
        </w:trPr>
        <w:tc>
          <w:tcPr>
            <w:tcW w:w="2683" w:type="dxa"/>
            <w:tcBorders>
              <w:bottom w:val="single" w:sz="4" w:space="0" w:color="auto"/>
            </w:tcBorders>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定位模块</w:t>
            </w:r>
          </w:p>
        </w:tc>
        <w:tc>
          <w:tcPr>
            <w:tcW w:w="3736" w:type="dxa"/>
            <w:tcBorders>
              <w:bottom w:val="single" w:sz="4" w:space="0" w:color="auto"/>
            </w:tcBorders>
            <w:vAlign w:val="center"/>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北斗定位</w:t>
            </w:r>
          </w:p>
        </w:tc>
      </w:tr>
      <w:tr w:rsidR="008F7A28">
        <w:trPr>
          <w:trHeight w:val="473"/>
        </w:trPr>
        <w:tc>
          <w:tcPr>
            <w:tcW w:w="2683" w:type="dxa"/>
            <w:tcBorders>
              <w:top w:val="single" w:sz="4" w:space="0" w:color="auto"/>
            </w:tcBorders>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地面解调芯片</w:t>
            </w:r>
          </w:p>
        </w:tc>
        <w:tc>
          <w:tcPr>
            <w:tcW w:w="3736" w:type="dxa"/>
            <w:tcBorders>
              <w:top w:val="single" w:sz="4" w:space="0" w:color="auto"/>
            </w:tcBorders>
            <w:vAlign w:val="center"/>
          </w:tcPr>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国科GK52系列</w:t>
            </w:r>
          </w:p>
        </w:tc>
      </w:tr>
    </w:tbl>
    <w:p w:rsidR="008F7A28" w:rsidRDefault="008F7A28">
      <w:pPr>
        <w:pStyle w:val="1"/>
      </w:pPr>
    </w:p>
    <w:p w:rsidR="008F7A28" w:rsidRDefault="002F6E21">
      <w:pPr>
        <w:jc w:val="center"/>
        <w:rPr>
          <w:b/>
          <w:bCs/>
          <w:sz w:val="24"/>
        </w:rPr>
      </w:pPr>
      <w:r>
        <w:rPr>
          <w:rFonts w:hint="eastAsia"/>
          <w:b/>
          <w:bCs/>
          <w:sz w:val="24"/>
        </w:rPr>
        <w:t>（二）</w:t>
      </w:r>
      <w:r>
        <w:rPr>
          <w:rFonts w:ascii="宋体" w:eastAsia="宋体" w:hAnsi="宋体" w:cs="宋体" w:hint="eastAsia"/>
          <w:b/>
          <w:bCs/>
          <w:kern w:val="0"/>
          <w:sz w:val="24"/>
        </w:rPr>
        <w:t>卫星接收天线</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1、天线增益≥32.8dBi。</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2、外观、标识</w:t>
      </w:r>
    </w:p>
    <w:p w:rsidR="008F7A28" w:rsidRDefault="002F6E21">
      <w:pPr>
        <w:tabs>
          <w:tab w:val="left" w:pos="0"/>
        </w:tabs>
        <w:spacing w:line="320" w:lineRule="exact"/>
        <w:rPr>
          <w:rFonts w:ascii="仿宋" w:eastAsia="仿宋" w:hAnsi="仿宋" w:cs="宋体"/>
          <w:color w:val="FF0000"/>
          <w:sz w:val="24"/>
        </w:rPr>
      </w:pPr>
      <w:r>
        <w:rPr>
          <w:rFonts w:ascii="宋体" w:hAnsi="宋体" w:cs="宋体" w:hint="eastAsia"/>
          <w:color w:val="FF0000"/>
          <w:kern w:val="0"/>
          <w:szCs w:val="22"/>
        </w:rPr>
        <w:t>▲</w:t>
      </w:r>
      <w:r>
        <w:rPr>
          <w:rFonts w:ascii="仿宋" w:eastAsia="仿宋" w:hAnsi="仿宋" w:cs="宋体" w:hint="eastAsia"/>
          <w:color w:val="FF0000"/>
          <w:sz w:val="24"/>
        </w:rPr>
        <w:t>天线反射面应印制广播电视总局发布的直播卫星户户通接收设施的标识和图形。</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3、使用寿命</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使用寿命不少于7年(自安装之日起)。</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4、环境适应性</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表面应不起泡、不变形、无裂纹、不断裂。应符合GB-T16954-1997《KU频段卫星电视地球接收站通用规范》中有关天线部份的指标标准要求。</w:t>
      </w:r>
    </w:p>
    <w:p w:rsidR="008F7A28" w:rsidRDefault="002F6E21">
      <w:pPr>
        <w:tabs>
          <w:tab w:val="left" w:pos="0"/>
        </w:tabs>
        <w:spacing w:line="320" w:lineRule="exact"/>
        <w:rPr>
          <w:rFonts w:ascii="仿宋" w:eastAsia="仿宋" w:hAnsi="仿宋" w:cs="宋体"/>
          <w:sz w:val="24"/>
        </w:rPr>
      </w:pPr>
      <w:r>
        <w:rPr>
          <w:rFonts w:ascii="仿宋" w:eastAsia="仿宋" w:hAnsi="仿宋" w:cs="宋体" w:hint="eastAsia"/>
          <w:sz w:val="24"/>
        </w:rPr>
        <w:t>5、产品说明书</w:t>
      </w:r>
    </w:p>
    <w:p w:rsidR="008F7A28" w:rsidRDefault="002F6E21">
      <w:pPr>
        <w:ind w:firstLineChars="100" w:firstLine="240"/>
        <w:jc w:val="left"/>
        <w:rPr>
          <w:sz w:val="24"/>
        </w:rPr>
      </w:pPr>
      <w:r>
        <w:rPr>
          <w:rFonts w:ascii="仿宋" w:eastAsia="仿宋" w:hAnsi="仿宋" w:cs="宋体" w:hint="eastAsia"/>
          <w:sz w:val="24"/>
        </w:rPr>
        <w:t>说明书中应给出天线的焦径比和适应的馈源(含一体化高频头)照射角等主要参数。特别对安装、搬运过程中的安全性应做出明确规定。</w:t>
      </w:r>
    </w:p>
    <w:p w:rsidR="008F7A28" w:rsidRDefault="002F6E21">
      <w:pPr>
        <w:pStyle w:val="1"/>
        <w:jc w:val="center"/>
        <w:rPr>
          <w:b/>
          <w:bCs/>
        </w:rPr>
      </w:pPr>
      <w:r>
        <w:rPr>
          <w:rFonts w:hint="eastAsia"/>
          <w:b/>
          <w:bCs/>
        </w:rPr>
        <w:t>（三）</w:t>
      </w:r>
      <w:r>
        <w:rPr>
          <w:rFonts w:ascii="Calibri" w:eastAsia="宋体" w:hAnsi="Calibri" w:cs="Calibri"/>
          <w:b/>
          <w:bCs/>
          <w:kern w:val="0"/>
        </w:rPr>
        <w:t>高频头</w:t>
      </w:r>
    </w:p>
    <w:p w:rsidR="008F7A28" w:rsidRDefault="002F6E21">
      <w:pPr>
        <w:tabs>
          <w:tab w:val="left" w:pos="0"/>
        </w:tabs>
        <w:spacing w:line="320" w:lineRule="exact"/>
        <w:ind w:firstLineChars="200" w:firstLine="480"/>
        <w:rPr>
          <w:rFonts w:ascii="仿宋" w:eastAsia="仿宋" w:hAnsi="仿宋" w:cs="仿宋"/>
          <w:sz w:val="24"/>
        </w:rPr>
      </w:pPr>
      <w:r>
        <w:rPr>
          <w:rFonts w:ascii="仿宋" w:eastAsia="仿宋" w:hAnsi="仿宋" w:cs="仿宋" w:hint="eastAsia"/>
          <w:sz w:val="24"/>
        </w:rPr>
        <w:t>高频头应满足GY/T 232-2011《卫星直播系统一体化下变频器技术要求和测量方法》的技术要求。</w:t>
      </w:r>
    </w:p>
    <w:p w:rsidR="008F7A28" w:rsidRDefault="002F6E21">
      <w:pPr>
        <w:tabs>
          <w:tab w:val="left" w:pos="0"/>
        </w:tabs>
        <w:spacing w:line="320" w:lineRule="exact"/>
        <w:rPr>
          <w:rFonts w:ascii="仿宋" w:eastAsia="仿宋" w:hAnsi="仿宋" w:cs="仿宋"/>
          <w:sz w:val="24"/>
        </w:rPr>
      </w:pPr>
      <w:r>
        <w:rPr>
          <w:rFonts w:ascii="仿宋" w:eastAsia="仿宋" w:hAnsi="仿宋" w:cs="仿宋" w:hint="eastAsia"/>
          <w:sz w:val="24"/>
        </w:rPr>
        <w:t>1、增益≥55dB；噪声系数≤1.35dB。</w:t>
      </w:r>
    </w:p>
    <w:p w:rsidR="008F7A28" w:rsidRDefault="002F6E21">
      <w:pPr>
        <w:tabs>
          <w:tab w:val="left" w:pos="0"/>
        </w:tabs>
        <w:spacing w:line="320" w:lineRule="exact"/>
        <w:rPr>
          <w:rFonts w:ascii="仿宋" w:eastAsia="仿宋" w:hAnsi="仿宋" w:cs="仿宋"/>
          <w:sz w:val="24"/>
        </w:rPr>
      </w:pPr>
      <w:r>
        <w:rPr>
          <w:rFonts w:ascii="仿宋" w:eastAsia="仿宋" w:hAnsi="仿宋" w:cs="仿宋" w:hint="eastAsia"/>
          <w:sz w:val="24"/>
        </w:rPr>
        <w:t>2、外观、标识</w:t>
      </w:r>
    </w:p>
    <w:p w:rsidR="008F7A28" w:rsidRDefault="002F6E21">
      <w:pPr>
        <w:tabs>
          <w:tab w:val="left" w:pos="0"/>
        </w:tabs>
        <w:spacing w:line="320" w:lineRule="exact"/>
        <w:rPr>
          <w:rFonts w:ascii="仿宋" w:eastAsia="仿宋" w:hAnsi="仿宋" w:cs="仿宋"/>
          <w:sz w:val="24"/>
        </w:rPr>
      </w:pPr>
      <w:r>
        <w:rPr>
          <w:rFonts w:ascii="仿宋" w:eastAsia="仿宋" w:hAnsi="仿宋" w:cs="仿宋" w:hint="eastAsia"/>
          <w:sz w:val="24"/>
        </w:rPr>
        <w:t>不应有明显的开裂、变形、划伤、脱漆、锈蚀等缺陷，螺钉固定应牢固不松动，</w:t>
      </w:r>
      <w:r>
        <w:rPr>
          <w:rFonts w:ascii="仿宋" w:eastAsia="仿宋" w:hAnsi="仿宋" w:cs="仿宋" w:hint="eastAsia"/>
          <w:sz w:val="24"/>
        </w:rPr>
        <w:lastRenderedPageBreak/>
        <w:t>标识清晰、正确，有防水措施。配备F头防水胶带(不低于10厘米)或防水堵头。</w:t>
      </w:r>
    </w:p>
    <w:p w:rsidR="008F7A28" w:rsidRDefault="002F6E21">
      <w:pPr>
        <w:tabs>
          <w:tab w:val="left" w:pos="0"/>
        </w:tabs>
        <w:spacing w:line="320" w:lineRule="exact"/>
        <w:rPr>
          <w:rFonts w:ascii="仿宋" w:eastAsia="仿宋" w:hAnsi="仿宋" w:cs="仿宋"/>
          <w:color w:val="FF0000"/>
          <w:sz w:val="24"/>
        </w:rPr>
      </w:pPr>
      <w:r>
        <w:rPr>
          <w:rFonts w:ascii="仿宋" w:eastAsia="仿宋" w:hAnsi="仿宋" w:cs="仿宋" w:hint="eastAsia"/>
          <w:color w:val="FF0000"/>
          <w:kern w:val="0"/>
          <w:szCs w:val="22"/>
        </w:rPr>
        <w:t>▲</w:t>
      </w:r>
      <w:r>
        <w:rPr>
          <w:rFonts w:ascii="仿宋" w:eastAsia="仿宋" w:hAnsi="仿宋" w:cs="仿宋" w:hint="eastAsia"/>
          <w:color w:val="FF0000"/>
          <w:sz w:val="24"/>
        </w:rPr>
        <w:t>高频头应印制广播电视总局发布的直播卫星户户通接收设施的标识和图形。</w:t>
      </w:r>
    </w:p>
    <w:p w:rsidR="008F7A28" w:rsidRDefault="002F6E21">
      <w:pPr>
        <w:tabs>
          <w:tab w:val="left" w:pos="0"/>
        </w:tabs>
        <w:spacing w:line="320" w:lineRule="exact"/>
        <w:rPr>
          <w:rFonts w:ascii="仿宋" w:eastAsia="仿宋" w:hAnsi="仿宋" w:cs="仿宋"/>
          <w:sz w:val="24"/>
        </w:rPr>
      </w:pPr>
      <w:r>
        <w:rPr>
          <w:rFonts w:ascii="仿宋" w:eastAsia="仿宋" w:hAnsi="仿宋" w:cs="仿宋" w:hint="eastAsia"/>
          <w:sz w:val="24"/>
        </w:rPr>
        <w:t>3、可靠性要求</w:t>
      </w:r>
    </w:p>
    <w:p w:rsidR="008F7A28" w:rsidRDefault="002F6E21">
      <w:pPr>
        <w:rPr>
          <w:rFonts w:ascii="仿宋" w:eastAsia="仿宋" w:hAnsi="仿宋" w:cs="仿宋"/>
          <w:sz w:val="24"/>
        </w:rPr>
      </w:pPr>
      <w:r>
        <w:rPr>
          <w:rFonts w:ascii="仿宋" w:eastAsia="仿宋" w:hAnsi="仿宋" w:cs="仿宋" w:hint="eastAsia"/>
          <w:sz w:val="24"/>
        </w:rPr>
        <w:t>平均故障间隔时间(MTBF)的下限值应不小于10000小时。</w:t>
      </w:r>
    </w:p>
    <w:p w:rsidR="008F7A28" w:rsidRDefault="002F6E21">
      <w:pPr>
        <w:jc w:val="center"/>
        <w:rPr>
          <w:b/>
          <w:bCs/>
          <w:sz w:val="24"/>
        </w:rPr>
      </w:pPr>
      <w:r>
        <w:rPr>
          <w:rFonts w:hint="eastAsia"/>
          <w:b/>
          <w:bCs/>
          <w:sz w:val="24"/>
        </w:rPr>
        <w:t>（四）</w:t>
      </w:r>
      <w:r>
        <w:rPr>
          <w:rFonts w:ascii="宋体" w:eastAsia="宋体" w:hAnsi="宋体" w:cs="宋体" w:hint="eastAsia"/>
          <w:b/>
          <w:bCs/>
          <w:kern w:val="0"/>
          <w:sz w:val="24"/>
        </w:rPr>
        <w:t>馈线</w:t>
      </w:r>
    </w:p>
    <w:p w:rsidR="008F7A28" w:rsidRDefault="002F6E21">
      <w:pPr>
        <w:tabs>
          <w:tab w:val="left" w:pos="0"/>
        </w:tabs>
        <w:spacing w:line="320" w:lineRule="exact"/>
        <w:ind w:firstLineChars="200" w:firstLine="480"/>
        <w:rPr>
          <w:rFonts w:ascii="仿宋" w:eastAsia="仿宋" w:hAnsi="仿宋" w:cs="仿宋"/>
          <w:sz w:val="24"/>
        </w:rPr>
      </w:pPr>
      <w:r>
        <w:rPr>
          <w:rFonts w:ascii="仿宋" w:eastAsia="仿宋" w:hAnsi="仿宋" w:cs="仿宋" w:hint="eastAsia"/>
          <w:sz w:val="24"/>
        </w:rPr>
        <w:t>馈线电缆内导体材质为铜，屏蔽采用64网铝镁丝，馈线可采用物理发泡聚乙烯绝缘同轴电缆。卫星信号馈线长度为15米(含两个采用冷压机制的英制F接头)。馈线的衰减、屏蔽效能、回波损耗、弯曲半径、高低温试验性能指标和馈线连接器的衰减指标应满足下表的要求，同时具备国家广播电影电视总局颁发的卫星直播系统用馈线及馈线连接器入网认定证书。</w:t>
      </w:r>
    </w:p>
    <w:p w:rsidR="008F7A28" w:rsidRDefault="002F6E21">
      <w:pPr>
        <w:pStyle w:val="1"/>
        <w:jc w:val="center"/>
        <w:rPr>
          <w:b/>
          <w:bCs/>
        </w:rPr>
      </w:pPr>
      <w:r>
        <w:rPr>
          <w:rFonts w:hint="eastAsia"/>
          <w:b/>
          <w:bCs/>
        </w:rPr>
        <w:t>（五）八木天线</w:t>
      </w:r>
    </w:p>
    <w:p w:rsidR="008F7A28" w:rsidRDefault="002F6E21">
      <w:pPr>
        <w:rPr>
          <w:rFonts w:ascii="仿宋" w:eastAsia="仿宋" w:hAnsi="仿宋" w:cs="仿宋"/>
          <w:sz w:val="24"/>
          <w:lang w:val="zh-CN"/>
        </w:rPr>
      </w:pPr>
      <w:r>
        <w:rPr>
          <w:rFonts w:ascii="仿宋" w:eastAsia="仿宋" w:hAnsi="仿宋" w:cs="仿宋" w:hint="eastAsia"/>
          <w:sz w:val="24"/>
          <w:lang w:val="zh-CN"/>
        </w:rPr>
        <w:t>1、产品材质要求为全铝材质，且要求坚固耐用，方便安装。</w:t>
      </w:r>
    </w:p>
    <w:p w:rsidR="008F7A28" w:rsidRDefault="002F6E21">
      <w:pPr>
        <w:rPr>
          <w:rFonts w:ascii="仿宋" w:eastAsia="仿宋" w:hAnsi="仿宋" w:cs="仿宋"/>
          <w:sz w:val="24"/>
          <w:lang w:val="zh-CN"/>
        </w:rPr>
      </w:pPr>
      <w:r>
        <w:rPr>
          <w:rFonts w:ascii="仿宋" w:eastAsia="仿宋" w:hAnsi="仿宋" w:cs="仿宋" w:hint="eastAsia"/>
          <w:sz w:val="24"/>
          <w:lang w:val="zh-CN"/>
        </w:rPr>
        <w:t>2、天线需为</w:t>
      </w:r>
      <w:r>
        <w:rPr>
          <w:rFonts w:ascii="仿宋" w:eastAsia="仿宋" w:hAnsi="仿宋" w:cs="仿宋" w:hint="eastAsia"/>
          <w:sz w:val="24"/>
        </w:rPr>
        <w:t>7</w:t>
      </w:r>
      <w:r>
        <w:rPr>
          <w:rFonts w:ascii="仿宋" w:eastAsia="仿宋" w:hAnsi="仿宋" w:cs="仿宋" w:hint="eastAsia"/>
          <w:sz w:val="24"/>
          <w:lang w:val="zh-CN"/>
        </w:rPr>
        <w:t>个单元。</w:t>
      </w:r>
    </w:p>
    <w:p w:rsidR="008F7A28" w:rsidRDefault="002F6E21">
      <w:pPr>
        <w:rPr>
          <w:sz w:val="24"/>
        </w:rPr>
      </w:pPr>
      <w:r>
        <w:rPr>
          <w:rFonts w:ascii="仿宋" w:eastAsia="仿宋" w:hAnsi="仿宋" w:cs="仿宋" w:hint="eastAsia"/>
          <w:sz w:val="24"/>
          <w:lang w:val="zh-CN"/>
        </w:rPr>
        <w:t>3、天线的接收频率需满足</w:t>
      </w:r>
      <w:r>
        <w:rPr>
          <w:rFonts w:ascii="仿宋" w:eastAsia="仿宋" w:hAnsi="仿宋" w:cs="仿宋" w:hint="eastAsia"/>
          <w:sz w:val="24"/>
        </w:rPr>
        <w:t>采购</w:t>
      </w:r>
      <w:r>
        <w:rPr>
          <w:rFonts w:ascii="仿宋" w:eastAsia="仿宋" w:hAnsi="仿宋" w:cs="仿宋" w:hint="eastAsia"/>
          <w:sz w:val="24"/>
          <w:lang w:val="zh-CN"/>
        </w:rPr>
        <w:t>单位的使用要求。</w:t>
      </w:r>
    </w:p>
    <w:p w:rsidR="008F7A28" w:rsidRDefault="002F6E21">
      <w:pPr>
        <w:rPr>
          <w:b/>
          <w:bCs/>
          <w:sz w:val="32"/>
          <w:szCs w:val="32"/>
        </w:rPr>
      </w:pPr>
      <w:r>
        <w:rPr>
          <w:rFonts w:hint="eastAsia"/>
          <w:b/>
          <w:bCs/>
          <w:sz w:val="32"/>
          <w:szCs w:val="32"/>
        </w:rPr>
        <w:t>二、特别要求</w:t>
      </w:r>
    </w:p>
    <w:p w:rsidR="008F7A28" w:rsidRDefault="002F6E21">
      <w:pPr>
        <w:rPr>
          <w:rFonts w:ascii="仿宋" w:eastAsia="仿宋" w:hAnsi="仿宋" w:cs="仿宋"/>
          <w:sz w:val="24"/>
        </w:rPr>
      </w:pPr>
      <w:r>
        <w:rPr>
          <w:rFonts w:ascii="仿宋" w:eastAsia="仿宋" w:hAnsi="仿宋" w:cs="仿宋" w:hint="eastAsia"/>
          <w:sz w:val="24"/>
        </w:rPr>
        <w:t>1、投标单位需提供</w:t>
      </w:r>
      <w:r w:rsidR="007E74A1">
        <w:rPr>
          <w:rFonts w:ascii="仿宋" w:eastAsia="仿宋" w:hAnsi="仿宋" w:cs="仿宋" w:hint="eastAsia"/>
          <w:sz w:val="24"/>
        </w:rPr>
        <w:t>信息录入及</w:t>
      </w:r>
      <w:r>
        <w:rPr>
          <w:rFonts w:ascii="仿宋" w:eastAsia="仿宋" w:hAnsi="仿宋" w:cs="仿宋" w:hint="eastAsia"/>
          <w:sz w:val="24"/>
        </w:rPr>
        <w:t>上门</w:t>
      </w:r>
      <w:r w:rsidR="00BA6FE5">
        <w:rPr>
          <w:rFonts w:ascii="仿宋" w:eastAsia="仿宋" w:hAnsi="仿宋" w:cs="仿宋" w:hint="eastAsia"/>
          <w:sz w:val="24"/>
        </w:rPr>
        <w:t>安装调试技术服务，并且安装到采购单位指定的各乡镇村接收点用户家</w:t>
      </w:r>
      <w:r>
        <w:rPr>
          <w:rFonts w:ascii="仿宋" w:eastAsia="仿宋" w:hAnsi="仿宋" w:cs="仿宋" w:hint="eastAsia"/>
          <w:sz w:val="24"/>
        </w:rPr>
        <w:t>。</w:t>
      </w:r>
    </w:p>
    <w:p w:rsidR="008F7A28" w:rsidRDefault="002F6E21">
      <w:pPr>
        <w:pStyle w:val="1"/>
        <w:rPr>
          <w:rFonts w:ascii="仿宋" w:eastAsia="仿宋" w:hAnsi="仿宋" w:cs="仿宋"/>
        </w:rPr>
      </w:pPr>
      <w:r>
        <w:rPr>
          <w:rFonts w:ascii="仿宋" w:eastAsia="仿宋" w:hAnsi="仿宋" w:cs="仿宋" w:hint="eastAsia"/>
        </w:rPr>
        <w:t>2、投标单位需提供户户通双模机顶盒“卫星直播系统综合接收解码器”国家广播电视总局广播电视设备器材入网认定证书；（复印件加盖公章）</w:t>
      </w:r>
    </w:p>
    <w:p w:rsidR="008F7A28" w:rsidRDefault="002F6E21">
      <w:pPr>
        <w:pStyle w:val="1"/>
      </w:pPr>
      <w:r>
        <w:rPr>
          <w:rFonts w:ascii="仿宋" w:eastAsia="仿宋" w:hAnsi="仿宋" w:cs="仿宋" w:hint="eastAsia"/>
        </w:rPr>
        <w:t>3、投标单位需提供三年产品质量和售后服务承诺函（原件加盖公章）。</w:t>
      </w:r>
    </w:p>
    <w:p w:rsidR="008F7A28" w:rsidRDefault="002F6E21">
      <w:pPr>
        <w:rPr>
          <w:rFonts w:ascii="仿宋" w:eastAsia="仿宋" w:hAnsi="仿宋" w:cs="仿宋"/>
          <w:sz w:val="24"/>
        </w:rPr>
      </w:pPr>
      <w:r>
        <w:rPr>
          <w:rFonts w:ascii="仿宋" w:eastAsia="仿宋" w:hAnsi="仿宋" w:cs="仿宋" w:hint="eastAsia"/>
          <w:sz w:val="24"/>
        </w:rPr>
        <w:t>4、供货时间地点：合同签订后，5日内配送到采购单位指定收货地点。</w:t>
      </w:r>
    </w:p>
    <w:p w:rsidR="008F7A28" w:rsidRDefault="002F6E21">
      <w:pPr>
        <w:pStyle w:val="1"/>
      </w:pPr>
      <w:r>
        <w:rPr>
          <w:rFonts w:ascii="仿宋" w:eastAsia="仿宋" w:hAnsi="仿宋" w:cs="仿宋" w:hint="eastAsia"/>
        </w:rPr>
        <w:t>5、报价包括设备拆卸、运输、保险、</w:t>
      </w:r>
      <w:r w:rsidR="00EB096B">
        <w:rPr>
          <w:rFonts w:ascii="仿宋" w:eastAsia="仿宋" w:hAnsi="仿宋" w:cs="仿宋" w:hint="eastAsia"/>
        </w:rPr>
        <w:t>信息录入及</w:t>
      </w:r>
      <w:bookmarkStart w:id="0" w:name="_GoBack"/>
      <w:bookmarkEnd w:id="0"/>
      <w:r>
        <w:rPr>
          <w:rFonts w:ascii="仿宋" w:eastAsia="仿宋" w:hAnsi="仿宋" w:cs="仿宋" w:hint="eastAsia"/>
        </w:rPr>
        <w:t>安装调试配件等一切费用。</w:t>
      </w:r>
    </w:p>
    <w:p w:rsidR="008F7A28" w:rsidRDefault="002F6E21">
      <w:pPr>
        <w:pStyle w:val="1"/>
        <w:ind w:firstLineChars="200" w:firstLine="480"/>
        <w:rPr>
          <w:b/>
          <w:bCs/>
        </w:rPr>
      </w:pPr>
      <w:r>
        <w:rPr>
          <w:b/>
          <w:bCs/>
        </w:rPr>
        <w:t>若供货产品验货时不满足</w:t>
      </w:r>
      <w:r>
        <w:rPr>
          <w:rFonts w:hint="eastAsia"/>
          <w:b/>
          <w:bCs/>
        </w:rPr>
        <w:t>以上</w:t>
      </w:r>
      <w:r>
        <w:rPr>
          <w:b/>
          <w:bCs/>
        </w:rPr>
        <w:t>采购要求，采购单位有权拒收。</w:t>
      </w:r>
    </w:p>
    <w:p w:rsidR="008F7A28" w:rsidRDefault="002F6E21">
      <w:pPr>
        <w:pStyle w:val="1"/>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三、采购清单</w:t>
      </w:r>
    </w:p>
    <w:p w:rsidR="008F7A28" w:rsidRDefault="008F7A28">
      <w:pPr>
        <w:rPr>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997"/>
        <w:gridCol w:w="1665"/>
        <w:gridCol w:w="1260"/>
        <w:gridCol w:w="994"/>
        <w:gridCol w:w="1200"/>
        <w:gridCol w:w="631"/>
      </w:tblGrid>
      <w:tr w:rsidR="002F6E21">
        <w:trPr>
          <w:gridAfter w:val="1"/>
          <w:wAfter w:w="631" w:type="dxa"/>
          <w:trHeight w:val="850"/>
          <w:jc w:val="center"/>
        </w:trPr>
        <w:tc>
          <w:tcPr>
            <w:tcW w:w="770" w:type="dxa"/>
            <w:vAlign w:val="center"/>
          </w:tcPr>
          <w:p w:rsidR="002F6E21" w:rsidRDefault="002F6E21" w:rsidP="002F6E21">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1997" w:type="dxa"/>
            <w:vAlign w:val="center"/>
          </w:tcPr>
          <w:p w:rsidR="002F6E21" w:rsidRDefault="002F6E21" w:rsidP="002F6E21">
            <w:pPr>
              <w:spacing w:line="360" w:lineRule="auto"/>
              <w:jc w:val="center"/>
              <w:rPr>
                <w:rFonts w:ascii="仿宋" w:eastAsia="仿宋" w:hAnsi="仿宋" w:cs="仿宋"/>
                <w:b/>
                <w:szCs w:val="21"/>
              </w:rPr>
            </w:pPr>
            <w:r>
              <w:rPr>
                <w:rFonts w:ascii="仿宋" w:eastAsia="仿宋" w:hAnsi="仿宋" w:cs="仿宋" w:hint="eastAsia"/>
                <w:b/>
                <w:szCs w:val="21"/>
              </w:rPr>
              <w:t>名称</w:t>
            </w:r>
          </w:p>
        </w:tc>
        <w:tc>
          <w:tcPr>
            <w:tcW w:w="1665" w:type="dxa"/>
            <w:vAlign w:val="center"/>
          </w:tcPr>
          <w:p w:rsidR="002F6E21" w:rsidRDefault="002F6E21" w:rsidP="002F6E21">
            <w:pPr>
              <w:spacing w:line="360" w:lineRule="auto"/>
              <w:jc w:val="center"/>
              <w:rPr>
                <w:rFonts w:ascii="仿宋" w:eastAsia="仿宋" w:hAnsi="仿宋" w:cs="仿宋"/>
                <w:b/>
                <w:szCs w:val="21"/>
              </w:rPr>
            </w:pPr>
            <w:r>
              <w:rPr>
                <w:rFonts w:ascii="仿宋" w:eastAsia="仿宋" w:hAnsi="仿宋" w:cs="仿宋" w:hint="eastAsia"/>
                <w:b/>
                <w:szCs w:val="21"/>
              </w:rPr>
              <w:t>规格</w:t>
            </w:r>
          </w:p>
        </w:tc>
        <w:tc>
          <w:tcPr>
            <w:tcW w:w="1260" w:type="dxa"/>
            <w:vAlign w:val="center"/>
          </w:tcPr>
          <w:p w:rsidR="002F6E21" w:rsidRDefault="0004177C" w:rsidP="0004177C">
            <w:pPr>
              <w:spacing w:line="360" w:lineRule="auto"/>
              <w:jc w:val="center"/>
              <w:rPr>
                <w:rFonts w:ascii="仿宋" w:eastAsia="仿宋" w:hAnsi="仿宋" w:cs="仿宋"/>
                <w:b/>
                <w:szCs w:val="21"/>
              </w:rPr>
            </w:pPr>
            <w:r>
              <w:rPr>
                <w:rFonts w:ascii="仿宋" w:eastAsia="仿宋" w:hAnsi="仿宋" w:cs="仿宋" w:hint="eastAsia"/>
                <w:b/>
                <w:szCs w:val="21"/>
              </w:rPr>
              <w:t>单位</w:t>
            </w:r>
          </w:p>
        </w:tc>
        <w:tc>
          <w:tcPr>
            <w:tcW w:w="994" w:type="dxa"/>
            <w:vAlign w:val="center"/>
          </w:tcPr>
          <w:p w:rsidR="002F6E21" w:rsidRDefault="002F6E21" w:rsidP="002F6E21">
            <w:pPr>
              <w:spacing w:line="360" w:lineRule="auto"/>
              <w:jc w:val="center"/>
              <w:rPr>
                <w:rFonts w:ascii="仿宋" w:eastAsia="仿宋" w:hAnsi="仿宋" w:cs="仿宋"/>
                <w:b/>
                <w:szCs w:val="21"/>
              </w:rPr>
            </w:pPr>
            <w:r>
              <w:rPr>
                <w:rFonts w:ascii="仿宋" w:eastAsia="仿宋" w:hAnsi="仿宋" w:cs="仿宋" w:hint="eastAsia"/>
                <w:b/>
                <w:szCs w:val="21"/>
              </w:rPr>
              <w:t>数量</w:t>
            </w:r>
          </w:p>
        </w:tc>
        <w:tc>
          <w:tcPr>
            <w:tcW w:w="1200" w:type="dxa"/>
            <w:vAlign w:val="center"/>
          </w:tcPr>
          <w:p w:rsidR="002F6E21" w:rsidRDefault="002F6E21" w:rsidP="002F6E21">
            <w:pPr>
              <w:spacing w:line="360" w:lineRule="auto"/>
              <w:jc w:val="center"/>
              <w:rPr>
                <w:rFonts w:ascii="仿宋" w:eastAsia="仿宋" w:hAnsi="仿宋" w:cs="仿宋"/>
                <w:b/>
                <w:szCs w:val="21"/>
              </w:rPr>
            </w:pPr>
            <w:r>
              <w:rPr>
                <w:rFonts w:ascii="仿宋" w:eastAsia="仿宋" w:hAnsi="仿宋" w:cs="仿宋" w:hint="eastAsia"/>
                <w:b/>
                <w:szCs w:val="21"/>
              </w:rPr>
              <w:t>备注</w:t>
            </w:r>
          </w:p>
        </w:tc>
      </w:tr>
      <w:tr w:rsidR="002F6E21">
        <w:trPr>
          <w:gridAfter w:val="1"/>
          <w:wAfter w:w="631" w:type="dxa"/>
          <w:trHeight w:val="574"/>
          <w:jc w:val="center"/>
        </w:trPr>
        <w:tc>
          <w:tcPr>
            <w:tcW w:w="770" w:type="dxa"/>
            <w:vAlign w:val="center"/>
          </w:tcPr>
          <w:p w:rsidR="002F6E21" w:rsidRDefault="002F6E21" w:rsidP="002F6E21">
            <w:pPr>
              <w:spacing w:line="360" w:lineRule="auto"/>
              <w:jc w:val="center"/>
              <w:rPr>
                <w:rFonts w:ascii="仿宋" w:eastAsia="仿宋" w:hAnsi="仿宋" w:cs="仿宋"/>
                <w:b/>
                <w:szCs w:val="21"/>
              </w:rPr>
            </w:pPr>
            <w:r>
              <w:rPr>
                <w:rFonts w:ascii="仿宋" w:eastAsia="仿宋" w:hAnsi="仿宋" w:cs="仿宋" w:hint="eastAsia"/>
                <w:b/>
                <w:szCs w:val="21"/>
              </w:rPr>
              <w:t>1</w:t>
            </w:r>
          </w:p>
        </w:tc>
        <w:tc>
          <w:tcPr>
            <w:tcW w:w="1997" w:type="dxa"/>
            <w:vAlign w:val="center"/>
          </w:tcPr>
          <w:p w:rsidR="002F6E21" w:rsidRDefault="002F6E21" w:rsidP="002F6E21">
            <w:pPr>
              <w:spacing w:line="360" w:lineRule="auto"/>
              <w:rPr>
                <w:rFonts w:ascii="仿宋" w:eastAsia="仿宋" w:hAnsi="仿宋" w:cs="仿宋"/>
                <w:szCs w:val="21"/>
              </w:rPr>
            </w:pPr>
            <w:r>
              <w:rPr>
                <w:rFonts w:ascii="仿宋" w:eastAsia="仿宋" w:hAnsi="仿宋" w:cs="仿宋" w:hint="eastAsia"/>
                <w:szCs w:val="21"/>
              </w:rPr>
              <w:t>户户通双模机顶盒</w:t>
            </w:r>
          </w:p>
        </w:tc>
        <w:tc>
          <w:tcPr>
            <w:tcW w:w="1665" w:type="dxa"/>
            <w:vAlign w:val="center"/>
          </w:tcPr>
          <w:p w:rsidR="002F6E21" w:rsidRDefault="002F6E21" w:rsidP="002F6E21">
            <w:pPr>
              <w:spacing w:line="360" w:lineRule="auto"/>
              <w:jc w:val="center"/>
              <w:rPr>
                <w:rFonts w:ascii="仿宋" w:eastAsia="仿宋" w:hAnsi="仿宋" w:cs="仿宋"/>
                <w:szCs w:val="21"/>
              </w:rPr>
            </w:pPr>
            <w:r>
              <w:rPr>
                <w:rFonts w:ascii="仿宋" w:eastAsia="仿宋" w:hAnsi="仿宋" w:cs="仿宋" w:hint="eastAsia"/>
                <w:szCs w:val="21"/>
              </w:rPr>
              <w:t>北斗+</w:t>
            </w:r>
            <w:r>
              <w:rPr>
                <w:rFonts w:ascii="仿宋" w:eastAsia="仿宋" w:hAnsi="仿宋" w:cs="仿宋" w:hint="eastAsia"/>
                <w:kern w:val="0"/>
                <w:sz w:val="24"/>
              </w:rPr>
              <w:t>DTMB</w:t>
            </w:r>
          </w:p>
        </w:tc>
        <w:tc>
          <w:tcPr>
            <w:tcW w:w="1260" w:type="dxa"/>
            <w:vAlign w:val="center"/>
          </w:tcPr>
          <w:p w:rsidR="002F6E21" w:rsidRDefault="0004177C" w:rsidP="002F6E21">
            <w:pPr>
              <w:spacing w:line="360" w:lineRule="auto"/>
              <w:jc w:val="center"/>
              <w:rPr>
                <w:rFonts w:ascii="仿宋" w:eastAsia="仿宋" w:hAnsi="仿宋" w:cs="仿宋"/>
                <w:szCs w:val="21"/>
              </w:rPr>
            </w:pPr>
            <w:r>
              <w:rPr>
                <w:rFonts w:ascii="仿宋" w:eastAsia="仿宋" w:hAnsi="仿宋" w:cs="仿宋" w:hint="eastAsia"/>
                <w:szCs w:val="21"/>
              </w:rPr>
              <w:t>套</w:t>
            </w:r>
          </w:p>
        </w:tc>
        <w:tc>
          <w:tcPr>
            <w:tcW w:w="994" w:type="dxa"/>
            <w:vAlign w:val="center"/>
          </w:tcPr>
          <w:p w:rsidR="002F6E21" w:rsidRDefault="002F6E21" w:rsidP="0004177C">
            <w:pPr>
              <w:spacing w:line="360" w:lineRule="auto"/>
              <w:jc w:val="center"/>
              <w:rPr>
                <w:rFonts w:ascii="仿宋" w:eastAsia="仿宋" w:hAnsi="仿宋" w:cs="仿宋"/>
                <w:szCs w:val="21"/>
              </w:rPr>
            </w:pPr>
            <w:r>
              <w:rPr>
                <w:rFonts w:ascii="仿宋" w:eastAsia="仿宋" w:hAnsi="仿宋" w:cs="仿宋"/>
                <w:szCs w:val="21"/>
              </w:rPr>
              <w:t>100</w:t>
            </w:r>
          </w:p>
        </w:tc>
        <w:tc>
          <w:tcPr>
            <w:tcW w:w="1200" w:type="dxa"/>
            <w:vAlign w:val="center"/>
          </w:tcPr>
          <w:p w:rsidR="002F6E21" w:rsidRDefault="002F6E21" w:rsidP="002F6E21">
            <w:pPr>
              <w:spacing w:line="360" w:lineRule="auto"/>
              <w:rPr>
                <w:rFonts w:ascii="仿宋" w:eastAsia="仿宋" w:hAnsi="仿宋" w:cs="仿宋"/>
                <w:szCs w:val="21"/>
              </w:rPr>
            </w:pPr>
          </w:p>
        </w:tc>
      </w:tr>
      <w:tr w:rsidR="002F6E21">
        <w:trPr>
          <w:gridAfter w:val="1"/>
          <w:wAfter w:w="631" w:type="dxa"/>
          <w:trHeight w:val="574"/>
          <w:jc w:val="center"/>
        </w:trPr>
        <w:tc>
          <w:tcPr>
            <w:tcW w:w="770" w:type="dxa"/>
            <w:vAlign w:val="center"/>
          </w:tcPr>
          <w:p w:rsidR="002F6E21" w:rsidRDefault="002F6E21" w:rsidP="002F6E21">
            <w:pPr>
              <w:spacing w:line="360" w:lineRule="auto"/>
              <w:jc w:val="center"/>
              <w:rPr>
                <w:rFonts w:ascii="仿宋" w:eastAsia="仿宋" w:hAnsi="仿宋" w:cs="仿宋"/>
                <w:b/>
                <w:szCs w:val="21"/>
              </w:rPr>
            </w:pPr>
          </w:p>
        </w:tc>
        <w:tc>
          <w:tcPr>
            <w:tcW w:w="1997" w:type="dxa"/>
            <w:vAlign w:val="center"/>
          </w:tcPr>
          <w:p w:rsidR="002F6E21" w:rsidRDefault="002F6E21" w:rsidP="002F6E21">
            <w:pPr>
              <w:spacing w:line="360" w:lineRule="auto"/>
              <w:rPr>
                <w:rFonts w:ascii="仿宋" w:eastAsia="仿宋" w:hAnsi="仿宋" w:cs="仿宋"/>
                <w:szCs w:val="21"/>
              </w:rPr>
            </w:pPr>
          </w:p>
        </w:tc>
        <w:tc>
          <w:tcPr>
            <w:tcW w:w="1665" w:type="dxa"/>
            <w:vAlign w:val="center"/>
          </w:tcPr>
          <w:p w:rsidR="002F6E21" w:rsidRDefault="002F6E21" w:rsidP="002F6E21">
            <w:pPr>
              <w:spacing w:line="360" w:lineRule="auto"/>
              <w:jc w:val="center"/>
              <w:rPr>
                <w:rFonts w:ascii="仿宋" w:eastAsia="仿宋" w:hAnsi="仿宋" w:cs="仿宋"/>
                <w:szCs w:val="21"/>
              </w:rPr>
            </w:pPr>
          </w:p>
        </w:tc>
        <w:tc>
          <w:tcPr>
            <w:tcW w:w="1260" w:type="dxa"/>
            <w:vAlign w:val="center"/>
          </w:tcPr>
          <w:p w:rsidR="002F6E21" w:rsidRDefault="002F6E21" w:rsidP="002F6E21">
            <w:pPr>
              <w:spacing w:line="360" w:lineRule="auto"/>
              <w:jc w:val="center"/>
              <w:rPr>
                <w:rFonts w:ascii="仿宋" w:eastAsia="仿宋" w:hAnsi="仿宋" w:cs="仿宋"/>
                <w:szCs w:val="21"/>
              </w:rPr>
            </w:pPr>
          </w:p>
        </w:tc>
        <w:tc>
          <w:tcPr>
            <w:tcW w:w="994" w:type="dxa"/>
            <w:vAlign w:val="center"/>
          </w:tcPr>
          <w:p w:rsidR="002F6E21" w:rsidRDefault="002F6E21" w:rsidP="002F6E21">
            <w:pPr>
              <w:spacing w:line="360" w:lineRule="auto"/>
              <w:rPr>
                <w:rFonts w:ascii="仿宋" w:eastAsia="仿宋" w:hAnsi="仿宋" w:cs="仿宋"/>
                <w:szCs w:val="21"/>
              </w:rPr>
            </w:pPr>
          </w:p>
        </w:tc>
        <w:tc>
          <w:tcPr>
            <w:tcW w:w="1200" w:type="dxa"/>
            <w:vAlign w:val="center"/>
          </w:tcPr>
          <w:p w:rsidR="002F6E21" w:rsidRDefault="002F6E21" w:rsidP="002F6E21">
            <w:pPr>
              <w:spacing w:line="360" w:lineRule="auto"/>
              <w:rPr>
                <w:rFonts w:ascii="仿宋" w:eastAsia="仿宋" w:hAnsi="仿宋" w:cs="仿宋"/>
                <w:szCs w:val="21"/>
              </w:rPr>
            </w:pPr>
          </w:p>
        </w:tc>
      </w:tr>
      <w:tr w:rsidR="002F6E21">
        <w:trPr>
          <w:trHeight w:val="850"/>
          <w:jc w:val="center"/>
        </w:trPr>
        <w:tc>
          <w:tcPr>
            <w:tcW w:w="770" w:type="dxa"/>
            <w:vAlign w:val="center"/>
          </w:tcPr>
          <w:p w:rsidR="002F6E21" w:rsidRDefault="002F6E21" w:rsidP="002F6E21">
            <w:pPr>
              <w:spacing w:line="360" w:lineRule="auto"/>
              <w:jc w:val="center"/>
              <w:rPr>
                <w:rFonts w:ascii="仿宋" w:eastAsia="仿宋" w:hAnsi="仿宋" w:cs="仿宋"/>
                <w:b/>
              </w:rPr>
            </w:pPr>
            <w:r>
              <w:rPr>
                <w:rFonts w:ascii="仿宋" w:eastAsia="仿宋" w:hAnsi="仿宋" w:cs="仿宋" w:hint="eastAsia"/>
                <w:b/>
              </w:rPr>
              <w:t>备注</w:t>
            </w:r>
          </w:p>
        </w:tc>
        <w:tc>
          <w:tcPr>
            <w:tcW w:w="7747" w:type="dxa"/>
            <w:gridSpan w:val="6"/>
            <w:vAlign w:val="center"/>
          </w:tcPr>
          <w:p w:rsidR="002F6E21" w:rsidRDefault="002F6E21" w:rsidP="002F6E21">
            <w:pPr>
              <w:jc w:val="left"/>
              <w:rPr>
                <w:rFonts w:ascii="仿宋" w:eastAsia="仿宋" w:hAnsi="仿宋" w:cs="仿宋"/>
              </w:rPr>
            </w:pPr>
            <w:r>
              <w:rPr>
                <w:rFonts w:ascii="仿宋" w:eastAsia="仿宋" w:hAnsi="仿宋" w:cs="仿宋" w:hint="eastAsia"/>
                <w:szCs w:val="21"/>
              </w:rPr>
              <w:t>户户通双模机顶盒整套包含：机顶盒单机1台（含遥控器、连接线及说明书）、0.45m</w:t>
            </w:r>
            <w:r>
              <w:rPr>
                <w:rFonts w:ascii="仿宋" w:eastAsia="仿宋" w:hAnsi="仿宋" w:cs="仿宋" w:hint="eastAsia"/>
                <w:kern w:val="0"/>
                <w:szCs w:val="21"/>
              </w:rPr>
              <w:t>卫星接收天线1副、高频头1只、七单元八木天线1副、15米75-5馈线1根及20米75-5馈线1根15米。</w:t>
            </w:r>
          </w:p>
        </w:tc>
      </w:tr>
    </w:tbl>
    <w:p w:rsidR="008F7A28" w:rsidRDefault="008F7A28">
      <w:pPr>
        <w:jc w:val="left"/>
        <w:rPr>
          <w:color w:val="FF0000"/>
        </w:rPr>
      </w:pPr>
    </w:p>
    <w:sectPr w:rsidR="008F7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NDc1MDhhZmIwZDlmNDc1NmYxYWRhMjJjZmEyY2IifQ=="/>
  </w:docVars>
  <w:rsids>
    <w:rsidRoot w:val="7CA43378"/>
    <w:rsid w:val="00013643"/>
    <w:rsid w:val="0004177C"/>
    <w:rsid w:val="002579EE"/>
    <w:rsid w:val="00287543"/>
    <w:rsid w:val="002F6E21"/>
    <w:rsid w:val="005F3672"/>
    <w:rsid w:val="007E74A1"/>
    <w:rsid w:val="008F7A28"/>
    <w:rsid w:val="00BA6FE5"/>
    <w:rsid w:val="00CE18FD"/>
    <w:rsid w:val="00E436AF"/>
    <w:rsid w:val="00E51CEE"/>
    <w:rsid w:val="00EB096B"/>
    <w:rsid w:val="00F87A4C"/>
    <w:rsid w:val="149E6266"/>
    <w:rsid w:val="1A473403"/>
    <w:rsid w:val="1EB400BC"/>
    <w:rsid w:val="2CD534C0"/>
    <w:rsid w:val="313371BF"/>
    <w:rsid w:val="38D277B7"/>
    <w:rsid w:val="502303F3"/>
    <w:rsid w:val="7CA4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E10129-FD63-4F75-A128-246049AF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spacing w:line="360" w:lineRule="auto"/>
    </w:pPr>
    <w:rPr>
      <w:rFonts w:eastAsia="微软雅黑"/>
      <w:sz w:val="24"/>
    </w:rPr>
  </w:style>
  <w:style w:type="paragraph" w:styleId="a3">
    <w:name w:val="Balloon Text"/>
    <w:basedOn w:val="a"/>
    <w:link w:val="a4"/>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孙赫繁18399699701</dc:creator>
  <cp:lastModifiedBy>Administrator</cp:lastModifiedBy>
  <cp:revision>21</cp:revision>
  <cp:lastPrinted>2024-07-15T02:59:00Z</cp:lastPrinted>
  <dcterms:created xsi:type="dcterms:W3CDTF">2024-07-13T11:59:00Z</dcterms:created>
  <dcterms:modified xsi:type="dcterms:W3CDTF">2024-07-23T08:06:00Z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3EE4DFF71F7C4A3D9F29C89E901C08F4_11</vt:lpwstr>
  </property>
</Properties>
</file>