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E9FE2" w14:textId="77777777" w:rsidR="0031786E" w:rsidRDefault="0031786E" w:rsidP="0031786E">
      <w:pPr>
        <w:pStyle w:val="1"/>
        <w:spacing w:line="360" w:lineRule="auto"/>
        <w:jc w:val="center"/>
        <w:rPr>
          <w:rFonts w:asciiTheme="minorEastAsia" w:eastAsiaTheme="minorEastAsia" w:hAnsiTheme="minorEastAsia" w:hint="eastAsia"/>
        </w:rPr>
      </w:pPr>
      <w:bookmarkStart w:id="0" w:name="_Hlk112441282"/>
      <w:bookmarkEnd w:id="0"/>
      <w:r>
        <w:rPr>
          <w:rFonts w:asciiTheme="minorEastAsia" w:eastAsiaTheme="minorEastAsia" w:hAnsiTheme="minorEastAsia" w:hint="eastAsia"/>
        </w:rPr>
        <w:t>病人监护仪招标参数</w:t>
      </w:r>
    </w:p>
    <w:p w14:paraId="27087CF7" w14:textId="77777777" w:rsidR="0031786E" w:rsidRDefault="0031786E" w:rsidP="0031786E"/>
    <w:p w14:paraId="0BAEDDBC" w14:textId="77777777" w:rsidR="0031786E" w:rsidRDefault="0031786E" w:rsidP="0031786E">
      <w:pPr>
        <w:pStyle w:val="a7"/>
        <w:numPr>
          <w:ilvl w:val="0"/>
          <w:numId w:val="1"/>
        </w:numPr>
        <w:autoSpaceDE w:val="0"/>
        <w:autoSpaceDN w:val="0"/>
        <w:adjustRightInd w:val="0"/>
        <w:spacing w:line="360" w:lineRule="auto"/>
        <w:ind w:firstLineChars="0"/>
        <w:jc w:val="left"/>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整机要求：</w:t>
      </w:r>
    </w:p>
    <w:p w14:paraId="4E7D2C25" w14:textId="77777777" w:rsidR="0031786E" w:rsidRDefault="0031786E" w:rsidP="0031786E">
      <w:pPr>
        <w:pStyle w:val="a7"/>
        <w:numPr>
          <w:ilvl w:val="1"/>
          <w:numId w:val="2"/>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便携一体式监护仪, 整机无风扇设计，降低环境噪音干扰。</w:t>
      </w:r>
    </w:p>
    <w:p w14:paraId="33135FC8" w14:textId="77777777" w:rsidR="0031786E" w:rsidRDefault="0031786E" w:rsidP="0031786E">
      <w:pPr>
        <w:pStyle w:val="a7"/>
        <w:numPr>
          <w:ilvl w:val="1"/>
          <w:numId w:val="2"/>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英寸彩色</w:t>
      </w:r>
      <w:r>
        <w:rPr>
          <w:rFonts w:asciiTheme="minorEastAsia" w:eastAsiaTheme="minorEastAsia" w:hAnsiTheme="minorEastAsia"/>
          <w:sz w:val="24"/>
        </w:rPr>
        <w:t>LED背</w:t>
      </w:r>
      <w:r>
        <w:rPr>
          <w:rFonts w:asciiTheme="minorEastAsia" w:eastAsiaTheme="minorEastAsia" w:hAnsiTheme="minorEastAsia" w:hint="eastAsia"/>
          <w:sz w:val="24"/>
        </w:rPr>
        <w:t>光液晶显示屏，彩色高分辨率≥800*600，≥</w:t>
      </w:r>
      <w:r>
        <w:rPr>
          <w:rFonts w:asciiTheme="minorEastAsia" w:eastAsiaTheme="minorEastAsia" w:hAnsiTheme="minorEastAsia"/>
          <w:sz w:val="24"/>
        </w:rPr>
        <w:t>9</w:t>
      </w:r>
      <w:r>
        <w:rPr>
          <w:rFonts w:asciiTheme="minorEastAsia" w:eastAsiaTheme="minorEastAsia" w:hAnsiTheme="minorEastAsia" w:hint="eastAsia"/>
          <w:sz w:val="24"/>
        </w:rPr>
        <w:t>通道波形显示。</w:t>
      </w:r>
    </w:p>
    <w:p w14:paraId="094E5B6B" w14:textId="77777777" w:rsidR="0031786E" w:rsidRDefault="0031786E" w:rsidP="0031786E">
      <w:pPr>
        <w:pStyle w:val="a7"/>
        <w:numPr>
          <w:ilvl w:val="1"/>
          <w:numId w:val="2"/>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标配</w:t>
      </w:r>
      <w:r>
        <w:rPr>
          <w:rFonts w:asciiTheme="minorEastAsia" w:eastAsiaTheme="minorEastAsia" w:hAnsiTheme="minorEastAsia"/>
          <w:sz w:val="24"/>
        </w:rPr>
        <w:t>锂电池，工作时间</w:t>
      </w:r>
      <w:r>
        <w:rPr>
          <w:rFonts w:asciiTheme="minorEastAsia" w:eastAsiaTheme="minorEastAsia" w:hAnsiTheme="minorEastAsia" w:hint="eastAsia"/>
          <w:sz w:val="24"/>
        </w:rPr>
        <w:t>≥4小时，可选配大容量锂电池，</w:t>
      </w:r>
      <w:r>
        <w:rPr>
          <w:rFonts w:asciiTheme="minorEastAsia" w:eastAsiaTheme="minorEastAsia" w:hAnsiTheme="minorEastAsia"/>
          <w:sz w:val="24"/>
        </w:rPr>
        <w:t>工作时间</w:t>
      </w: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小时。</w:t>
      </w:r>
    </w:p>
    <w:p w14:paraId="1E15D098" w14:textId="77777777" w:rsidR="0031786E" w:rsidRDefault="0031786E" w:rsidP="0031786E">
      <w:pPr>
        <w:pStyle w:val="a7"/>
        <w:numPr>
          <w:ilvl w:val="1"/>
          <w:numId w:val="2"/>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 xml:space="preserve">安全规格：ECG, TEMP, SpO2 , NIBP监测参数抗电击程度为防除颤CF型  </w:t>
      </w:r>
      <w:r>
        <w:rPr>
          <w:noProof/>
        </w:rPr>
        <w:drawing>
          <wp:inline distT="0" distB="0" distL="0" distR="0" wp14:anchorId="7B5874C8" wp14:editId="0B8513A5">
            <wp:extent cx="2667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152400"/>
                    </a:xfrm>
                    <a:prstGeom prst="rect">
                      <a:avLst/>
                    </a:prstGeom>
                    <a:noFill/>
                  </pic:spPr>
                </pic:pic>
              </a:graphicData>
            </a:graphic>
          </wp:inline>
        </w:drawing>
      </w:r>
      <w:r>
        <w:rPr>
          <w:rFonts w:asciiTheme="minorEastAsia" w:eastAsiaTheme="minorEastAsia" w:hAnsiTheme="minorEastAsia" w:hint="eastAsia"/>
          <w:sz w:val="24"/>
        </w:rPr>
        <w:t xml:space="preserve">  。</w:t>
      </w:r>
    </w:p>
    <w:p w14:paraId="45F01DF3" w14:textId="77777777" w:rsidR="0031786E" w:rsidRDefault="0031786E" w:rsidP="0031786E">
      <w:pPr>
        <w:pStyle w:val="a7"/>
        <w:numPr>
          <w:ilvl w:val="1"/>
          <w:numId w:val="2"/>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监护仪设计使用年限≥</w:t>
      </w:r>
      <w:r>
        <w:rPr>
          <w:rFonts w:asciiTheme="minorEastAsia" w:eastAsiaTheme="minorEastAsia" w:hAnsiTheme="minorEastAsia"/>
          <w:sz w:val="24"/>
        </w:rPr>
        <w:t>10</w:t>
      </w:r>
      <w:r>
        <w:rPr>
          <w:rFonts w:asciiTheme="minorEastAsia" w:eastAsiaTheme="minorEastAsia" w:hAnsiTheme="minorEastAsia" w:hint="eastAsia"/>
          <w:sz w:val="24"/>
        </w:rPr>
        <w:t>年，提供机器标贴证明材料。</w:t>
      </w:r>
    </w:p>
    <w:p w14:paraId="27B9DF1A" w14:textId="77777777" w:rsidR="0031786E" w:rsidRDefault="0031786E" w:rsidP="0031786E">
      <w:pPr>
        <w:pStyle w:val="a7"/>
        <w:numPr>
          <w:ilvl w:val="1"/>
          <w:numId w:val="2"/>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主机防水等级≥IPX1，支持0.75米抗跌落，提供说明书或彩页证明文件。</w:t>
      </w:r>
    </w:p>
    <w:p w14:paraId="20B0AA89" w14:textId="77777777" w:rsidR="0031786E" w:rsidRDefault="0031786E" w:rsidP="0031786E">
      <w:pPr>
        <w:pStyle w:val="a7"/>
        <w:numPr>
          <w:ilvl w:val="1"/>
          <w:numId w:val="2"/>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监护仪主机工作温度环境范围：0~40°C。</w:t>
      </w:r>
    </w:p>
    <w:p w14:paraId="348B0530" w14:textId="77777777" w:rsidR="0031786E" w:rsidRDefault="0031786E" w:rsidP="0031786E">
      <w:pPr>
        <w:pStyle w:val="a7"/>
        <w:numPr>
          <w:ilvl w:val="1"/>
          <w:numId w:val="2"/>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监护仪主机工作湿度环境范围；15~95%。</w:t>
      </w:r>
    </w:p>
    <w:p w14:paraId="5452DDD9" w14:textId="77777777" w:rsidR="0031786E" w:rsidRDefault="0031786E" w:rsidP="0031786E">
      <w:pPr>
        <w:autoSpaceDE w:val="0"/>
        <w:autoSpaceDN w:val="0"/>
        <w:adjustRightInd w:val="0"/>
        <w:spacing w:line="360" w:lineRule="auto"/>
        <w:ind w:left="420"/>
        <w:jc w:val="left"/>
        <w:rPr>
          <w:rFonts w:asciiTheme="minorEastAsia" w:eastAsiaTheme="minorEastAsia" w:hAnsiTheme="minorEastAsia" w:hint="eastAsia"/>
          <w:sz w:val="24"/>
        </w:rPr>
      </w:pPr>
    </w:p>
    <w:p w14:paraId="0A15BEC1" w14:textId="77777777" w:rsidR="0031786E" w:rsidRDefault="0031786E" w:rsidP="0031786E">
      <w:pPr>
        <w:pStyle w:val="a7"/>
        <w:numPr>
          <w:ilvl w:val="0"/>
          <w:numId w:val="1"/>
        </w:numPr>
        <w:autoSpaceDE w:val="0"/>
        <w:autoSpaceDN w:val="0"/>
        <w:adjustRightInd w:val="0"/>
        <w:spacing w:line="360" w:lineRule="auto"/>
        <w:ind w:firstLineChars="0"/>
        <w:jc w:val="left"/>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监测参数：</w:t>
      </w:r>
    </w:p>
    <w:p w14:paraId="7F439B52"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标准配置可监测心电，呼吸，无创血压，血氧饱和度，脉搏和体温，适用于成人、小儿和新生儿。</w:t>
      </w:r>
    </w:p>
    <w:p w14:paraId="5FAA953E"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★采用ECG多导同步分析专利技术，保证心电监护的优异性，提供彩页或说明书证明文件。</w:t>
      </w:r>
    </w:p>
    <w:p w14:paraId="2E2C607D"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心电波形速度支持6.25、12.5、25和50mm/s不少于4种选择。</w:t>
      </w:r>
    </w:p>
    <w:p w14:paraId="777E63A3"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具备智能导联脱落监测功能，个别导联脱落的情况下仍能保持监</w:t>
      </w:r>
      <w:r>
        <w:rPr>
          <w:rFonts w:asciiTheme="minorEastAsia" w:eastAsiaTheme="minorEastAsia" w:hAnsiTheme="minorEastAsia" w:hint="eastAsia"/>
          <w:sz w:val="24"/>
        </w:rPr>
        <w:lastRenderedPageBreak/>
        <w:t>护。</w:t>
      </w:r>
    </w:p>
    <w:p w14:paraId="46C16850"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★提供心率</w:t>
      </w:r>
      <w:r>
        <w:rPr>
          <w:rFonts w:asciiTheme="minorEastAsia" w:eastAsiaTheme="minorEastAsia" w:hAnsiTheme="minorEastAsia"/>
          <w:sz w:val="24"/>
        </w:rPr>
        <w:t>变化统计</w:t>
      </w:r>
      <w:r>
        <w:rPr>
          <w:rFonts w:asciiTheme="minorEastAsia" w:eastAsiaTheme="minorEastAsia" w:hAnsiTheme="minorEastAsia" w:hint="eastAsia"/>
          <w:sz w:val="24"/>
        </w:rPr>
        <w:t>界面，包括患者平均心率、夜间平均心率、白天平均心率、最快心率和最慢心率等，直观快速了解过去24小时患者的心率变化和心率分布情况。</w:t>
      </w:r>
    </w:p>
    <w:p w14:paraId="04CBA7E6"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★提供SpO2和PR的实时监测，适用于成人，小儿和新生儿。来自SpO2的PR测量范围：20-250。</w:t>
      </w:r>
    </w:p>
    <w:p w14:paraId="13F4C613"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血氧监测时标配支持PI血氧灌注指数的监测，有效反映血氧灌注情况，PI测量范围：</w:t>
      </w:r>
      <w:r>
        <w:rPr>
          <w:rFonts w:asciiTheme="minorEastAsia" w:eastAsiaTheme="minorEastAsia" w:hAnsiTheme="minorEastAsia"/>
          <w:sz w:val="24"/>
        </w:rPr>
        <w:t>0.05%-20%</w:t>
      </w:r>
      <w:r>
        <w:rPr>
          <w:rFonts w:asciiTheme="minorEastAsia" w:eastAsiaTheme="minorEastAsia" w:hAnsiTheme="minorEastAsia" w:hint="eastAsia"/>
          <w:sz w:val="24"/>
        </w:rPr>
        <w:t>，分辨率0</w:t>
      </w:r>
      <w:r>
        <w:rPr>
          <w:rFonts w:asciiTheme="minorEastAsia" w:eastAsiaTheme="minorEastAsia" w:hAnsiTheme="minorEastAsia"/>
          <w:sz w:val="24"/>
        </w:rPr>
        <w:t>.01%</w:t>
      </w:r>
      <w:r>
        <w:rPr>
          <w:rFonts w:asciiTheme="minorEastAsia" w:eastAsiaTheme="minorEastAsia" w:hAnsiTheme="minorEastAsia" w:hint="eastAsia"/>
          <w:sz w:val="24"/>
        </w:rPr>
        <w:t>。</w:t>
      </w:r>
    </w:p>
    <w:p w14:paraId="305F7E20"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sym w:font="Wingdings 3" w:char="F070"/>
      </w:r>
      <w:r>
        <w:rPr>
          <w:rFonts w:asciiTheme="minorEastAsia" w:eastAsiaTheme="minorEastAsia" w:hAnsiTheme="minorEastAsia" w:hint="eastAsia"/>
          <w:sz w:val="24"/>
        </w:rPr>
        <w:t>采用抗干扰和弱灌注血氧专利技术保证血氧监护的优异性，提供专利证书证明文件。</w:t>
      </w:r>
    </w:p>
    <w:p w14:paraId="5A766671"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无创血压支持手动、连续、自动和序列测量模式，支持整点测量</w:t>
      </w:r>
    </w:p>
    <w:p w14:paraId="0B44EE92"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配置无创血压测量，适用于成人，小儿和新生儿。无创血压成人测量范围：收缩压30~290mmH。</w:t>
      </w:r>
    </w:p>
    <w:p w14:paraId="6E8111A1" w14:textId="77777777" w:rsidR="0031786E" w:rsidRDefault="0031786E" w:rsidP="0031786E">
      <w:pPr>
        <w:pStyle w:val="a7"/>
        <w:numPr>
          <w:ilvl w:val="1"/>
          <w:numId w:val="3"/>
        </w:numPr>
        <w:autoSpaceDE w:val="0"/>
        <w:autoSpaceDN w:val="0"/>
        <w:adjustRightInd w:val="0"/>
        <w:spacing w:line="360" w:lineRule="auto"/>
        <w:ind w:firstLineChars="0"/>
        <w:jc w:val="left"/>
        <w:rPr>
          <w:rFonts w:asciiTheme="minorEastAsia" w:eastAsiaTheme="minorEastAsia" w:hAnsiTheme="minorEastAsia" w:hint="eastAsia"/>
          <w:sz w:val="24"/>
        </w:rPr>
      </w:pPr>
      <w:r>
        <w:rPr>
          <w:rFonts w:asciiTheme="minorEastAsia" w:eastAsiaTheme="minorEastAsia" w:hAnsiTheme="minorEastAsia" w:hint="eastAsia"/>
          <w:sz w:val="24"/>
        </w:rPr>
        <w:t>提供</w:t>
      </w:r>
      <w:r>
        <w:rPr>
          <w:rFonts w:asciiTheme="minorEastAsia" w:eastAsiaTheme="minorEastAsia" w:hAnsiTheme="minorEastAsia"/>
          <w:sz w:val="24"/>
        </w:rPr>
        <w:t>动态血压分析</w:t>
      </w:r>
      <w:r>
        <w:rPr>
          <w:rFonts w:asciiTheme="minorEastAsia" w:eastAsiaTheme="minorEastAsia" w:hAnsiTheme="minorEastAsia" w:hint="eastAsia"/>
          <w:sz w:val="24"/>
        </w:rPr>
        <w:t>界面，包括平均血压、白天平均血压、夜间平均血压、最高血压、最低血压和正常血压比例等，直观快速了解过去24小时患者血压变化和分布情况。</w:t>
      </w:r>
    </w:p>
    <w:p w14:paraId="688E4F56" w14:textId="77777777" w:rsidR="0031786E" w:rsidRDefault="0031786E" w:rsidP="0031786E">
      <w:pPr>
        <w:autoSpaceDE w:val="0"/>
        <w:autoSpaceDN w:val="0"/>
        <w:adjustRightInd w:val="0"/>
        <w:spacing w:line="360" w:lineRule="auto"/>
        <w:jc w:val="left"/>
        <w:rPr>
          <w:rFonts w:asciiTheme="minorEastAsia" w:eastAsiaTheme="minorEastAsia" w:hAnsiTheme="minorEastAsia" w:hint="eastAsia"/>
          <w:sz w:val="24"/>
        </w:rPr>
      </w:pPr>
    </w:p>
    <w:p w14:paraId="36868E34" w14:textId="77777777" w:rsidR="0031786E" w:rsidRDefault="0031786E" w:rsidP="0031786E">
      <w:pPr>
        <w:pStyle w:val="a7"/>
        <w:numPr>
          <w:ilvl w:val="0"/>
          <w:numId w:val="1"/>
        </w:numPr>
        <w:spacing w:line="360" w:lineRule="auto"/>
        <w:ind w:rightChars="-244" w:right="-512" w:firstLineChars="0"/>
        <w:rPr>
          <w:rFonts w:asciiTheme="minorEastAsia" w:eastAsiaTheme="minorEastAsia" w:hAnsiTheme="minorEastAsia" w:hint="eastAsia"/>
          <w:b/>
          <w:sz w:val="24"/>
        </w:rPr>
      </w:pPr>
      <w:r>
        <w:rPr>
          <w:rFonts w:asciiTheme="minorEastAsia" w:eastAsiaTheme="minorEastAsia" w:hAnsiTheme="minorEastAsia" w:hint="eastAsia"/>
          <w:b/>
          <w:sz w:val="24"/>
        </w:rPr>
        <w:t>系统功能：</w:t>
      </w:r>
    </w:p>
    <w:p w14:paraId="630A334F"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具有三级声光报警，参数报警级别可调。</w:t>
      </w:r>
    </w:p>
    <w:p w14:paraId="195F5669"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★支持所有监测参数报警限一键自动设置功能，满足医护团队快速管理患者报警需求，产品用户手册提供报警限自动设置规则，提供说明书或检验报告证明。</w:t>
      </w:r>
    </w:p>
    <w:p w14:paraId="7982C585"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lastRenderedPageBreak/>
        <w:t>支持≥1200小时趋势数据的存储与回顾功能，≥1800条报警事件以及每条报警事件至少能够存储30秒三道相关波形和报警触发时所有测量参数值</w:t>
      </w:r>
    </w:p>
    <w:p w14:paraId="28E0752E"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具备监护模式、待机模式，演示模式、隐私模式和夜间模式不少于5种工作模式。</w:t>
      </w:r>
    </w:p>
    <w:p w14:paraId="45FC34E9"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具备趋势共存界面、呼吸氧合图界面，大字体显示界面，及标准显示界面等多种显示界面。</w:t>
      </w:r>
    </w:p>
    <w:p w14:paraId="7786A841"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宋体" w:hAnsi="宋体" w:hint="eastAsia"/>
          <w:sz w:val="24"/>
        </w:rPr>
        <w:t>支持RJ45接口进行有线网络通信，和除颤监护仪一起联网通信到中心监护系统</w:t>
      </w:r>
    </w:p>
    <w:p w14:paraId="03F1CF1C"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sym w:font="Wingdings 3" w:char="F070"/>
      </w:r>
      <w:r>
        <w:rPr>
          <w:rFonts w:asciiTheme="minorEastAsia" w:eastAsiaTheme="minorEastAsia" w:hAnsiTheme="minorEastAsia" w:hint="eastAsia"/>
          <w:sz w:val="24"/>
        </w:rPr>
        <w:t>支持监护仪的系统日志向U盘设备的导出功能，日志包括：系统状态、异常和技术报警等，满足设备管理的日常维护需求。</w:t>
      </w:r>
    </w:p>
    <w:p w14:paraId="6EA324A2"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★主机集成附件收纳箱，支持将心电、血氧和无创血压等导联线附件进行收纳放置，方便监护仪设备的高效管理和转移。</w:t>
      </w:r>
    </w:p>
    <w:p w14:paraId="03C1554A"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宋体" w:hAnsi="宋体" w:hint="eastAsia"/>
          <w:sz w:val="24"/>
        </w:rPr>
        <w:t>可升级内置记录仪，提供说明书或检验报告证明。</w:t>
      </w:r>
    </w:p>
    <w:p w14:paraId="2AF1A3DE"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★主机面板上有报警复位键、报警暂停键、NIBP、波形冻结、主菜单五个实体按键（非屏幕快捷键），方便快速操作</w:t>
      </w:r>
    </w:p>
    <w:p w14:paraId="13284708"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宋体" w:hAnsi="宋体" w:hint="eastAsia"/>
          <w:sz w:val="24"/>
        </w:rPr>
        <w:t>支持它床观察，可同时监视≥1</w:t>
      </w:r>
      <w:r>
        <w:rPr>
          <w:rFonts w:ascii="宋体" w:hAnsi="宋体"/>
          <w:sz w:val="24"/>
        </w:rPr>
        <w:t>0</w:t>
      </w:r>
      <w:r>
        <w:rPr>
          <w:rFonts w:ascii="宋体" w:hAnsi="宋体" w:hint="eastAsia"/>
          <w:sz w:val="24"/>
        </w:rPr>
        <w:t>它床的报警信息。</w:t>
      </w:r>
    </w:p>
    <w:p w14:paraId="0B39A70C" w14:textId="77777777" w:rsidR="0031786E" w:rsidRDefault="0031786E" w:rsidP="0031786E">
      <w:pPr>
        <w:spacing w:line="360" w:lineRule="auto"/>
        <w:ind w:left="420" w:rightChars="-244" w:right="-512"/>
        <w:rPr>
          <w:rFonts w:asciiTheme="minorEastAsia" w:eastAsiaTheme="minorEastAsia" w:hAnsiTheme="minorEastAsia" w:hint="eastAsia"/>
          <w:sz w:val="24"/>
        </w:rPr>
      </w:pPr>
    </w:p>
    <w:p w14:paraId="3DCA201F" w14:textId="77777777" w:rsidR="0031786E" w:rsidRDefault="0031786E" w:rsidP="0031786E">
      <w:pPr>
        <w:pStyle w:val="a7"/>
        <w:numPr>
          <w:ilvl w:val="0"/>
          <w:numId w:val="4"/>
        </w:numPr>
        <w:spacing w:line="360" w:lineRule="auto"/>
        <w:ind w:rightChars="-244" w:right="-512" w:firstLineChars="0"/>
        <w:rPr>
          <w:rFonts w:asciiTheme="minorEastAsia" w:eastAsiaTheme="minorEastAsia" w:hAnsiTheme="minorEastAsia" w:hint="eastAsia"/>
          <w:b/>
          <w:sz w:val="24"/>
        </w:rPr>
      </w:pPr>
      <w:r>
        <w:rPr>
          <w:rFonts w:asciiTheme="minorEastAsia" w:eastAsiaTheme="minorEastAsia" w:hAnsiTheme="minorEastAsia" w:hint="eastAsia"/>
          <w:b/>
          <w:sz w:val="24"/>
        </w:rPr>
        <w:t>产品认证：</w:t>
      </w:r>
    </w:p>
    <w:p w14:paraId="0E3F17E9" w14:textId="77777777" w:rsidR="0031786E" w:rsidRDefault="0031786E" w:rsidP="0031786E">
      <w:pPr>
        <w:pStyle w:val="a7"/>
        <w:numPr>
          <w:ilvl w:val="1"/>
          <w:numId w:val="4"/>
        </w:numPr>
        <w:spacing w:line="360" w:lineRule="auto"/>
        <w:ind w:rightChars="-244" w:right="-512" w:firstLineChars="0"/>
        <w:rPr>
          <w:rFonts w:asciiTheme="minorEastAsia" w:eastAsiaTheme="minorEastAsia" w:hAnsiTheme="minorEastAsia" w:hint="eastAsia"/>
          <w:sz w:val="24"/>
        </w:rPr>
      </w:pPr>
      <w:r>
        <w:rPr>
          <w:rFonts w:asciiTheme="minorEastAsia" w:eastAsiaTheme="minorEastAsia" w:hAnsiTheme="minorEastAsia" w:hint="eastAsia"/>
          <w:sz w:val="24"/>
        </w:rPr>
        <w:t>投标型号为中国医学器械装备协会发布的优秀国产医疗产品目录中包括品牌和型号。</w:t>
      </w:r>
    </w:p>
    <w:p w14:paraId="7824D193" w14:textId="25850689" w:rsidR="00702353" w:rsidRDefault="0031786E" w:rsidP="0031786E">
      <w:pPr>
        <w:rPr>
          <w:rFonts w:hint="eastAsia"/>
        </w:rPr>
      </w:pPr>
      <w:r>
        <w:rPr>
          <w:rFonts w:asciiTheme="minorEastAsia" w:eastAsiaTheme="minorEastAsia" w:hAnsiTheme="minorEastAsia" w:hint="eastAsia"/>
          <w:sz w:val="24"/>
        </w:rPr>
        <w:t>投标型号监护仪认证：通过国家三类注册，CE认证，FDA认证</w:t>
      </w:r>
      <w:r>
        <w:rPr>
          <w:rFonts w:asciiTheme="minorEastAsia" w:eastAsiaTheme="minorEastAsia" w:hAnsiTheme="minorEastAsia" w:cs="Arial" w:hint="eastAsia"/>
          <w:sz w:val="24"/>
        </w:rPr>
        <w:t>，提供证明材料。</w:t>
      </w:r>
    </w:p>
    <w:sectPr w:rsidR="00702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B2465" w14:textId="77777777" w:rsidR="00CF156B" w:rsidRDefault="00CF156B" w:rsidP="0031786E">
      <w:pPr>
        <w:rPr>
          <w:rFonts w:hint="eastAsia"/>
        </w:rPr>
      </w:pPr>
      <w:r>
        <w:separator/>
      </w:r>
    </w:p>
  </w:endnote>
  <w:endnote w:type="continuationSeparator" w:id="0">
    <w:p w14:paraId="6D1CE3ED" w14:textId="77777777" w:rsidR="00CF156B" w:rsidRDefault="00CF156B" w:rsidP="003178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2BB4" w14:textId="77777777" w:rsidR="00CF156B" w:rsidRDefault="00CF156B" w:rsidP="0031786E">
      <w:pPr>
        <w:rPr>
          <w:rFonts w:hint="eastAsia"/>
        </w:rPr>
      </w:pPr>
      <w:r>
        <w:separator/>
      </w:r>
    </w:p>
  </w:footnote>
  <w:footnote w:type="continuationSeparator" w:id="0">
    <w:p w14:paraId="626E8523" w14:textId="77777777" w:rsidR="00CF156B" w:rsidRDefault="00CF156B" w:rsidP="003178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42986"/>
    <w:multiLevelType w:val="multilevel"/>
    <w:tmpl w:val="3FF42986"/>
    <w:lvl w:ilvl="0">
      <w:start w:val="2"/>
      <w:numFmt w:val="decimal"/>
      <w:lvlText w:val="%1."/>
      <w:lvlJc w:val="left"/>
      <w:pPr>
        <w:ind w:left="600" w:hanging="60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 w15:restartNumberingAfterBreak="0">
    <w:nsid w:val="45B621B1"/>
    <w:multiLevelType w:val="multilevel"/>
    <w:tmpl w:val="45B62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1B169D"/>
    <w:multiLevelType w:val="multilevel"/>
    <w:tmpl w:val="4E1B169D"/>
    <w:lvl w:ilvl="0">
      <w:start w:val="1"/>
      <w:numFmt w:val="decimal"/>
      <w:lvlText w:val="%1."/>
      <w:lvlJc w:val="left"/>
      <w:pPr>
        <w:ind w:left="600" w:hanging="600"/>
      </w:pPr>
      <w:rPr>
        <w:rFonts w:cs="Times New Roman" w:hint="default"/>
      </w:rPr>
    </w:lvl>
    <w:lvl w:ilvl="1">
      <w:start w:val="1"/>
      <w:numFmt w:val="decimal"/>
      <w:lvlText w:val="%1.%2、"/>
      <w:lvlJc w:val="left"/>
      <w:pPr>
        <w:ind w:left="1140" w:hanging="720"/>
      </w:pPr>
      <w:rPr>
        <w:rFonts w:cs="Times New Roman" w:hint="default"/>
      </w:rPr>
    </w:lvl>
    <w:lvl w:ilvl="2">
      <w:start w:val="1"/>
      <w:numFmt w:val="decimal"/>
      <w:lvlText w:val="%1.%2、%3."/>
      <w:lvlJc w:val="left"/>
      <w:pPr>
        <w:ind w:left="1920" w:hanging="108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3120" w:hanging="1440"/>
      </w:pPr>
      <w:rPr>
        <w:rFonts w:cs="Times New Roman" w:hint="default"/>
      </w:rPr>
    </w:lvl>
    <w:lvl w:ilvl="5">
      <w:start w:val="1"/>
      <w:numFmt w:val="decimal"/>
      <w:lvlText w:val="%1.%2、%3.%4.%5.%6."/>
      <w:lvlJc w:val="left"/>
      <w:pPr>
        <w:ind w:left="3900" w:hanging="180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5100" w:hanging="2160"/>
      </w:pPr>
      <w:rPr>
        <w:rFonts w:cs="Times New Roman" w:hint="default"/>
      </w:rPr>
    </w:lvl>
    <w:lvl w:ilvl="8">
      <w:start w:val="1"/>
      <w:numFmt w:val="decimal"/>
      <w:lvlText w:val="%1.%2、%3.%4.%5.%6.%7.%8.%9."/>
      <w:lvlJc w:val="left"/>
      <w:pPr>
        <w:ind w:left="5880" w:hanging="2520"/>
      </w:pPr>
      <w:rPr>
        <w:rFonts w:cs="Times New Roman" w:hint="default"/>
      </w:rPr>
    </w:lvl>
  </w:abstractNum>
  <w:abstractNum w:abstractNumId="3" w15:restartNumberingAfterBreak="0">
    <w:nsid w:val="68DE4C22"/>
    <w:multiLevelType w:val="multilevel"/>
    <w:tmpl w:val="68DE4C22"/>
    <w:lvl w:ilvl="0">
      <w:start w:val="3"/>
      <w:numFmt w:val="decimal"/>
      <w:lvlText w:val="%1."/>
      <w:lvlJc w:val="left"/>
      <w:pPr>
        <w:ind w:left="600" w:hanging="60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num w:numId="1" w16cid:durableId="1470511990">
    <w:abstractNumId w:val="1"/>
  </w:num>
  <w:num w:numId="2" w16cid:durableId="278688838">
    <w:abstractNumId w:val="2"/>
  </w:num>
  <w:num w:numId="3" w16cid:durableId="1869023114">
    <w:abstractNumId w:val="0"/>
  </w:num>
  <w:num w:numId="4" w16cid:durableId="1242178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95"/>
    <w:rsid w:val="0031786E"/>
    <w:rsid w:val="00702353"/>
    <w:rsid w:val="00881A95"/>
    <w:rsid w:val="00CF156B"/>
    <w:rsid w:val="00E77552"/>
    <w:rsid w:val="00F4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059667-9DE3-4CE1-B184-D2A21800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6E"/>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qFormat/>
    <w:rsid w:val="003178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86E"/>
    <w:pPr>
      <w:tabs>
        <w:tab w:val="center" w:pos="4153"/>
        <w:tab w:val="right" w:pos="8306"/>
      </w:tabs>
      <w:snapToGrid w:val="0"/>
      <w:jc w:val="center"/>
    </w:pPr>
    <w:rPr>
      <w:sz w:val="18"/>
      <w:szCs w:val="18"/>
    </w:rPr>
  </w:style>
  <w:style w:type="character" w:customStyle="1" w:styleId="a4">
    <w:name w:val="页眉 字符"/>
    <w:basedOn w:val="a0"/>
    <w:link w:val="a3"/>
    <w:uiPriority w:val="99"/>
    <w:rsid w:val="0031786E"/>
    <w:rPr>
      <w:sz w:val="18"/>
      <w:szCs w:val="18"/>
    </w:rPr>
  </w:style>
  <w:style w:type="paragraph" w:styleId="a5">
    <w:name w:val="footer"/>
    <w:basedOn w:val="a"/>
    <w:link w:val="a6"/>
    <w:uiPriority w:val="99"/>
    <w:unhideWhenUsed/>
    <w:rsid w:val="0031786E"/>
    <w:pPr>
      <w:tabs>
        <w:tab w:val="center" w:pos="4153"/>
        <w:tab w:val="right" w:pos="8306"/>
      </w:tabs>
      <w:snapToGrid w:val="0"/>
    </w:pPr>
    <w:rPr>
      <w:sz w:val="18"/>
      <w:szCs w:val="18"/>
    </w:rPr>
  </w:style>
  <w:style w:type="character" w:customStyle="1" w:styleId="a6">
    <w:name w:val="页脚 字符"/>
    <w:basedOn w:val="a0"/>
    <w:link w:val="a5"/>
    <w:uiPriority w:val="99"/>
    <w:rsid w:val="0031786E"/>
    <w:rPr>
      <w:sz w:val="18"/>
      <w:szCs w:val="18"/>
    </w:rPr>
  </w:style>
  <w:style w:type="character" w:customStyle="1" w:styleId="10">
    <w:name w:val="标题 1 字符"/>
    <w:basedOn w:val="a0"/>
    <w:link w:val="1"/>
    <w:rsid w:val="0031786E"/>
    <w:rPr>
      <w:rFonts w:ascii="Times New Roman" w:eastAsia="宋体" w:hAnsi="Times New Roman" w:cs="Times New Roman"/>
      <w:b/>
      <w:bCs/>
      <w:kern w:val="44"/>
      <w:sz w:val="44"/>
      <w:szCs w:val="44"/>
      <w14:ligatures w14:val="none"/>
    </w:rPr>
  </w:style>
  <w:style w:type="paragraph" w:styleId="a7">
    <w:name w:val="List Paragraph"/>
    <w:basedOn w:val="a"/>
    <w:uiPriority w:val="34"/>
    <w:qFormat/>
    <w:rsid w:val="003178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wang</dc:creator>
  <cp:keywords/>
  <dc:description/>
  <cp:lastModifiedBy>yong wang</cp:lastModifiedBy>
  <cp:revision>2</cp:revision>
  <dcterms:created xsi:type="dcterms:W3CDTF">2024-11-22T06:51:00Z</dcterms:created>
  <dcterms:modified xsi:type="dcterms:W3CDTF">2024-11-22T06:52:00Z</dcterms:modified>
</cp:coreProperties>
</file>