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650" w:firstLineChars="600"/>
        <w:rPr>
          <w:rFonts w:hint="eastAsia"/>
          <w:b/>
          <w:bCs/>
          <w:sz w:val="44"/>
          <w:szCs w:val="52"/>
        </w:rPr>
      </w:pPr>
      <w:r>
        <w:rPr>
          <w:rFonts w:hint="eastAsia"/>
          <w:b/>
          <w:bCs/>
          <w:sz w:val="44"/>
          <w:szCs w:val="52"/>
        </w:rPr>
        <w:t>申请报告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30"/>
          <w:szCs w:val="30"/>
        </w:rPr>
        <w:t>中心委员会：</w:t>
      </w:r>
    </w:p>
    <w:p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lang w:val="en-US" w:eastAsia="zh-CN"/>
        </w:rPr>
        <w:t xml:space="preserve">  </w:t>
      </w:r>
      <w:r>
        <w:rPr>
          <w:rFonts w:hint="eastAsia"/>
          <w:sz w:val="30"/>
          <w:szCs w:val="30"/>
          <w:lang w:val="en-US" w:eastAsia="zh-CN"/>
        </w:rPr>
        <w:t>为提高检验科理化实验室农改水项目常规检测能力，检验科现申请一台低本底总αβ测量仪，此检测项目为农改水常规项目中两项放射性指标，总α放射性和总β放射性，此项目将填补检验科放射性两项常规指标空白，提升理化检测能力。现提供仪器参数如下：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仪器名称：低本底α/β测量仪（四通道）</w:t>
      </w:r>
    </w:p>
    <w:p>
      <w:pPr>
        <w:ind w:firstLine="280" w:firstLineChars="100"/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可用于辐射防护、环境监测、饮用水、医药卫生、农业科学、核电站、反应堆、同位素生产、地质勘探、高等院校、进出口商品检验检疫、科学研究等领域中α/β总活度的测量。</w:t>
      </w:r>
    </w:p>
    <w:p>
      <w:pPr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1、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技术参数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：</w:t>
      </w:r>
    </w:p>
    <w:p>
      <w:pPr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1.1依据GB 5749-2022《生活饮用水卫生标准》，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HJ 898-2017 《水质总α放射性的测定厚源法》,HJ 899-2017《水质总放射性的测定厚源法》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对生活饮用水、环境样品、公共卫生、食品及生物样品中的总α、总β活度浓度的测量；</w:t>
      </w:r>
    </w:p>
    <w:p>
      <w:pPr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1.2依据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</w:rPr>
        <w:t>GB14883.3-2016《食品安全国家标准食品中放射性物质锶-89和锶-90的测定》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，对生活饮用水、环境样品、公共卫生、食品及生物样品中的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</w:rPr>
        <w:t>锶-89和锶-90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 xml:space="preserve">的测量。 </w:t>
      </w:r>
    </w:p>
    <w:p>
      <w:pPr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2.1 工作电压：220+5% V</w:t>
      </w:r>
    </w:p>
    <w:p>
      <w:pPr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2.2 环境温度： 5~40℃</w:t>
      </w:r>
    </w:p>
    <w:p>
      <w:pPr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2.3 环境湿度： &lt;90%相对湿度（不冷凝）</w:t>
      </w:r>
    </w:p>
    <w:p>
      <w:pP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*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3.1 可同时测量的样品数量不少于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四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个，并可分别给出每个被测样品中的总α、总β活度浓度，即一个送样抽屉可同时独立测量各组样品，每个通道水样品由控制器和软件独立控制分析检测，提高测量的灵活性和仪器的使用效率。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提供证明文件）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br w:type="textWrapping"/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4、探测器：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br w:type="textWrapping"/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4.1 主探测器不怕污染，表面可擦洗，经久耐用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br w:type="textWrapping"/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4.2 反符合探测器闪烁体反符合效率大于99%,采用高频通信级别SMB同轴接口，高频通过性强，屏蔽效果好，可以保留原始信号信息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br w:type="textWrapping"/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5、控制器：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br w:type="textWrapping"/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5.1 模块化设计，标准插道式控制器， 采用高速高性能同步采集控制器，RS-232或USB连接计算机，软件实现全程控制，支持无线通信</w:t>
      </w:r>
    </w:p>
    <w:p>
      <w:pPr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5.2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土壤（含稀土）测量重复性：总（α+β）活度≥135.39Bg/L，重复性限9.86；土壤（含稀土）测量相对允许差：总（α+β）≥100，相对允许差8% 。</w:t>
      </w:r>
    </w:p>
    <w:p>
      <w:pP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5.5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由于核信号具有随机性和突发性的特点，为了提高脉冲幅度判定的准确性、仪器测量的精度和稳定性，脉冲幅度获取控制装置，应采用快慢双通道对信号进行处理，低速一次采集即可得到峰顶幅度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br w:type="textWrapping"/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*6、预留更多通道的低本底αβ测量仪控制装置与相应通道低本底αβ测量仪软件操作系统相匹配，拓展后的送样要求同时由一个送样抽屉完成；预留智能控制端口，根据招标人实际使用需求，可随时升级加装全自动进样系统、无人值守、自动进样、自动出样（提供相关实物图片照片证明文件）。</w:t>
      </w:r>
    </w:p>
    <w:p>
      <w:pPr>
        <w:numPr>
          <w:ilvl w:val="0"/>
          <w:numId w:val="1"/>
        </w:numP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铅室：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br w:type="textWrapping"/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7.1 分体式结构铅室，结构紧凑，体积小，安装拆卸方便，屏蔽效果更好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8、控制软件：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br w:type="textWrapping"/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8.1 纯中文界面，全面的仪器控制和监测，包括高压控制，阈值控制，采样控制，通信控制，通信中断监测，高压信息监测，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br w:type="textWrapping"/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8.2 支持半衰期活度校正，支持工作源测量，标准源测量，本底测量，水样品测量，一般样品测量和生物样品测量等测量方式，样品测量中自动计算平均值，活度浓度，标准误差，探测限和相对误差等</w:t>
      </w:r>
    </w:p>
    <w:p>
      <w:pP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9、本底计数率（cm-2min-1）：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br w:type="textWrapping"/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9.1 对于239Puα源（活性区φ30mm）2π探测效率比≥80%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br w:type="textWrapping"/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平均本底计数率α≤0.005；以现场验收为准。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br w:type="textWrapping"/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9.2 对于90Sr-90Yβ源（活性区φ20mm）2π探测效率比≥50%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br w:type="textWrapping"/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平均本底计数率β≤0.15；以现场验收为准。</w:t>
      </w:r>
    </w:p>
    <w:p>
      <w:pP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9.3 对于总α、β放射性活度检测回收率≥85%，以现场验收为准。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br w:type="textWrapping"/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10、α／β交叉性能：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br w:type="textWrapping"/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10.1 α进入β道的计数比≤2.5％（对239Pu）；以现场验收为准。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br w:type="textWrapping"/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10.2 β进入α道的计数比≤0.3％（对于90Sr-90Y）以现场验收为准。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br w:type="textWrapping"/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*11.1 仪器本底和效率控制：由用户单位负责采集不少于12次总αβ放射性水样，由安装调试工程师负责连续分析同一个样品＜12次以上。以本底计数率或仪器效率为纵坐标，测量次序为横坐标，位置质量控制图，在平均值Nb的上下各标出控制线(Nb±3σ)和警告线(Nb±2σ),若本底计数率或仪器效率两次连续警告线或超过控制线，视为设备不合格（提供技术证明材料并以现场验收为准）。</w:t>
      </w:r>
    </w:p>
    <w:p>
      <w:pP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*11.2、精密度及准确度:由安装调试工程师自带标样(总α放射性活度浓度0.046Bq/L左右和25.6Bq/L)并连续分析六次，分析结果的标准偏差≤25%和3.5%；对总α放射性活度浓度在0.046Bq/L左右和25.6Bq/L样品统一加入241Am标准溶液测量方法的加标回收率范围90%—120%和97%-110%，加标回收率最终值分别为89%-122%和91%-115%。若不能满足该条件，视为设备不合格。（提供技术证明材料并以现场验收为准）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br w:type="textWrapping"/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12.具备《辐射安全许可证》，《放射源豁免证明函》，实验所用标准源属豁免放谢源，已获环境保护部豁免备案公告与射线同位素证明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br w:type="textWrapping"/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13 参与制定过相关放射性检测标准。（加分项）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br w:type="textWrapping"/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14质保期</w:t>
      </w: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年；厂家工程师免费提供安装及产品培训。现场免费安装、调试设备，进行操作试验，直至运行正常，为仪器操作人员提供免费的操作及维护培训，可适当延长培训时间，直至操作人员学会，并提供相关前处理培训和方法验证指导。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br w:type="textWrapping"/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15、质保期内免费提供配件及维修服务，质保期外提供零部件销售,配件费用按成本价收取，终身免费提供技术支持服务。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br w:type="textWrapping"/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*16、维护响应时间：为保证实验室在突发情况下的检测能力，疆内有厂家办事处，并配备专职售后工程师,半小时内电话响应，6小时内有能力到达用户现场提供服务。（提供提供官方证明材</w:t>
      </w:r>
    </w:p>
    <w:p>
      <w:pP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料并加盖公章）</w:t>
      </w:r>
    </w:p>
    <w:p>
      <w:pPr>
        <w:numPr>
          <w:ilvl w:val="0"/>
          <w:numId w:val="0"/>
        </w:numPr>
        <w:ind w:left="105" w:leftChars="0"/>
        <w:rPr>
          <w:rFonts w:hint="eastAsia"/>
          <w:sz w:val="32"/>
          <w:szCs w:val="32"/>
        </w:rPr>
      </w:pP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*17.</w:t>
      </w:r>
      <w:r>
        <w:rPr>
          <w:rFonts w:hint="eastAsia"/>
          <w:sz w:val="32"/>
          <w:szCs w:val="32"/>
        </w:rPr>
        <w:t>供货方式：要求送货上门</w:t>
      </w:r>
      <w:r>
        <w:rPr>
          <w:rFonts w:hint="eastAsia"/>
          <w:sz w:val="32"/>
          <w:szCs w:val="32"/>
          <w:lang w:val="en-US" w:eastAsia="zh-CN"/>
        </w:rPr>
        <w:t>并搬运到指定地点，工程师现场培训</w:t>
      </w:r>
      <w:r>
        <w:rPr>
          <w:rFonts w:hint="eastAsia"/>
          <w:sz w:val="32"/>
          <w:szCs w:val="32"/>
        </w:rPr>
        <w:t>。</w:t>
      </w:r>
      <w:r>
        <w:rPr>
          <w:rFonts w:hint="eastAsia"/>
          <w:sz w:val="32"/>
          <w:szCs w:val="32"/>
          <w:lang w:val="en-US" w:eastAsia="zh-CN"/>
        </w:rPr>
        <w:t>并提供工程师所在公司培训资质。</w:t>
      </w:r>
      <w:r>
        <w:rPr>
          <w:rFonts w:hint="eastAsia"/>
          <w:sz w:val="32"/>
          <w:szCs w:val="32"/>
        </w:rPr>
        <w:t xml:space="preserve"> </w:t>
      </w:r>
    </w:p>
    <w:p>
      <w:pPr>
        <w:numPr>
          <w:ilvl w:val="0"/>
          <w:numId w:val="0"/>
        </w:numPr>
        <w:ind w:left="105" w:leftChars="0"/>
        <w:rPr>
          <w:rFonts w:hint="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*</w:t>
      </w:r>
      <w:r>
        <w:rPr>
          <w:rFonts w:hint="eastAsia"/>
          <w:sz w:val="32"/>
          <w:szCs w:val="32"/>
          <w:lang w:val="en-US" w:eastAsia="zh-CN"/>
        </w:rPr>
        <w:t>18</w:t>
      </w:r>
      <w:r>
        <w:rPr>
          <w:rFonts w:hint="eastAsia"/>
          <w:sz w:val="32"/>
          <w:szCs w:val="32"/>
        </w:rPr>
        <w:t>本项目只接受上述满足产品的参数性能。招标所有参数作为实质性条款必须满足</w:t>
      </w:r>
      <w:r>
        <w:rPr>
          <w:rFonts w:hint="eastAsia"/>
          <w:sz w:val="32"/>
          <w:szCs w:val="32"/>
          <w:lang w:val="en-US" w:eastAsia="zh-CN"/>
        </w:rPr>
        <w:t>需逐一佐证</w:t>
      </w:r>
      <w:r>
        <w:rPr>
          <w:rFonts w:hint="eastAsia"/>
          <w:sz w:val="32"/>
          <w:szCs w:val="32"/>
        </w:rPr>
        <w:t>，否则视为无效</w:t>
      </w:r>
      <w:r>
        <w:rPr>
          <w:rFonts w:hint="eastAsia"/>
          <w:sz w:val="32"/>
          <w:szCs w:val="32"/>
          <w:lang w:val="en-US" w:eastAsia="zh-CN"/>
        </w:rPr>
        <w:t>报</w:t>
      </w:r>
      <w:r>
        <w:rPr>
          <w:rFonts w:hint="eastAsia"/>
          <w:sz w:val="32"/>
          <w:szCs w:val="32"/>
        </w:rPr>
        <w:t>价,禁止不符合参数要求的供应商恶意低价报价，造成采购单位工期延迟，影响进度的报上级部门反映该情况，并列入黑名单，责任由供应商承担。</w:t>
      </w:r>
      <w:r>
        <w:rPr>
          <w:rFonts w:hint="eastAsia"/>
          <w:sz w:val="32"/>
          <w:szCs w:val="32"/>
          <w:lang w:val="en-US" w:eastAsia="zh-CN"/>
        </w:rPr>
        <w:t>需提供厂家技术白皮书。</w:t>
      </w:r>
    </w:p>
    <w:p>
      <w:pPr>
        <w:numPr>
          <w:ilvl w:val="0"/>
          <w:numId w:val="0"/>
        </w:numPr>
        <w:ind w:left="105" w:leftChars="0"/>
        <w:rPr>
          <w:rFonts w:hint="eastAsia"/>
          <w:sz w:val="32"/>
          <w:szCs w:val="32"/>
        </w:rPr>
      </w:pP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*</w:t>
      </w:r>
      <w:r>
        <w:rPr>
          <w:rFonts w:hint="eastAsia"/>
          <w:sz w:val="32"/>
          <w:szCs w:val="32"/>
          <w:lang w:val="en-US" w:eastAsia="zh-CN"/>
        </w:rPr>
        <w:t>19</w:t>
      </w:r>
      <w:r>
        <w:rPr>
          <w:rFonts w:hint="eastAsia"/>
          <w:sz w:val="32"/>
          <w:szCs w:val="32"/>
        </w:rPr>
        <w:t>以上商务条款中标供应商必须全部满足，否则报价无效。</w:t>
      </w:r>
    </w:p>
    <w:p>
      <w:pPr>
        <w:numPr>
          <w:ilvl w:val="0"/>
          <w:numId w:val="0"/>
        </w:numPr>
        <w:ind w:left="105" w:leftChars="0"/>
        <w:rPr>
          <w:rFonts w:hint="default" w:eastAsia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*20</w:t>
      </w:r>
      <w:r>
        <w:rPr>
          <w:rFonts w:hint="eastAsia"/>
          <w:sz w:val="32"/>
          <w:szCs w:val="32"/>
          <w:lang w:val="en-US" w:eastAsia="zh-CN"/>
        </w:rPr>
        <w:t>采购人有权要求预中标人在中标公告示式前，按照询价文件要求逐一验证产品技术参数，如发现某项参数未能满足招标文件要求，即为虚假应标，废除报价资格，并上报上级部门列入黑名单。</w:t>
      </w:r>
    </w:p>
    <w:p>
      <w:pPr>
        <w:numPr>
          <w:ilvl w:val="0"/>
          <w:numId w:val="0"/>
        </w:numPr>
        <w:ind w:left="105" w:leftChars="0"/>
        <w:rPr>
          <w:rFonts w:hint="default" w:eastAsiaTheme="minorEastAsia"/>
          <w:lang w:val="en-US" w:eastAsia="zh-CN"/>
        </w:rPr>
      </w:pPr>
    </w:p>
    <w:p>
      <w:pPr>
        <w:numPr>
          <w:ilvl w:val="0"/>
          <w:numId w:val="0"/>
        </w:numPr>
        <w:ind w:left="105" w:leftChars="0"/>
        <w:rPr>
          <w:rFonts w:hint="eastAsia"/>
          <w:sz w:val="32"/>
          <w:szCs w:val="32"/>
        </w:rPr>
      </w:pPr>
    </w:p>
    <w:p>
      <w:pPr>
        <w:numPr>
          <w:ilvl w:val="0"/>
          <w:numId w:val="0"/>
        </w:numPr>
        <w:ind w:left="105" w:leftChars="0"/>
        <w:rPr>
          <w:rFonts w:hint="default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="105" w:leftChars="0"/>
        <w:rPr>
          <w:rFonts w:hint="default" w:eastAsiaTheme="minorEastAsia"/>
          <w:sz w:val="32"/>
          <w:szCs w:val="32"/>
          <w:lang w:val="en-US" w:eastAsia="zh-CN"/>
        </w:rPr>
      </w:pPr>
    </w:p>
    <w:p>
      <w:pPr>
        <w:rPr>
          <w:rFonts w:hint="default" w:asciiTheme="minorEastAsia" w:hAnsiTheme="minorEastAsia" w:eastAsiaTheme="minorEastAsia" w:cstheme="minorEastAsia"/>
          <w:sz w:val="30"/>
          <w:szCs w:val="30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13、配置清单</w:t>
      </w:r>
    </w:p>
    <w:p>
      <w:pP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13.1、专用样机柜1个</w:t>
      </w:r>
    </w:p>
    <w:p>
      <w:pP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13.2、进样系统1套</w:t>
      </w:r>
    </w:p>
    <w:p>
      <w:pP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13.3、四通道控制器1套</w:t>
      </w:r>
    </w:p>
    <w:p>
      <w:pP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13.4、主探测器4只</w:t>
      </w:r>
    </w:p>
    <w:p>
      <w:pP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13.5、反符合探头2只</w:t>
      </w:r>
    </w:p>
    <w:p>
      <w:pP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13.6、四通道反符合传感器1套</w:t>
      </w:r>
    </w:p>
    <w:p>
      <w:pP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13.7、四通道铅室1套</w:t>
      </w:r>
    </w:p>
    <w:p>
      <w:pP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11.8、机脚扳手1把</w:t>
      </w:r>
    </w:p>
    <w:p>
      <w:pP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13.9、标准粉末源KCl 1瓶</w:t>
      </w:r>
    </w:p>
    <w:p>
      <w:pP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13.10、标准粉末源241Am 1瓶</w:t>
      </w:r>
    </w:p>
    <w:p>
      <w:pP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13.11、12吋螺丝刀1把</w:t>
      </w:r>
    </w:p>
    <w:p>
      <w:pP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13.12、样品盘100个</w:t>
      </w:r>
    </w:p>
    <w:p>
      <w:pP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13.13、探测器电源线6根</w:t>
      </w:r>
    </w:p>
    <w:p>
      <w:pP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13.14、探测器高压线6根</w:t>
      </w:r>
    </w:p>
    <w:p>
      <w:pP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13.15、探测器信号线6根</w:t>
      </w:r>
    </w:p>
    <w:p>
      <w:pP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13.16、三芯国标电源线 (AC250V/10A) 1根</w:t>
      </w:r>
    </w:p>
    <w:p>
      <w:pP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13.17、串口线 1根</w:t>
      </w:r>
    </w:p>
    <w:p>
      <w:pP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13.18、说明书1本</w:t>
      </w:r>
    </w:p>
    <w:p>
      <w:pP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13.19、合格证1份</w:t>
      </w:r>
    </w:p>
    <w:p>
      <w:pP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13.20、检定证书1份</w:t>
      </w:r>
    </w:p>
    <w:p>
      <w:pP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13.21、电脑1台</w:t>
      </w:r>
    </w:p>
    <w:p>
      <w:pP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13.22、打印机1台</w:t>
      </w:r>
    </w:p>
    <w:p>
      <w:pPr>
        <w:snapToGrid/>
        <w:spacing w:before="0" w:beforeAutospacing="0" w:after="0" w:afterAutospacing="0" w:line="360" w:lineRule="auto"/>
        <w:jc w:val="both"/>
        <w:textAlignment w:val="baseline"/>
        <w:rPr>
          <w:rStyle w:val="5"/>
          <w:rFonts w:hint="eastAsia" w:asciiTheme="minorEastAsia" w:hAnsiTheme="minorEastAsia" w:cstheme="minorEastAsia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</w:pP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 xml:space="preserve">13.23  </w:t>
      </w:r>
      <w:r>
        <w:rPr>
          <w:rStyle w:val="5"/>
          <w:rFonts w:hint="eastAsia" w:asciiTheme="minorEastAsia" w:hAnsiTheme="minorEastAsia" w:eastAsiaTheme="minorEastAsia" w:cstheme="minorEastAsia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  <w:t>在安装完毕交付使用前</w:t>
      </w:r>
      <w:r>
        <w:rPr>
          <w:rStyle w:val="5"/>
          <w:rFonts w:hint="eastAsia" w:asciiTheme="minorEastAsia" w:hAnsiTheme="minorEastAsia" w:cstheme="minorEastAsia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  <w:t>，乙方提供此仪器额外安装配置耗材等。</w:t>
      </w:r>
    </w:p>
    <w:p>
      <w:pPr>
        <w:pStyle w:val="6"/>
        <w:numPr>
          <w:ilvl w:val="0"/>
          <w:numId w:val="0"/>
        </w:numPr>
        <w:spacing w:line="440" w:lineRule="exact"/>
        <w:ind w:leftChars="0"/>
        <w:rPr>
          <w:rFonts w:hint="default"/>
          <w:sz w:val="30"/>
          <w:szCs w:val="30"/>
          <w:lang w:val="en-US" w:eastAsia="zh-CN"/>
        </w:rPr>
      </w:pPr>
      <w:r>
        <w:rPr>
          <w:rStyle w:val="5"/>
          <w:rFonts w:hint="eastAsia" w:asciiTheme="minorEastAsia" w:hAnsiTheme="minorEastAsia" w:cstheme="minorEastAsia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  <w:t xml:space="preserve">13.24 </w:t>
      </w:r>
      <w:r>
        <w:rPr>
          <w:rFonts w:hint="eastAsia"/>
          <w:sz w:val="30"/>
          <w:szCs w:val="30"/>
          <w:lang w:val="en-US" w:eastAsia="zh-CN"/>
        </w:rPr>
        <w:t>必须满足以上带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*</w:t>
      </w:r>
      <w:r>
        <w:rPr>
          <w:rFonts w:hint="eastAsia" w:asciiTheme="minorEastAsia" w:hAnsiTheme="minorEastAsia" w:cstheme="minorEastAsia"/>
          <w:kern w:val="0"/>
          <w:sz w:val="30"/>
          <w:szCs w:val="30"/>
          <w:lang w:val="en-US" w:eastAsia="zh-CN"/>
        </w:rPr>
        <w:t>号所有条款</w:t>
      </w: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jc w:val="right"/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</w:p>
    <w:p>
      <w:pPr>
        <w:pStyle w:val="2"/>
        <w:jc w:val="right"/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</w:p>
    <w:p>
      <w:pPr>
        <w:pStyle w:val="2"/>
        <w:jc w:val="right"/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检验科</w:t>
      </w:r>
    </w:p>
    <w:p>
      <w:pPr>
        <w:ind w:firstLine="6000" w:firstLineChars="2000"/>
      </w:pP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30"/>
          <w:szCs w:val="30"/>
          <w:lang w:val="en-US" w:eastAsia="zh-CN" w:bidi="ar-SA"/>
        </w:rPr>
        <w:t>2025年2月2</w:t>
      </w:r>
      <w:r>
        <w:rPr>
          <w:rFonts w:hint="eastAsia" w:asciiTheme="minorEastAsia" w:hAnsiTheme="minorEastAsia" w:cstheme="minorEastAsia"/>
          <w:b w:val="0"/>
          <w:bCs w:val="0"/>
          <w:kern w:val="2"/>
          <w:sz w:val="30"/>
          <w:szCs w:val="30"/>
          <w:lang w:val="en-US" w:eastAsia="zh-CN" w:bidi="ar-SA"/>
        </w:rPr>
        <w:t>4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30"/>
          <w:szCs w:val="30"/>
          <w:lang w:val="en-US" w:eastAsia="zh-CN" w:bidi="ar-SA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00000000"/>
    <w:lvl w:ilvl="0" w:tentative="0">
      <w:start w:val="1"/>
      <w:numFmt w:val="decimal"/>
      <w:lvlText w:val="%1、"/>
      <w:lvlJc w:val="left"/>
      <w:pPr>
        <w:widowControl/>
        <w:ind w:left="465" w:hanging="465"/>
        <w:textAlignment w:val="baseline"/>
      </w:pPr>
      <w:rPr>
        <w:rStyle w:val="5"/>
      </w:rPr>
    </w:lvl>
    <w:lvl w:ilvl="1" w:tentative="0">
      <w:start w:val="1"/>
      <w:numFmt w:val="lowerLetter"/>
      <w:lvlText w:val="%1)"/>
      <w:lvlJc w:val="left"/>
      <w:pPr>
        <w:widowControl/>
        <w:ind w:left="840" w:hanging="420"/>
        <w:textAlignment w:val="baseline"/>
      </w:pPr>
      <w:rPr>
        <w:rStyle w:val="5"/>
      </w:rPr>
    </w:lvl>
    <w:lvl w:ilvl="2" w:tentative="0">
      <w:start w:val="1"/>
      <w:numFmt w:val="lowerRoman"/>
      <w:lvlText w:val="%1."/>
      <w:lvlJc w:val="right"/>
      <w:pPr>
        <w:widowControl/>
        <w:ind w:left="1260" w:hanging="420"/>
        <w:textAlignment w:val="baseline"/>
      </w:pPr>
      <w:rPr>
        <w:rStyle w:val="5"/>
      </w:rPr>
    </w:lvl>
    <w:lvl w:ilvl="3" w:tentative="0">
      <w:start w:val="1"/>
      <w:numFmt w:val="decimal"/>
      <w:lvlText w:val="%1."/>
      <w:lvlJc w:val="left"/>
      <w:pPr>
        <w:widowControl/>
        <w:ind w:left="1680" w:hanging="420"/>
        <w:textAlignment w:val="baseline"/>
      </w:pPr>
      <w:rPr>
        <w:rStyle w:val="5"/>
      </w:rPr>
    </w:lvl>
    <w:lvl w:ilvl="4" w:tentative="0">
      <w:start w:val="1"/>
      <w:numFmt w:val="lowerLetter"/>
      <w:lvlText w:val="%1)"/>
      <w:lvlJc w:val="left"/>
      <w:pPr>
        <w:widowControl/>
        <w:ind w:left="2100" w:hanging="420"/>
        <w:textAlignment w:val="baseline"/>
      </w:pPr>
      <w:rPr>
        <w:rStyle w:val="5"/>
      </w:rPr>
    </w:lvl>
    <w:lvl w:ilvl="5" w:tentative="0">
      <w:start w:val="1"/>
      <w:numFmt w:val="lowerRoman"/>
      <w:lvlText w:val="%1."/>
      <w:lvlJc w:val="right"/>
      <w:pPr>
        <w:widowControl/>
        <w:ind w:left="2520" w:hanging="420"/>
        <w:textAlignment w:val="baseline"/>
      </w:pPr>
      <w:rPr>
        <w:rStyle w:val="5"/>
      </w:rPr>
    </w:lvl>
    <w:lvl w:ilvl="6" w:tentative="0">
      <w:start w:val="1"/>
      <w:numFmt w:val="decimal"/>
      <w:lvlText w:val="%1."/>
      <w:lvlJc w:val="left"/>
      <w:pPr>
        <w:widowControl/>
        <w:ind w:left="2940" w:hanging="420"/>
        <w:textAlignment w:val="baseline"/>
      </w:pPr>
      <w:rPr>
        <w:rStyle w:val="5"/>
      </w:rPr>
    </w:lvl>
    <w:lvl w:ilvl="7" w:tentative="0">
      <w:start w:val="1"/>
      <w:numFmt w:val="lowerLetter"/>
      <w:lvlText w:val="%1)"/>
      <w:lvlJc w:val="left"/>
      <w:pPr>
        <w:widowControl/>
        <w:ind w:left="3360" w:hanging="420"/>
        <w:textAlignment w:val="baseline"/>
      </w:pPr>
      <w:rPr>
        <w:rStyle w:val="5"/>
      </w:rPr>
    </w:lvl>
    <w:lvl w:ilvl="8" w:tentative="0">
      <w:start w:val="1"/>
      <w:numFmt w:val="lowerRoman"/>
      <w:lvlText w:val="%1."/>
      <w:lvlJc w:val="right"/>
      <w:pPr>
        <w:widowControl/>
        <w:ind w:left="3780" w:hanging="420"/>
        <w:textAlignment w:val="baseline"/>
      </w:pPr>
      <w:rPr>
        <w:rStyle w:val="5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042FAF"/>
    <w:rsid w:val="25B34FAF"/>
    <w:rsid w:val="5B292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</w:style>
  <w:style w:type="character" w:customStyle="1" w:styleId="5">
    <w:name w:val="NormalCharacter"/>
    <w:qFormat/>
    <w:uiPriority w:val="0"/>
    <w:rPr>
      <w:rFonts w:ascii="Calibri" w:hAnsi="Calibri" w:eastAsia="宋体"/>
    </w:rPr>
  </w:style>
  <w:style w:type="paragraph" w:customStyle="1" w:styleId="6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2025-02-27T09:56:00Z</dcterms:created>
  <dc:creator>Administrator</dc:creator>
  <cp:lastModifiedBy>Administrator</cp:lastModifiedBy>
  <dcterms:modified xsi:type="dcterms:W3CDTF">2025-03-03T01:54:11Z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