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申请报告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30"/>
          <w:szCs w:val="30"/>
        </w:rPr>
        <w:t>中心委员会：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为提高检验科理化实验室农改水项目常规检测能力，检验科现申请一台低本底总αβ测量仪，此检测项目为农改水常规项目中两项放射性指标，总α放射性和总β放射性，此项目将填补检验科放射性两项常规指标空白，提升理化检测能力。现提供仪器参数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仪器名称：低本底α/β测量仪（四通道）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型号：FYFS-400S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可用于辐射防护、环境监测、饮用水、医药</w:t>
      </w: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卫生、农业科学、核电站、反应堆、同位素生产、地质勘探、高</w:t>
      </w:r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等院校、进出口商品检验检疫、科学研究等领域中α/β总活度的测量。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技术参数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1.1依据GB 5749-2022《生活饮用水卫生标准》，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HJ 898-2017 《水质总α放射性的测定厚源法》,HJ 899-2017《水质总放射性的测定厚源法》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对生活饮用水、环境样品、公共卫生、食品及生物样品中的总α、总β活度浓度的测量；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1.2依据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GB14883.3-2016《食品安全国家标准食品中放射性物质锶-89和锶-90的测定》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，对生活饮用水、环境样品、公共卫生、食品及生物样品中的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锶-89和锶-90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的测量。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 工作电压：220+5% V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 环境温度： 5~40℃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 环境湿度： &lt;90%相对湿度（不冷凝）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3.1 可同时测量的样品数量不少于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个，并可分别给出每个被测样品中的总α、总β活度浓度，即一个送样抽屉可同时独立测量各组样品，每个通道水样品由控制器和软件独立控制分析检测，提高测量的灵活性和仪器的使用效率。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提供证明文件）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4、探测器：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4.1 主探测器不怕污染，表面可擦洗，经久耐用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4.2 反符合探测器闪烁体反符合效率大于99%,采用高频通信级别SMB同轴接口，高频通过性强，屏蔽效果好，可以保留原始信号信息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5、控制器：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5.1 模块化设计，标准插道式控制器， 采用高速高性能同步采集控制器，RS-232或USB连接计算机，软件实现全程控制，支持无线通信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土壤（含稀土）测量重复性：总（α+β）活度≥135.39Bg/L，重复性限9.86；土壤（含稀土）测量相对允许差：总（α+β）≥100，相对允许差8% 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由于核信号具有随机性和突发性的特点，为了提高脉冲幅度判定的准确性、仪器测量的精度和稳定性，脉冲幅度获取控制装置，应采用快慢双通道对信号进行处理，低速一次采集即可得到峰顶幅度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6、预留更多通道的低本底αβ测量仪控制装置与相应通道低本底αβ测量仪软件操作系统相匹配，拓展后的送样要求同时由一个送样抽屉完成；预留智能控制端口，根据招标人实际使用需求，可随时升级加装全自动进样系统、无人值守、自动进样、自动出样（提供相关实物图片照片证明文件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铅室：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7.1 分体式结构铅室，结构紧凑，体积小，安装拆卸方便，屏蔽效果更好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8、控制软件：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8.1 纯中文界面，全面的仪器控制和监测，包括高压控制，阈值控制，采样控制，通信控制，通信中断监测，高压信息监测，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8.2 支持半衰期活度校正，支持工作源测量，标准源测量，本底测量，水样品测量，一般样品测量和生物样品测量等测量方式，样品测量中自动计算平均值，活度浓度，标准误差，探测限和相对误差等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9、本底计数率（cm-2min-1）：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9.1 对于239Puα源（活性区φ30mm）2π探测效率比≥80%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平均本底计数率α≤0.005；以现场验收为准。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9.2 对于90Sr-90Yβ源（活性区φ20mm）2π探测效率比≥50%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平均本底计数率β≤0.15；以现场验收为准。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9.3 对于总α、β放射性活度检测回收率≥85%，以现场验收为准。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10、α／β交叉性能：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10.1 α进入β道的计数比≤2.5％（对239Pu）；以现场验收为准。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10.2 β进入α道的计数比≤0.3％（对于90Sr-90Y）以现场验收为准。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*11.1 仪器本底和效率控制：由用户单位负责采集不少于12次总αβ放射性水样，由安装调试工程师负责连续分析同一个样品＜12次以上。以本底计数率或仪器效率为纵坐标，测量次序为横坐标，位置质量控制图，在平均值Nb的上下各标出控制线(Nb±3σ)和警告线(Nb±2σ),若本底计数率或仪器效率两次连续警告线或超过控制线，视为设备不合格（提供技术证明材料并以现场验收为准）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11.2、精密度及准确度:由安装调试工程师自带标样(总α放射性活度浓度0.046Bq/L左右和25.6Bq/L)并连续分析六次，分析结果的标准偏差≤25%和3.5%；对总α放射性活度浓度在0.046Bq/L左右和25.6Bq/L样品统一加入241Am标准溶液测量方法的加标回收率范围90%—120%和97%-110%，加标回收率最终值分别为89%-122%和91%-115%。若不能满足该条件，视为设备不合格。（提供技术证明材料并以现场验收为准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12.具备《辐射安全许可证》，《放射源豁免证明函》，实验所用标准源属豁免放谢源，已获环境保护部豁免备案公告与射线同位素证明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 参与制定过相关放射性检测标准。（加分项）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14质保期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；厂家工程师免费提供安装及产品培训。现场免费安装、调试设备，进行操作试验，直至运行正常，为仪器操作人员提供免费的操作及维护培训，可适当延长培训时间，直至操作人员学会，并提供相关前处理培训和方法验证指导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15、质保期内免费提供配件及维修服务，质保期外提供零部件销售,配件费用按成本价收取，终身免费提供技术支持服务。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*16、维护响应时间：为保证实验室在突发情况下的检测能力，疆内有厂家办事处，并配备专职售后工程师,半小时内电话响应，6小时内有能力到达用户现场提供服务。（提供提供官方证明材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料并加盖公章）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*17.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  <w:r>
        <w:rPr>
          <w:rFonts w:hint="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本项目只接受上述满足产品的参数性能。招标所有参数作为实质性条款必须满足</w:t>
      </w:r>
      <w:r>
        <w:rPr>
          <w:rFonts w:hint="eastAsia"/>
          <w:sz w:val="32"/>
          <w:szCs w:val="32"/>
          <w:lang w:val="en-US" w:eastAsia="zh-CN"/>
        </w:rPr>
        <w:t>需逐一佐证</w:t>
      </w:r>
      <w:r>
        <w:rPr>
          <w:rFonts w:hint="eastAsia"/>
          <w:sz w:val="32"/>
          <w:szCs w:val="32"/>
        </w:rPr>
        <w:t>，否则视为无效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价,禁止不符合参数要求的供应商恶意低价报价，造成采购单位工期延迟，影响进度的报上级部门反映该情况，并列入黑名单，责任由供应商承担。</w:t>
      </w:r>
      <w:r>
        <w:rPr>
          <w:rFonts w:hint="eastAsia"/>
          <w:sz w:val="32"/>
          <w:szCs w:val="32"/>
          <w:lang w:val="en-US" w:eastAsia="zh-CN"/>
        </w:rPr>
        <w:t>需提供厂家技术白皮书。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以上商务条款中标供应商必须全部满足，否则报价无效。</w:t>
      </w: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*20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left="105" w:leftChars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13、配置清单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13.1、专用样机柜1个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13.2、进样系统1套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13.3、四通道控制器1套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13.4、主探测器4只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13.5、反符合探头2只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13.6、四通道反符合传感器1套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13.7、四通道铅室1套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11.8、机脚扳手1把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13.9、标准粉末源KCl 1瓶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13.10、标准粉末源241Am 1瓶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13.11、12吋螺丝刀1把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13.12、样品盘100个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13.13、探测器电源线6根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13.14、探测器高压线6根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13.15、探测器信号线6根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13.16、三芯国标电源线 (AC250V/10A) 1根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13.17、串口线 1根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13.18、说明书1本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13.19、合格证1份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13.20、检定证书1份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13.21、电脑1台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13.22、打印机1台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13.23  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在安装完毕交付使用前</w:t>
      </w:r>
      <w:r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，乙方提供此仪器额外安装配置耗材等。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/>
          <w:sz w:val="30"/>
          <w:szCs w:val="30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13.24 </w:t>
      </w:r>
      <w:r>
        <w:rPr>
          <w:rFonts w:hint="eastAsia"/>
          <w:sz w:val="30"/>
          <w:szCs w:val="30"/>
          <w:lang w:val="en-US" w:eastAsia="zh-CN"/>
        </w:rPr>
        <w:t>必须满足以上带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号所有条款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ind w:firstLine="6000" w:firstLineChars="2000"/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widowControl/>
        <w:ind w:left="465" w:hanging="465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2FAF"/>
    <w:rsid w:val="25B3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qFormat/>
    <w:uiPriority w:val="0"/>
    <w:rPr>
      <w:rFonts w:ascii="Calibri" w:hAnsi="Calibri" w:eastAsia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2025-02-27T09:56:00Z</dcterms:created>
  <dc:creator>Administrator</dc:creator>
  <cp:lastModifiedBy>Administrator</cp:lastModifiedBy>
  <dcterms:modified xsi:type="dcterms:W3CDTF">2025-02-27T10:10:49Z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