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塔城第三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学校河道防护栏改造项目需求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一、项目总体情况​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塔城市第三小学校园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河道防护栏改造项目​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项目地点：[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塔城市解放路8号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]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内河道区域​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项目预算：150,000 元（大写：人民币壹拾伍万元整），此预算为项目最高限额，包含完成本项目所有工作的全部费用，供应商报价不得超出该预算。​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项目周期：自合同签订之日起 [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] 日内完成全部改造工作并通过验收。​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二、项目背景及改造必要性​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学校内河道现有防护栏已使用多年，部分区域出现锈蚀、松动、损坏等现象，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部分区域护栏在用铁丝固定，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存在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很大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的安全隐患，无法充分保障师生在河道周边活动时的安全。同时，旧防护栏样式陈旧，与校园整体环境协调性较差。为消除安全隐患，提升校园环境品质，特开展本次河道防护栏改造项目。​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三、具体改造需求​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拆除旧防护栏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对河道沿线所有旧防护栏进行全面拆除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160米）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，拆除范围包括栏杆、立柱及相关固定设施。拆除过程中需采取安全防护措施，避免对周边植被、路面及其他设施造成损坏。​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拆除产生的建筑垃圾及废料需及时清理并运输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合规的垃圾处理场所，不得在现场遗留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拆除后的旧护栏需运输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至学校指定地点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确保施工现场整洁。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新防护栏安装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材质：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护栏立柱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采用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镀锌方管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护栏横梁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采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用镀锌方钢，护栏竖撑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采用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镀锌圆钢管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护栏表面喷涂防锈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柒两层具体颜色按甲方要求。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所有材质必须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具有良好的耐腐蚀性和机械强度，能适应校园潮湿环境。供应商需提供材质合格证明及检测报告。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参数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护栏立柱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GB80*80*3mm镀锌方管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高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2.5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m，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立柱间隔</w:t>
      </w:r>
      <w:r>
        <w:rPr>
          <w:rFonts w:hint="eastAsia" w:ascii="宋体" w:hAnsi="宋体" w:eastAsia="宋体" w:cs="宋体"/>
          <w:sz w:val="28"/>
          <w:szCs w:val="36"/>
        </w:rPr>
        <w:t>≦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2米每个，需预埋入混凝土地基中，深度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60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cm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护栏全长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160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m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高1.8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，围栏做三横梁式，护栏横梁使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</w:rPr>
        <w:t>用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GB40*40*3mm镀锌方钢，护栏竖撑使用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GB25*3mm镀锌圆钢管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竖杆间距≤1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0mm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护栏表面喷涂防锈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柒两层具体颜色按甲方要求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混凝土立柱高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2.5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m,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宽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0.4*0.4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共15个，每个混凝土立柱中加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20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mm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螺纹钢4根，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8毫米箍筋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13个扎丝固定，柱体表面抹光喷涂真石漆两层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符合《民用建筑设计统一标准》相关规定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样式：样式需简洁、美观、大方，与校园的建筑风格和绿化环境相协调。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基础：防护栏基础采用 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混凝土浇筑地基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高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60cm,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宽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40cm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，混凝土标号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C25，新建筑地基需和原混凝土基面做锚点处理，锚点间距</w:t>
      </w:r>
      <w:r>
        <w:rPr>
          <w:rFonts w:hint="eastAsia" w:ascii="宋体" w:hAnsi="宋体" w:eastAsia="宋体" w:cs="宋体"/>
          <w:sz w:val="28"/>
          <w:szCs w:val="36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0.3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，原基面做磨破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 xml:space="preserve"> 、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处理，便于良好结合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确保防护栏安装牢固稳定。​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连接方式：采用焊接或螺栓连接，焊接处需进行打磨、抛光处理，确保表面光滑，无毛刺；螺栓连接需采用不锈钢螺栓，防止生锈。​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配套设施​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在河道转弯处、人流量较大区域及危险地段设置明显的警示标识，标识内容包括 “小心落水”“禁止攀爬”“注意安全” 等。警示标识采用不锈钢材质，尺寸 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300×200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mm(每个标识只少4块）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，安装牢固，字迹清晰、醒目，具有一定的耐候性。​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四、施工及质量要求​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施工要求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前需编制详细的施工组织设计方案，包括施工流程、人员安排、设备配置、进度计划、安全保障措施等，报学校审核通过后方可施工。施工过程中需遵守学校的各项管理规定，合理安排施工时间。施工区域需设置围挡或警示带，划分施工范围，防止无关人员进入。同时，做好施工场地的环境卫生管理，做到工完场清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质量要求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: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防护栏的材质、规格、性能等需符合国家相关标准及本需求的规定，供应商需提供材质合格证明文件。防护栏安装应牢固可靠，垂直度、平整度偏差不超过规范允许范围，无松动、晃动现象。防护栏表面需进行抛光处理，色泽均匀，无明显划痕、凹陷、锈蚀等缺陷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整个改造工程需达到《建筑工程施工质量验收统一标准》及相关专业验收规范的合格标准。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护栏需现场制作加工。所用材料必须严格按照甲方要求使用合格合规材料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未按要求施工甲方不予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验收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并要求予以整改，直到甲方验收合格后方可交工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五、验收标准及流程​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验收标准：按照本需求中规定的材质、规格、施工质量要求及国家相关标准进行验收。​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验收流程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完成全部改造工作后，向学校提交验收申请报告及相关资料（包括竣工图、材质合格证明、隐蔽工程记录等）。​学校组织相关人员组成验收小组，对项目进行现场验收。验收合格的，签署验收合格单；验收不合格的，供应商需按照验收意见在规定时间内进行整改，整改完成后重新申请验收，直至验收合格。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六、售后服务要求​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质保期：本项目质保期为自验收合格之日起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年。在质保期内，如因产品质量或施工问题导致防护栏损坏、松动等情况，供应商需在接到学校通知后 24 小时内响应，48 小时内到场维修，并承担全部维修费用。​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售后服务承诺：供应商需提供详细的售后服务承诺，包括质保期内的服务内容、响应时间、维修方式等，以及质保期后的有偿服务收费标准。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、其他说明​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在竞价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必须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踏勘项目现场，充分了解河道地形、周边环境等情况，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填报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表并盖学校公章，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踏勘费用自理，因未踏勘导致的方案偏差由供应商自行负责。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其他资料准备（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包括营业执照、资质证书、施工方案、报价清单、售后服务承诺等相关资料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塔城市第三小学河道护栏改造项目</w:t>
      </w:r>
      <w:r>
        <w:rPr>
          <w:rFonts w:hint="eastAsia"/>
          <w:b/>
          <w:bCs/>
          <w:sz w:val="28"/>
          <w:szCs w:val="28"/>
          <w:lang w:val="en-US" w:eastAsia="zh-CN"/>
        </w:rPr>
        <w:t>现场踏勘表</w:t>
      </w:r>
    </w:p>
    <w:tbl>
      <w:tblPr>
        <w:tblStyle w:val="4"/>
        <w:tblpPr w:leftFromText="180" w:rightFromText="180" w:vertAnchor="text" w:horzAnchor="page" w:tblpX="1855" w:tblpY="666"/>
        <w:tblOverlap w:val="never"/>
        <w:tblW w:w="8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塔城市第三小学河道护栏改造项目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项目编号：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建设地址：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塔城市第三小学（塔城市解放路8号）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68" w:type="dxa"/>
            <w:noWrap w:val="0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 系 人：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13345306535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踏勘时间：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踏勘单位：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660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踏勘情况</w:t>
            </w:r>
          </w:p>
        </w:tc>
        <w:tc>
          <w:tcPr>
            <w:tcW w:w="660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vertAlign w:val="baseline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666B"/>
    <w:rsid w:val="344035C4"/>
    <w:rsid w:val="3AF8053D"/>
    <w:rsid w:val="4F496329"/>
    <w:rsid w:val="6D26134B"/>
    <w:rsid w:val="6F8F3B8E"/>
    <w:rsid w:val="73F0044F"/>
    <w:rsid w:val="76D527BD"/>
    <w:rsid w:val="7AC1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2025-07-11T08:56:00Z</dcterms:created>
  <dc:creator>Administrator</dc:creator>
  <cp:lastModifiedBy>Administrator</cp:lastModifiedBy>
  <dcterms:modified xsi:type="dcterms:W3CDTF">2025-07-18T09:43:20Z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