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FB74A3">
      <w:pPr>
        <w:spacing w:line="360" w:lineRule="auto"/>
        <w:jc w:val="center"/>
        <w:rPr>
          <w:rFonts w:hint="eastAsia" w:ascii="宋体" w:hAnsi="宋体" w:eastAsia="宋体" w:cs="宋体"/>
          <w:b/>
          <w:bCs/>
          <w:color w:val="000000" w:themeColor="text1"/>
          <w:sz w:val="44"/>
          <w:szCs w:val="44"/>
          <w:lang w:val="en-US" w:eastAsia="zh-CN"/>
          <w14:textFill>
            <w14:solidFill>
              <w14:schemeClr w14:val="tx1"/>
            </w14:solidFill>
          </w14:textFill>
        </w:rPr>
      </w:pPr>
      <w:bookmarkStart w:id="2" w:name="_GoBack"/>
      <w:bookmarkEnd w:id="2"/>
      <w:bookmarkStart w:id="0" w:name="_Toc1034"/>
      <w:r>
        <w:rPr>
          <w:rFonts w:hint="eastAsia" w:ascii="宋体" w:hAnsi="宋体" w:eastAsia="宋体" w:cs="宋体"/>
          <w:b/>
          <w:bCs/>
          <w:color w:val="000000" w:themeColor="text1"/>
          <w:sz w:val="44"/>
          <w:szCs w:val="44"/>
          <w:lang w:val="en-US" w:eastAsia="zh-CN"/>
          <w14:textFill>
            <w14:solidFill>
              <w14:schemeClr w14:val="tx1"/>
            </w14:solidFill>
          </w14:textFill>
        </w:rPr>
        <w:t>网站群平台建设项目需求表</w:t>
      </w:r>
    </w:p>
    <w:tbl>
      <w:tblPr>
        <w:tblStyle w:val="11"/>
        <w:tblW w:w="10384" w:type="dxa"/>
        <w:tblInd w:w="-8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9"/>
        <w:gridCol w:w="4212"/>
        <w:gridCol w:w="1061"/>
        <w:gridCol w:w="1500"/>
        <w:gridCol w:w="2492"/>
      </w:tblGrid>
      <w:tr w14:paraId="1AFAA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1119" w:type="dxa"/>
          </w:tcPr>
          <w:p w14:paraId="2C893FE1">
            <w:pPr>
              <w:wordWrap w:val="0"/>
              <w:spacing w:line="360" w:lineRule="auto"/>
              <w:jc w:val="both"/>
              <w:rPr>
                <w:rFonts w:ascii="宋体" w:hAnsi="宋体" w:eastAsia="宋体" w:cs="宋体"/>
                <w:b/>
                <w:bCs/>
                <w:kern w:val="0"/>
                <w:sz w:val="24"/>
                <w:szCs w:val="24"/>
              </w:rPr>
            </w:pPr>
            <w:r>
              <w:rPr>
                <w:rFonts w:hint="eastAsia" w:ascii="宋体" w:hAnsi="宋体" w:eastAsia="宋体" w:cs="宋体"/>
                <w:b/>
                <w:bCs/>
                <w:kern w:val="0"/>
                <w:sz w:val="24"/>
                <w:szCs w:val="24"/>
              </w:rPr>
              <w:t>序号</w:t>
            </w:r>
          </w:p>
        </w:tc>
        <w:tc>
          <w:tcPr>
            <w:tcW w:w="4212" w:type="dxa"/>
          </w:tcPr>
          <w:p w14:paraId="0FEF8BEE">
            <w:pPr>
              <w:wordWrap w:val="0"/>
              <w:spacing w:line="360" w:lineRule="auto"/>
              <w:jc w:val="center"/>
              <w:rPr>
                <w:rFonts w:ascii="宋体" w:hAnsi="宋体" w:eastAsia="宋体" w:cs="宋体"/>
                <w:b/>
                <w:bCs/>
                <w:kern w:val="0"/>
                <w:sz w:val="24"/>
                <w:szCs w:val="24"/>
              </w:rPr>
            </w:pPr>
            <w:r>
              <w:rPr>
                <w:rFonts w:hint="eastAsia" w:ascii="宋体" w:hAnsi="宋体" w:eastAsia="宋体" w:cs="宋体"/>
                <w:b/>
                <w:bCs/>
                <w:kern w:val="0"/>
                <w:sz w:val="24"/>
                <w:szCs w:val="24"/>
              </w:rPr>
              <w:t>建设内容</w:t>
            </w:r>
          </w:p>
        </w:tc>
        <w:tc>
          <w:tcPr>
            <w:tcW w:w="1061" w:type="dxa"/>
          </w:tcPr>
          <w:p w14:paraId="28CBD002">
            <w:pPr>
              <w:wordWrap w:val="0"/>
              <w:spacing w:line="360" w:lineRule="auto"/>
              <w:jc w:val="center"/>
              <w:rPr>
                <w:rFonts w:ascii="宋体" w:hAnsi="宋体" w:eastAsia="宋体" w:cs="宋体"/>
                <w:b/>
                <w:bCs/>
                <w:kern w:val="0"/>
                <w:sz w:val="24"/>
                <w:szCs w:val="24"/>
              </w:rPr>
            </w:pPr>
            <w:r>
              <w:rPr>
                <w:rFonts w:hint="eastAsia" w:ascii="宋体" w:hAnsi="宋体" w:eastAsia="宋体" w:cs="宋体"/>
                <w:b/>
                <w:bCs/>
                <w:kern w:val="0"/>
                <w:sz w:val="24"/>
                <w:szCs w:val="24"/>
              </w:rPr>
              <w:t>数量</w:t>
            </w:r>
          </w:p>
        </w:tc>
        <w:tc>
          <w:tcPr>
            <w:tcW w:w="1500" w:type="dxa"/>
          </w:tcPr>
          <w:p w14:paraId="0EBCB54A">
            <w:pPr>
              <w:wordWrap w:val="0"/>
              <w:spacing w:line="360" w:lineRule="auto"/>
              <w:jc w:val="center"/>
              <w:rPr>
                <w:rFonts w:ascii="宋体" w:hAnsi="宋体" w:eastAsia="宋体" w:cs="宋体"/>
                <w:b/>
                <w:bCs/>
                <w:kern w:val="0"/>
                <w:sz w:val="24"/>
                <w:szCs w:val="24"/>
              </w:rPr>
            </w:pPr>
            <w:r>
              <w:rPr>
                <w:rFonts w:hint="eastAsia" w:ascii="宋体" w:hAnsi="宋体" w:eastAsia="宋体" w:cs="宋体"/>
                <w:b/>
                <w:bCs/>
                <w:kern w:val="0"/>
                <w:sz w:val="24"/>
                <w:szCs w:val="24"/>
              </w:rPr>
              <w:t>单位</w:t>
            </w:r>
          </w:p>
        </w:tc>
        <w:tc>
          <w:tcPr>
            <w:tcW w:w="2492" w:type="dxa"/>
          </w:tcPr>
          <w:p w14:paraId="383E1CE0">
            <w:pPr>
              <w:wordWrap w:val="0"/>
              <w:spacing w:line="360" w:lineRule="auto"/>
              <w:jc w:val="center"/>
              <w:rPr>
                <w:rFonts w:ascii="宋体" w:hAnsi="宋体" w:eastAsia="宋体" w:cs="宋体"/>
                <w:b/>
                <w:bCs/>
                <w:kern w:val="0"/>
                <w:sz w:val="24"/>
                <w:szCs w:val="24"/>
              </w:rPr>
            </w:pPr>
            <w:r>
              <w:rPr>
                <w:rFonts w:hint="eastAsia" w:ascii="宋体" w:hAnsi="宋体" w:eastAsia="宋体" w:cs="宋体"/>
                <w:b/>
                <w:bCs/>
                <w:kern w:val="0"/>
                <w:sz w:val="24"/>
                <w:szCs w:val="24"/>
              </w:rPr>
              <w:t>技术参数</w:t>
            </w:r>
          </w:p>
        </w:tc>
      </w:tr>
      <w:tr w14:paraId="66B31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1119" w:type="dxa"/>
            <w:vAlign w:val="center"/>
          </w:tcPr>
          <w:p w14:paraId="38FBB568">
            <w:pPr>
              <w:numPr>
                <w:ilvl w:val="0"/>
                <w:numId w:val="0"/>
              </w:numPr>
              <w:tabs>
                <w:tab w:val="left" w:pos="1181"/>
              </w:tabs>
              <w:wordWrap w:val="0"/>
              <w:spacing w:line="360" w:lineRule="auto"/>
              <w:ind w:leftChars="200"/>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1</w:t>
            </w:r>
          </w:p>
        </w:tc>
        <w:tc>
          <w:tcPr>
            <w:tcW w:w="4212" w:type="dxa"/>
            <w:vAlign w:val="center"/>
          </w:tcPr>
          <w:p w14:paraId="74FBBB0F">
            <w:pPr>
              <w:wordWrap w:val="0"/>
              <w:spacing w:line="360" w:lineRule="auto"/>
              <w:ind w:left="0" w:leftChars="0" w:firstLine="0" w:firstLineChars="0"/>
              <w:jc w:val="center"/>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博达</w:t>
            </w:r>
            <w:r>
              <w:rPr>
                <w:rFonts w:hint="eastAsia" w:ascii="宋体" w:hAnsi="宋体" w:eastAsia="宋体" w:cs="宋体"/>
                <w:kern w:val="0"/>
                <w:sz w:val="24"/>
                <w:szCs w:val="24"/>
              </w:rPr>
              <w:t>全媒体网站群管理平台</w:t>
            </w:r>
            <w:r>
              <w:rPr>
                <w:rFonts w:hint="eastAsia" w:ascii="宋体" w:hAnsi="宋体" w:eastAsia="宋体" w:cs="宋体"/>
                <w:kern w:val="0"/>
                <w:sz w:val="24"/>
                <w:szCs w:val="24"/>
                <w:lang w:val="en-US" w:eastAsia="zh-CN"/>
              </w:rPr>
              <w:t>V12.0</w:t>
            </w:r>
          </w:p>
        </w:tc>
        <w:tc>
          <w:tcPr>
            <w:tcW w:w="1061" w:type="dxa"/>
            <w:vAlign w:val="center"/>
          </w:tcPr>
          <w:p w14:paraId="683FCFED">
            <w:pPr>
              <w:wordWrap w:val="0"/>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1500" w:type="dxa"/>
            <w:vAlign w:val="center"/>
          </w:tcPr>
          <w:p w14:paraId="7E90FF6A">
            <w:pPr>
              <w:wordWrap w:val="0"/>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套</w:t>
            </w:r>
          </w:p>
        </w:tc>
        <w:tc>
          <w:tcPr>
            <w:tcW w:w="2492" w:type="dxa"/>
            <w:vAlign w:val="center"/>
          </w:tcPr>
          <w:p w14:paraId="70A61837">
            <w:pPr>
              <w:wordWrap w:val="0"/>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详见技术参数一栏表</w:t>
            </w:r>
          </w:p>
        </w:tc>
      </w:tr>
      <w:tr w14:paraId="2FADF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1119" w:type="dxa"/>
            <w:vAlign w:val="center"/>
          </w:tcPr>
          <w:p w14:paraId="406C0747">
            <w:pPr>
              <w:numPr>
                <w:ilvl w:val="0"/>
                <w:numId w:val="0"/>
              </w:numPr>
              <w:wordWrap w:val="0"/>
              <w:spacing w:line="360" w:lineRule="auto"/>
              <w:ind w:leftChars="200"/>
              <w:jc w:val="both"/>
              <w:rPr>
                <w:rFonts w:hint="default" w:ascii="宋体" w:hAnsi="宋体" w:eastAsia="宋体" w:cs="宋体"/>
                <w:kern w:val="0"/>
                <w:sz w:val="24"/>
                <w:szCs w:val="24"/>
                <w:lang w:val="en-US"/>
              </w:rPr>
            </w:pPr>
            <w:r>
              <w:rPr>
                <w:rFonts w:hint="eastAsia" w:ascii="宋体" w:hAnsi="宋体" w:eastAsia="宋体" w:cs="宋体"/>
                <w:kern w:val="0"/>
                <w:sz w:val="24"/>
                <w:szCs w:val="24"/>
                <w:lang w:val="en-US" w:eastAsia="zh-CN"/>
              </w:rPr>
              <w:t>2</w:t>
            </w:r>
          </w:p>
        </w:tc>
        <w:tc>
          <w:tcPr>
            <w:tcW w:w="4212" w:type="dxa"/>
            <w:vAlign w:val="center"/>
          </w:tcPr>
          <w:p w14:paraId="246316B7">
            <w:pPr>
              <w:wordWrap w:val="0"/>
              <w:spacing w:line="360" w:lineRule="auto"/>
              <w:jc w:val="center"/>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博达</w:t>
            </w:r>
            <w:r>
              <w:rPr>
                <w:rFonts w:hint="eastAsia" w:ascii="宋体" w:hAnsi="宋体" w:eastAsia="宋体" w:cs="宋体"/>
                <w:kern w:val="0"/>
                <w:sz w:val="24"/>
                <w:szCs w:val="24"/>
              </w:rPr>
              <w:t>网站防篡改系统</w:t>
            </w:r>
            <w:r>
              <w:rPr>
                <w:rFonts w:hint="eastAsia" w:ascii="宋体" w:hAnsi="宋体" w:eastAsia="宋体" w:cs="宋体"/>
                <w:kern w:val="0"/>
                <w:sz w:val="24"/>
                <w:szCs w:val="24"/>
                <w:lang w:val="en-US" w:eastAsia="zh-CN"/>
              </w:rPr>
              <w:t>V3.0</w:t>
            </w:r>
          </w:p>
        </w:tc>
        <w:tc>
          <w:tcPr>
            <w:tcW w:w="1061" w:type="dxa"/>
            <w:vAlign w:val="center"/>
          </w:tcPr>
          <w:p w14:paraId="61354226">
            <w:pPr>
              <w:wordWrap w:val="0"/>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1500" w:type="dxa"/>
            <w:vAlign w:val="center"/>
          </w:tcPr>
          <w:p w14:paraId="388531AF">
            <w:pPr>
              <w:wordWrap w:val="0"/>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套</w:t>
            </w:r>
          </w:p>
        </w:tc>
        <w:tc>
          <w:tcPr>
            <w:tcW w:w="2492" w:type="dxa"/>
            <w:vAlign w:val="center"/>
          </w:tcPr>
          <w:p w14:paraId="5B8DA641">
            <w:pPr>
              <w:wordWrap w:val="0"/>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详见技术参数一栏表</w:t>
            </w:r>
          </w:p>
        </w:tc>
      </w:tr>
      <w:tr w14:paraId="472BC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1119" w:type="dxa"/>
            <w:vAlign w:val="center"/>
          </w:tcPr>
          <w:p w14:paraId="722038D5">
            <w:pPr>
              <w:numPr>
                <w:ilvl w:val="0"/>
                <w:numId w:val="0"/>
              </w:numPr>
              <w:wordWrap w:val="0"/>
              <w:spacing w:line="360" w:lineRule="auto"/>
              <w:ind w:leftChars="200"/>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3</w:t>
            </w:r>
          </w:p>
        </w:tc>
        <w:tc>
          <w:tcPr>
            <w:tcW w:w="4212" w:type="dxa"/>
            <w:vAlign w:val="center"/>
          </w:tcPr>
          <w:p w14:paraId="7E57FDD6">
            <w:pPr>
              <w:tabs>
                <w:tab w:val="left" w:pos="870"/>
                <w:tab w:val="center" w:pos="1370"/>
              </w:tabs>
              <w:wordWrap w:val="0"/>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门户主站改版</w:t>
            </w:r>
          </w:p>
        </w:tc>
        <w:tc>
          <w:tcPr>
            <w:tcW w:w="1061" w:type="dxa"/>
            <w:vAlign w:val="center"/>
          </w:tcPr>
          <w:p w14:paraId="45D6154B">
            <w:pPr>
              <w:wordWrap w:val="0"/>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1500" w:type="dxa"/>
            <w:vAlign w:val="center"/>
          </w:tcPr>
          <w:p w14:paraId="4201EF7C">
            <w:pPr>
              <w:wordWrap w:val="0"/>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项</w:t>
            </w:r>
          </w:p>
        </w:tc>
        <w:tc>
          <w:tcPr>
            <w:tcW w:w="2492" w:type="dxa"/>
            <w:vAlign w:val="center"/>
          </w:tcPr>
          <w:p w14:paraId="57CA124A">
            <w:pPr>
              <w:wordWrap w:val="0"/>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详见技术参数一栏表</w:t>
            </w:r>
          </w:p>
        </w:tc>
      </w:tr>
      <w:tr w14:paraId="2DF7B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1119" w:type="dxa"/>
            <w:vAlign w:val="center"/>
          </w:tcPr>
          <w:p w14:paraId="73C45777">
            <w:pPr>
              <w:numPr>
                <w:ilvl w:val="0"/>
                <w:numId w:val="0"/>
              </w:numPr>
              <w:wordWrap w:val="0"/>
              <w:spacing w:line="360" w:lineRule="auto"/>
              <w:ind w:leftChars="200"/>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4</w:t>
            </w:r>
          </w:p>
        </w:tc>
        <w:tc>
          <w:tcPr>
            <w:tcW w:w="4212" w:type="dxa"/>
            <w:vAlign w:val="center"/>
          </w:tcPr>
          <w:p w14:paraId="513A5414">
            <w:pPr>
              <w:wordWrap w:val="0"/>
              <w:spacing w:line="360" w:lineRule="auto"/>
              <w:jc w:val="center"/>
              <w:rPr>
                <w:rFonts w:ascii="宋体" w:hAnsi="宋体" w:eastAsia="宋体" w:cs="宋体"/>
                <w:kern w:val="0"/>
                <w:sz w:val="24"/>
                <w:szCs w:val="24"/>
              </w:rPr>
            </w:pPr>
            <w:r>
              <w:rPr>
                <w:rFonts w:hint="eastAsia" w:ascii="宋体" w:hAnsi="宋体" w:eastAsia="宋体" w:cs="宋体"/>
                <w:kern w:val="0"/>
                <w:sz w:val="24"/>
                <w:szCs w:val="24"/>
                <w:lang w:val="en-US" w:eastAsia="zh-CN"/>
              </w:rPr>
              <w:t>博达</w:t>
            </w:r>
            <w:r>
              <w:rPr>
                <w:rFonts w:hint="eastAsia" w:ascii="宋体" w:hAnsi="宋体" w:eastAsia="宋体" w:cs="宋体"/>
                <w:kern w:val="0"/>
                <w:sz w:val="24"/>
                <w:szCs w:val="24"/>
              </w:rPr>
              <w:t>内容安全预检（审校）</w:t>
            </w:r>
          </w:p>
        </w:tc>
        <w:tc>
          <w:tcPr>
            <w:tcW w:w="1061" w:type="dxa"/>
            <w:vAlign w:val="center"/>
          </w:tcPr>
          <w:p w14:paraId="092D2ADA">
            <w:pPr>
              <w:wordWrap w:val="0"/>
              <w:spacing w:line="360" w:lineRule="auto"/>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1</w:t>
            </w:r>
          </w:p>
        </w:tc>
        <w:tc>
          <w:tcPr>
            <w:tcW w:w="1500" w:type="dxa"/>
            <w:vAlign w:val="center"/>
          </w:tcPr>
          <w:p w14:paraId="407FFC59">
            <w:pPr>
              <w:wordWrap w:val="0"/>
              <w:spacing w:line="360" w:lineRule="auto"/>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年</w:t>
            </w:r>
          </w:p>
        </w:tc>
        <w:tc>
          <w:tcPr>
            <w:tcW w:w="2492" w:type="dxa"/>
            <w:vAlign w:val="center"/>
          </w:tcPr>
          <w:p w14:paraId="284D32DA">
            <w:pPr>
              <w:wordWrap w:val="0"/>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详见技术参数一栏表</w:t>
            </w:r>
          </w:p>
        </w:tc>
      </w:tr>
      <w:tr w14:paraId="4BB97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1119" w:type="dxa"/>
            <w:vAlign w:val="center"/>
          </w:tcPr>
          <w:p w14:paraId="2F72C16B">
            <w:pPr>
              <w:numPr>
                <w:ilvl w:val="0"/>
                <w:numId w:val="0"/>
              </w:numPr>
              <w:wordWrap w:val="0"/>
              <w:spacing w:line="360" w:lineRule="auto"/>
              <w:ind w:leftChars="200"/>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5</w:t>
            </w:r>
          </w:p>
        </w:tc>
        <w:tc>
          <w:tcPr>
            <w:tcW w:w="4212" w:type="dxa"/>
            <w:vAlign w:val="center"/>
          </w:tcPr>
          <w:p w14:paraId="37D62DF6">
            <w:pPr>
              <w:wordWrap w:val="0"/>
              <w:spacing w:line="360" w:lineRule="auto"/>
              <w:jc w:val="center"/>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子站模版建设</w:t>
            </w:r>
          </w:p>
        </w:tc>
        <w:tc>
          <w:tcPr>
            <w:tcW w:w="1061" w:type="dxa"/>
            <w:vAlign w:val="center"/>
          </w:tcPr>
          <w:p w14:paraId="1BDBB4AE">
            <w:pPr>
              <w:wordWrap w:val="0"/>
              <w:spacing w:line="360" w:lineRule="auto"/>
              <w:jc w:val="center"/>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17</w:t>
            </w:r>
          </w:p>
        </w:tc>
        <w:tc>
          <w:tcPr>
            <w:tcW w:w="1500" w:type="dxa"/>
            <w:vAlign w:val="center"/>
          </w:tcPr>
          <w:p w14:paraId="1FDCBAAF">
            <w:pPr>
              <w:wordWrap w:val="0"/>
              <w:spacing w:line="360" w:lineRule="auto"/>
              <w:jc w:val="center"/>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个</w:t>
            </w:r>
          </w:p>
        </w:tc>
        <w:tc>
          <w:tcPr>
            <w:tcW w:w="2492" w:type="dxa"/>
            <w:vAlign w:val="center"/>
          </w:tcPr>
          <w:p w14:paraId="57E2B408">
            <w:pPr>
              <w:wordWrap w:val="0"/>
              <w:spacing w:line="360" w:lineRule="auto"/>
              <w:jc w:val="center"/>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详见技术参数一览表</w:t>
            </w:r>
          </w:p>
        </w:tc>
      </w:tr>
      <w:tr w14:paraId="3191D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1119" w:type="dxa"/>
            <w:vAlign w:val="center"/>
          </w:tcPr>
          <w:p w14:paraId="69E6F254">
            <w:pPr>
              <w:numPr>
                <w:ilvl w:val="0"/>
                <w:numId w:val="0"/>
              </w:numPr>
              <w:wordWrap w:val="0"/>
              <w:spacing w:line="360" w:lineRule="auto"/>
              <w:ind w:leftChars="200"/>
              <w:jc w:val="both"/>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8</w:t>
            </w:r>
          </w:p>
        </w:tc>
        <w:tc>
          <w:tcPr>
            <w:tcW w:w="4212" w:type="dxa"/>
            <w:shd w:val="clear" w:color="auto" w:fill="auto"/>
            <w:vAlign w:val="center"/>
          </w:tcPr>
          <w:p w14:paraId="6E3A695F">
            <w:pPr>
              <w:wordWrap w:val="0"/>
              <w:spacing w:line="360" w:lineRule="auto"/>
              <w:jc w:val="center"/>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质保服务</w:t>
            </w:r>
          </w:p>
        </w:tc>
        <w:tc>
          <w:tcPr>
            <w:tcW w:w="1061" w:type="dxa"/>
            <w:shd w:val="clear" w:color="auto" w:fill="auto"/>
            <w:vAlign w:val="center"/>
          </w:tcPr>
          <w:p w14:paraId="6ECB6A1A">
            <w:pPr>
              <w:wordWrap w:val="0"/>
              <w:spacing w:line="360" w:lineRule="auto"/>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2</w:t>
            </w:r>
          </w:p>
        </w:tc>
        <w:tc>
          <w:tcPr>
            <w:tcW w:w="1500" w:type="dxa"/>
            <w:shd w:val="clear" w:color="auto" w:fill="auto"/>
            <w:vAlign w:val="center"/>
          </w:tcPr>
          <w:p w14:paraId="74EFA46C">
            <w:pPr>
              <w:wordWrap w:val="0"/>
              <w:spacing w:line="360" w:lineRule="auto"/>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年</w:t>
            </w:r>
          </w:p>
        </w:tc>
        <w:tc>
          <w:tcPr>
            <w:tcW w:w="2492" w:type="dxa"/>
            <w:shd w:val="clear" w:color="auto" w:fill="auto"/>
            <w:vAlign w:val="center"/>
          </w:tcPr>
          <w:p w14:paraId="2CD5D46B">
            <w:pPr>
              <w:wordWrap w:val="0"/>
              <w:spacing w:line="360" w:lineRule="auto"/>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rPr>
              <w:t>详见技术参数一栏表</w:t>
            </w:r>
          </w:p>
        </w:tc>
      </w:tr>
    </w:tbl>
    <w:p w14:paraId="00AA2FCB">
      <w:pPr>
        <w:spacing w:line="360" w:lineRule="auto"/>
        <w:jc w:val="center"/>
        <w:outlineLvl w:val="0"/>
        <w:rPr>
          <w:rFonts w:hint="eastAsia" w:ascii="宋体" w:hAnsi="宋体" w:eastAsia="宋体" w:cs="Times New Roman"/>
          <w:b/>
          <w:color w:val="000000" w:themeColor="text1"/>
          <w:sz w:val="44"/>
          <w:szCs w:val="44"/>
          <w:lang w:val="en-US" w:eastAsia="zh-CN"/>
          <w14:textFill>
            <w14:solidFill>
              <w14:schemeClr w14:val="tx1"/>
            </w14:solidFill>
          </w14:textFill>
        </w:rPr>
      </w:pPr>
      <w:r>
        <w:rPr>
          <w:rFonts w:hint="eastAsia" w:ascii="宋体" w:hAnsi="宋体" w:eastAsia="宋体" w:cs="Times New Roman"/>
          <w:b/>
          <w:color w:val="000000" w:themeColor="text1"/>
          <w:sz w:val="44"/>
          <w:szCs w:val="44"/>
          <w:lang w:val="en-US" w:eastAsia="zh-CN"/>
          <w14:textFill>
            <w14:solidFill>
              <w14:schemeClr w14:val="tx1"/>
            </w14:solidFill>
          </w14:textFill>
        </w:rPr>
        <w:t>项目建设</w:t>
      </w:r>
      <w:r>
        <w:rPr>
          <w:rFonts w:hint="eastAsia" w:ascii="宋体" w:hAnsi="宋体" w:eastAsia="宋体" w:cs="Times New Roman"/>
          <w:b/>
          <w:color w:val="000000" w:themeColor="text1"/>
          <w:sz w:val="44"/>
          <w:szCs w:val="44"/>
          <w14:textFill>
            <w14:solidFill>
              <w14:schemeClr w14:val="tx1"/>
            </w14:solidFill>
          </w14:textFill>
        </w:rPr>
        <w:t>技术参数</w:t>
      </w:r>
      <w:r>
        <w:rPr>
          <w:rFonts w:hint="eastAsia" w:ascii="宋体" w:hAnsi="宋体" w:eastAsia="宋体" w:cs="Times New Roman"/>
          <w:b/>
          <w:color w:val="000000" w:themeColor="text1"/>
          <w:sz w:val="44"/>
          <w:szCs w:val="44"/>
          <w:lang w:val="en-US" w:eastAsia="zh-CN"/>
          <w14:textFill>
            <w14:solidFill>
              <w14:schemeClr w14:val="tx1"/>
            </w14:solidFill>
          </w14:textFill>
        </w:rPr>
        <w:t>一览表</w:t>
      </w:r>
    </w:p>
    <w:tbl>
      <w:tblPr>
        <w:tblStyle w:val="10"/>
        <w:tblW w:w="97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339"/>
        <w:gridCol w:w="7589"/>
      </w:tblGrid>
      <w:tr w14:paraId="10BBF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1BF8336C">
            <w:pPr>
              <w:spacing w:line="360" w:lineRule="auto"/>
              <w:jc w:val="center"/>
              <w:rPr>
                <w:rFonts w:hint="eastAsia" w:ascii="宋体" w:hAnsi="宋体" w:eastAsia="宋体" w:cs="宋体"/>
                <w:b/>
                <w:color w:val="000000" w:themeColor="text1"/>
                <w:kern w:val="0"/>
                <w:sz w:val="24"/>
                <w:szCs w:val="24"/>
                <w14:textFill>
                  <w14:solidFill>
                    <w14:schemeClr w14:val="tx1"/>
                  </w14:solidFill>
                </w14:textFill>
              </w:rPr>
            </w:pPr>
            <w:r>
              <w:rPr>
                <w:rFonts w:hint="eastAsia" w:ascii="宋体" w:hAnsi="宋体" w:eastAsia="宋体" w:cs="宋体"/>
                <w:b/>
                <w:color w:val="000000" w:themeColor="text1"/>
                <w:kern w:val="0"/>
                <w:sz w:val="24"/>
                <w:szCs w:val="24"/>
                <w14:textFill>
                  <w14:solidFill>
                    <w14:schemeClr w14:val="tx1"/>
                  </w14:solidFill>
                </w14:textFill>
              </w:rPr>
              <w:t>序号</w:t>
            </w:r>
          </w:p>
        </w:tc>
        <w:tc>
          <w:tcPr>
            <w:tcW w:w="1339" w:type="dxa"/>
            <w:vAlign w:val="center"/>
          </w:tcPr>
          <w:p w14:paraId="1BD98450">
            <w:pPr>
              <w:wordWrap w:val="0"/>
              <w:spacing w:line="360" w:lineRule="auto"/>
              <w:jc w:val="center"/>
              <w:rPr>
                <w:rFonts w:hint="eastAsia" w:ascii="宋体" w:hAnsi="宋体" w:eastAsia="宋体" w:cs="宋体"/>
                <w:b/>
                <w:color w:val="000000" w:themeColor="text1"/>
                <w:kern w:val="0"/>
                <w:sz w:val="24"/>
                <w:szCs w:val="24"/>
                <w14:textFill>
                  <w14:solidFill>
                    <w14:schemeClr w14:val="tx1"/>
                  </w14:solidFill>
                </w14:textFill>
              </w:rPr>
            </w:pPr>
            <w:r>
              <w:rPr>
                <w:rFonts w:hint="eastAsia" w:ascii="宋体" w:hAnsi="宋体" w:eastAsia="宋体" w:cs="宋体"/>
                <w:b/>
                <w:color w:val="000000" w:themeColor="text1"/>
                <w:kern w:val="0"/>
                <w:sz w:val="24"/>
                <w:szCs w:val="24"/>
                <w14:textFill>
                  <w14:solidFill>
                    <w14:schemeClr w14:val="tx1"/>
                  </w14:solidFill>
                </w14:textFill>
              </w:rPr>
              <w:t>指标项</w:t>
            </w:r>
          </w:p>
        </w:tc>
        <w:tc>
          <w:tcPr>
            <w:tcW w:w="7589" w:type="dxa"/>
            <w:vAlign w:val="center"/>
          </w:tcPr>
          <w:p w14:paraId="02B5BA62">
            <w:pPr>
              <w:wordWrap w:val="0"/>
              <w:adjustRightInd w:val="0"/>
              <w:snapToGrid w:val="0"/>
              <w:spacing w:line="360" w:lineRule="auto"/>
              <w:ind w:firstLine="482" w:firstLineChars="200"/>
              <w:jc w:val="center"/>
              <w:rPr>
                <w:rFonts w:hint="eastAsia" w:ascii="宋体" w:hAnsi="宋体" w:eastAsia="宋体" w:cs="宋体"/>
                <w:b/>
                <w:color w:val="000000" w:themeColor="text1"/>
                <w:kern w:val="0"/>
                <w:sz w:val="24"/>
                <w:szCs w:val="24"/>
                <w14:textFill>
                  <w14:solidFill>
                    <w14:schemeClr w14:val="tx1"/>
                  </w14:solidFill>
                </w14:textFill>
              </w:rPr>
            </w:pPr>
            <w:r>
              <w:rPr>
                <w:rFonts w:hint="eastAsia" w:ascii="宋体" w:hAnsi="宋体" w:eastAsia="宋体" w:cs="宋体"/>
                <w:b/>
                <w:color w:val="000000" w:themeColor="text1"/>
                <w:kern w:val="0"/>
                <w:sz w:val="24"/>
                <w:szCs w:val="24"/>
                <w14:textFill>
                  <w14:solidFill>
                    <w14:schemeClr w14:val="tx1"/>
                  </w14:solidFill>
                </w14:textFill>
              </w:rPr>
              <w:t>指标要求</w:t>
            </w:r>
          </w:p>
        </w:tc>
      </w:tr>
      <w:tr w14:paraId="04A59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1710325C">
            <w:pPr>
              <w:numPr>
                <w:ilvl w:val="0"/>
                <w:numId w:val="1"/>
              </w:numPr>
              <w:wordWrap w:val="0"/>
              <w:spacing w:line="360" w:lineRule="auto"/>
              <w:ind w:left="0"/>
              <w:jc w:val="right"/>
              <w:rPr>
                <w:rFonts w:hint="eastAsia" w:ascii="宋体" w:hAnsi="宋体" w:eastAsia="宋体" w:cs="宋体"/>
                <w:bCs/>
                <w:color w:val="000000" w:themeColor="text1"/>
                <w:kern w:val="0"/>
                <w:sz w:val="24"/>
                <w:szCs w:val="24"/>
                <w14:textFill>
                  <w14:solidFill>
                    <w14:schemeClr w14:val="tx1"/>
                  </w14:solidFill>
                </w14:textFill>
              </w:rPr>
            </w:pPr>
          </w:p>
        </w:tc>
        <w:tc>
          <w:tcPr>
            <w:tcW w:w="1339" w:type="dxa"/>
            <w:vAlign w:val="center"/>
          </w:tcPr>
          <w:p w14:paraId="6368AC67">
            <w:pPr>
              <w:wordWrap w:val="0"/>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总体技术要求</w:t>
            </w:r>
          </w:p>
        </w:tc>
        <w:tc>
          <w:tcPr>
            <w:tcW w:w="7589" w:type="dxa"/>
            <w:vAlign w:val="center"/>
          </w:tcPr>
          <w:p w14:paraId="41AADDB9">
            <w:pPr>
              <w:numPr>
                <w:ilvl w:val="0"/>
                <w:numId w:val="2"/>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全媒体管理平台</w:t>
            </w:r>
            <w:r>
              <w:rPr>
                <w:rFonts w:hint="eastAsia" w:ascii="宋体" w:hAnsi="宋体" w:eastAsia="宋体" w:cs="宋体"/>
                <w:color w:val="000000" w:themeColor="text1"/>
                <w:kern w:val="0"/>
                <w:sz w:val="24"/>
                <w:szCs w:val="24"/>
                <w:highlight w:val="none"/>
                <w14:textFill>
                  <w14:solidFill>
                    <w14:schemeClr w14:val="tx1"/>
                  </w14:solidFill>
                </w14:textFill>
              </w:rPr>
              <w:t>软件要求采用B/S结构设计、JAVA语言开发、</w:t>
            </w:r>
            <w:r>
              <w:rPr>
                <w:rFonts w:ascii="宋体" w:hAnsi="宋体" w:eastAsia="宋体" w:cs="宋体"/>
                <w:color w:val="000000" w:themeColor="text1"/>
                <w:kern w:val="0"/>
                <w:sz w:val="24"/>
                <w:szCs w:val="24"/>
                <w:highlight w:val="none"/>
                <w14:textFill>
                  <w14:solidFill>
                    <w14:schemeClr w14:val="tx1"/>
                  </w14:solidFill>
                </w14:textFill>
              </w:rPr>
              <w:t>Java EE</w:t>
            </w:r>
            <w:r>
              <w:rPr>
                <w:rFonts w:hint="eastAsia" w:ascii="宋体" w:hAnsi="宋体" w:eastAsia="宋体" w:cs="宋体"/>
                <w:color w:val="000000" w:themeColor="text1"/>
                <w:kern w:val="0"/>
                <w:sz w:val="24"/>
                <w:szCs w:val="24"/>
                <w:highlight w:val="none"/>
                <w14:textFill>
                  <w14:solidFill>
                    <w14:schemeClr w14:val="tx1"/>
                  </w14:solidFill>
                </w14:textFill>
              </w:rPr>
              <w:t>技术架构。</w:t>
            </w:r>
          </w:p>
          <w:p w14:paraId="5308CC63">
            <w:pPr>
              <w:numPr>
                <w:ilvl w:val="0"/>
                <w:numId w:val="2"/>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系统通过一套平台实现微信、微博、网站、大屏界面等全媒体的管理，无需重复多次登录不同后台。</w:t>
            </w:r>
          </w:p>
          <w:p w14:paraId="1DD96D75">
            <w:pPr>
              <w:numPr>
                <w:ilvl w:val="0"/>
                <w:numId w:val="2"/>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系统需具有良好的跨平台特性，支持基于主流Linux的平台搭建；支持Tomcat应用服务器，</w:t>
            </w:r>
            <w:r>
              <w:rPr>
                <w:rFonts w:ascii="宋体" w:hAnsi="宋体" w:eastAsia="宋体" w:cs="宋体"/>
                <w:color w:val="000000" w:themeColor="text1"/>
                <w:kern w:val="0"/>
                <w:sz w:val="24"/>
                <w:szCs w:val="24"/>
                <w:highlight w:val="none"/>
                <w14:textFill>
                  <w14:solidFill>
                    <w14:schemeClr w14:val="tx1"/>
                  </w14:solidFill>
                </w14:textFill>
              </w:rPr>
              <w:t>以及Apache和Nginx等Web服务器；</w:t>
            </w:r>
            <w:r>
              <w:rPr>
                <w:rFonts w:hint="eastAsia" w:ascii="宋体" w:hAnsi="宋体" w:eastAsia="宋体" w:cs="宋体"/>
                <w:color w:val="000000" w:themeColor="text1"/>
                <w:kern w:val="0"/>
                <w:sz w:val="24"/>
                <w:szCs w:val="24"/>
                <w:highlight w:val="none"/>
                <w14:textFill>
                  <w14:solidFill>
                    <w14:schemeClr w14:val="tx1"/>
                  </w14:solidFill>
                </w14:textFill>
              </w:rPr>
              <w:t>支持Oracle、SQL Server、MySQL、PostgreSQL等多种主流数据库。</w:t>
            </w:r>
          </w:p>
          <w:p w14:paraId="3948F473">
            <w:pPr>
              <w:numPr>
                <w:ilvl w:val="0"/>
                <w:numId w:val="2"/>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兼容微软Edge、谷歌Chrome、36</w:t>
            </w:r>
            <w:r>
              <w:rPr>
                <w:rFonts w:hint="eastAsia" w:ascii="宋体" w:hAnsi="宋体" w:eastAsia="宋体" w:cs="宋体"/>
                <w:color w:val="000000" w:themeColor="text1"/>
                <w:kern w:val="0"/>
                <w:sz w:val="24"/>
                <w:szCs w:val="24"/>
                <w14:textFill>
                  <w14:solidFill>
                    <w14:schemeClr w14:val="tx1"/>
                  </w14:solidFill>
                </w14:textFill>
              </w:rPr>
              <w:t>0浏览器、苹果Safari、QQ浏览器、火狐Firefox等多种浏览器。</w:t>
            </w:r>
          </w:p>
          <w:p w14:paraId="4F0BCF07">
            <w:pPr>
              <w:numPr>
                <w:ilvl w:val="0"/>
                <w:numId w:val="2"/>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系统要求支持移动网站建设，实现网站页面和文章内容、视频、图片等资源的全适配，兼容全部主流智能手机的操作系统：包括苹果IOS、安卓Android等，兼容不同设备的分辨率。</w:t>
            </w:r>
          </w:p>
          <w:p w14:paraId="131211AB">
            <w:pPr>
              <w:numPr>
                <w:ilvl w:val="0"/>
                <w:numId w:val="2"/>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系统需要具有完善的权限和用户管理体系，可以适应单位内各类角色管理员的管理和使用，提供与统一身份认证系统的数据接口，并具有集成能力。</w:t>
            </w:r>
          </w:p>
          <w:p w14:paraId="5CDACEB3">
            <w:pPr>
              <w:numPr>
                <w:ilvl w:val="0"/>
                <w:numId w:val="2"/>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系统安装可根据单位内实际情况选择不同的部署方式，要求支持常见的几类部署方式（单服务器部署、多服务器部署、虚拟化部署、集群化部署等），可实现动态服务器和静态服务器分开部署。</w:t>
            </w:r>
          </w:p>
          <w:p w14:paraId="2FF2ED5E">
            <w:pPr>
              <w:numPr>
                <w:ilvl w:val="0"/>
                <w:numId w:val="2"/>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▲系统应支持反向代理设置，为正确获取客户端的真实IP地址，系统能够添加可信反向代理服务器IP路径，同时支持检测出未知反向代理服务器，并对其进行访问次数统计和可信列表添加。</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p w14:paraId="25F5544B">
            <w:pPr>
              <w:numPr>
                <w:ilvl w:val="0"/>
                <w:numId w:val="2"/>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系统针对IPv6提供全面访问支持，同时支持基于IPv4和IPv6地址的访问控制，访问记录及统计。</w:t>
            </w:r>
          </w:p>
          <w:p w14:paraId="5F2E797F">
            <w:pPr>
              <w:numPr>
                <w:ilvl w:val="0"/>
                <w:numId w:val="2"/>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系统全面支持HTTPS安全传输协议。</w:t>
            </w:r>
          </w:p>
        </w:tc>
      </w:tr>
      <w:tr w14:paraId="4C3B2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5F17B717">
            <w:pPr>
              <w:numPr>
                <w:ilvl w:val="0"/>
                <w:numId w:val="1"/>
              </w:numPr>
              <w:wordWrap w:val="0"/>
              <w:spacing w:line="360" w:lineRule="auto"/>
              <w:ind w:left="0"/>
              <w:jc w:val="right"/>
              <w:rPr>
                <w:rFonts w:hint="eastAsia" w:ascii="宋体" w:hAnsi="宋体" w:eastAsia="宋体" w:cs="宋体"/>
                <w:bCs/>
                <w:color w:val="000000" w:themeColor="text1"/>
                <w:kern w:val="0"/>
                <w:sz w:val="24"/>
                <w:szCs w:val="24"/>
                <w14:textFill>
                  <w14:solidFill>
                    <w14:schemeClr w14:val="tx1"/>
                  </w14:solidFill>
                </w14:textFill>
              </w:rPr>
            </w:pPr>
          </w:p>
        </w:tc>
        <w:tc>
          <w:tcPr>
            <w:tcW w:w="1339" w:type="dxa"/>
            <w:vAlign w:val="center"/>
          </w:tcPr>
          <w:p w14:paraId="2BD7CC4B">
            <w:pPr>
              <w:wordWrap w:val="0"/>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平台登录管理</w:t>
            </w:r>
          </w:p>
        </w:tc>
        <w:tc>
          <w:tcPr>
            <w:tcW w:w="7589" w:type="dxa"/>
            <w:vAlign w:val="center"/>
          </w:tcPr>
          <w:p w14:paraId="10C5120C">
            <w:pPr>
              <w:pStyle w:val="17"/>
              <w:numPr>
                <w:ilvl w:val="0"/>
                <w:numId w:val="3"/>
              </w:numPr>
              <w:wordWrap w:val="0"/>
              <w:adjustRightInd w:val="0"/>
              <w:snapToGrid w:val="0"/>
              <w:spacing w:line="360" w:lineRule="auto"/>
              <w:ind w:left="0" w:firstLine="48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▲系统需支持部门站点、系统管理、内容管理登录入口的独立设定，为用户提供清晰的入口路径。为响应安全相关政策要求，系统内需设定系统管理员、审计管理员、安全管理员，实现三员分立。</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p w14:paraId="2E9C419C">
            <w:pPr>
              <w:pStyle w:val="17"/>
              <w:numPr>
                <w:ilvl w:val="0"/>
                <w:numId w:val="3"/>
              </w:numPr>
              <w:wordWrap w:val="0"/>
              <w:adjustRightInd w:val="0"/>
              <w:snapToGrid w:val="0"/>
              <w:spacing w:line="360" w:lineRule="auto"/>
              <w:ind w:left="0" w:firstLine="48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用户登录入口处需要提供专门的系统后台管理制度或站群安全制度阅览空间，帮助学校实现标准化管理规范的宣导与展示。</w:t>
            </w:r>
          </w:p>
        </w:tc>
      </w:tr>
      <w:tr w14:paraId="7F45F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1445E148">
            <w:pPr>
              <w:numPr>
                <w:ilvl w:val="0"/>
                <w:numId w:val="1"/>
              </w:numPr>
              <w:wordWrap w:val="0"/>
              <w:spacing w:line="360" w:lineRule="auto"/>
              <w:ind w:left="0"/>
              <w:jc w:val="right"/>
              <w:rPr>
                <w:rFonts w:hint="eastAsia" w:ascii="宋体" w:hAnsi="宋体" w:eastAsia="宋体" w:cs="宋体"/>
                <w:bCs/>
                <w:color w:val="000000" w:themeColor="text1"/>
                <w:kern w:val="0"/>
                <w:sz w:val="24"/>
                <w:szCs w:val="24"/>
                <w14:textFill>
                  <w14:solidFill>
                    <w14:schemeClr w14:val="tx1"/>
                  </w14:solidFill>
                </w14:textFill>
              </w:rPr>
            </w:pPr>
          </w:p>
        </w:tc>
        <w:tc>
          <w:tcPr>
            <w:tcW w:w="1339" w:type="dxa"/>
            <w:vAlign w:val="center"/>
          </w:tcPr>
          <w:p w14:paraId="57E0451F">
            <w:pPr>
              <w:wordWrap w:val="0"/>
              <w:spacing w:line="360" w:lineRule="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工作桌面管理工具</w:t>
            </w:r>
          </w:p>
        </w:tc>
        <w:tc>
          <w:tcPr>
            <w:tcW w:w="7589" w:type="dxa"/>
            <w:vAlign w:val="center"/>
          </w:tcPr>
          <w:p w14:paraId="178C18C4">
            <w:pPr>
              <w:numPr>
                <w:ilvl w:val="0"/>
                <w:numId w:val="4"/>
              </w:numPr>
              <w:wordWrap w:val="0"/>
              <w:adjustRightInd w:val="0"/>
              <w:snapToGrid w:val="0"/>
              <w:spacing w:line="3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系统工作台支持</w:t>
            </w:r>
            <w:r>
              <w:rPr>
                <w:rFonts w:ascii="宋体" w:hAnsi="宋体" w:eastAsia="宋体" w:cs="宋体"/>
                <w:color w:val="000000" w:themeColor="text1"/>
                <w:sz w:val="24"/>
                <w:szCs w:val="24"/>
                <w14:textFill>
                  <w14:solidFill>
                    <w14:schemeClr w14:val="tx1"/>
                  </w14:solidFill>
                </w14:textFill>
              </w:rPr>
              <w:t>查看</w:t>
            </w:r>
            <w:r>
              <w:rPr>
                <w:rFonts w:hint="eastAsia" w:ascii="宋体" w:hAnsi="宋体" w:eastAsia="宋体" w:cs="宋体"/>
                <w:color w:val="000000" w:themeColor="text1"/>
                <w:sz w:val="24"/>
                <w:szCs w:val="24"/>
                <w14:textFill>
                  <w14:solidFill>
                    <w14:schemeClr w14:val="tx1"/>
                  </w14:solidFill>
                </w14:textFill>
              </w:rPr>
              <w:t>站点情况</w:t>
            </w:r>
            <w:r>
              <w:rPr>
                <w:rFonts w:ascii="宋体" w:hAnsi="宋体" w:eastAsia="宋体" w:cs="宋体"/>
                <w:color w:val="000000" w:themeColor="text1"/>
                <w:sz w:val="24"/>
                <w:szCs w:val="24"/>
                <w14:textFill>
                  <w14:solidFill>
                    <w14:schemeClr w14:val="tx1"/>
                  </w14:solidFill>
                </w14:textFill>
              </w:rPr>
              <w:t>、异常管理员、系统运维的异常备份及磁盘空间情况，</w:t>
            </w:r>
            <w:r>
              <w:rPr>
                <w:rFonts w:hint="eastAsia" w:ascii="宋体" w:hAnsi="宋体" w:eastAsia="宋体" w:cs="宋体"/>
                <w:color w:val="000000" w:themeColor="text1"/>
                <w:sz w:val="24"/>
                <w:szCs w:val="24"/>
                <w14:textFill>
                  <w14:solidFill>
                    <w14:schemeClr w14:val="tx1"/>
                  </w14:solidFill>
                </w14:textFill>
              </w:rPr>
              <w:t>可对服务器连通性一键检测</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，便于管理员掌握一手站群运维信息。</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p w14:paraId="30C41CCF">
            <w:pPr>
              <w:pStyle w:val="4"/>
              <w:numPr>
                <w:ilvl w:val="0"/>
                <w:numId w:val="4"/>
              </w:numPr>
              <w:wordWrap w:val="0"/>
              <w:adjustRightInd w:val="0"/>
              <w:snapToGrid w:val="0"/>
              <w:spacing w:after="0" w:line="3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系统工作台支持系统安全检测结果呈现，呈现内容至少包含站群安全评分、检测时间、各类检测项目数量，针对平台体检结果修复及防护日志查阅提供直达入口，确保安全问题快速处理。</w:t>
            </w:r>
          </w:p>
          <w:p w14:paraId="0B31229E">
            <w:pPr>
              <w:pStyle w:val="4"/>
              <w:numPr>
                <w:ilvl w:val="0"/>
                <w:numId w:val="4"/>
              </w:numPr>
              <w:wordWrap w:val="0"/>
              <w:adjustRightInd w:val="0"/>
              <w:snapToGrid w:val="0"/>
              <w:spacing w:after="0" w:line="360" w:lineRule="auto"/>
              <w:ind w:firstLine="480"/>
              <w:rPr>
                <w:rFonts w:hint="eastAsia"/>
                <w:color w:val="000000" w:themeColor="text1"/>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部门站点端提供部门工作台，需能够展示当前部门之下网站、微信号、微博号、电子屏等部门资产数量，每种资产可以查看当前所属管理员情况，上级部门管理员可查看下级部门资产。</w:t>
            </w:r>
          </w:p>
          <w:p w14:paraId="4DE2578F">
            <w:pPr>
              <w:pStyle w:val="4"/>
              <w:numPr>
                <w:ilvl w:val="0"/>
                <w:numId w:val="4"/>
              </w:numPr>
              <w:wordWrap w:val="0"/>
              <w:adjustRightInd w:val="0"/>
              <w:snapToGrid w:val="0"/>
              <w:spacing w:after="0" w:line="3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部门工作台支持展示部门之下站点总访问量、总发文量热门搜索词云及访问趋势等关键运营数据，访问趋势需支持按照近一年、近一月等不同时间维度数据呈现。</w:t>
            </w:r>
          </w:p>
        </w:tc>
      </w:tr>
      <w:tr w14:paraId="15C27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39FA0FF3">
            <w:pPr>
              <w:numPr>
                <w:ilvl w:val="0"/>
                <w:numId w:val="1"/>
              </w:numPr>
              <w:wordWrap w:val="0"/>
              <w:spacing w:line="360" w:lineRule="auto"/>
              <w:ind w:left="0"/>
              <w:jc w:val="right"/>
              <w:rPr>
                <w:rFonts w:hint="eastAsia" w:ascii="宋体" w:hAnsi="宋体" w:eastAsia="宋体" w:cs="宋体"/>
                <w:bCs/>
                <w:color w:val="000000" w:themeColor="text1"/>
                <w:kern w:val="0"/>
                <w:sz w:val="24"/>
                <w:szCs w:val="24"/>
                <w14:textFill>
                  <w14:solidFill>
                    <w14:schemeClr w14:val="tx1"/>
                  </w14:solidFill>
                </w14:textFill>
              </w:rPr>
            </w:pPr>
          </w:p>
        </w:tc>
        <w:tc>
          <w:tcPr>
            <w:tcW w:w="1339" w:type="dxa"/>
            <w:vAlign w:val="center"/>
          </w:tcPr>
          <w:p w14:paraId="4942A3A3">
            <w:pPr>
              <w:wordWrap w:val="0"/>
              <w:spacing w:line="360" w:lineRule="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站群管理</w:t>
            </w:r>
          </w:p>
        </w:tc>
        <w:tc>
          <w:tcPr>
            <w:tcW w:w="7589" w:type="dxa"/>
            <w:vAlign w:val="center"/>
          </w:tcPr>
          <w:p w14:paraId="5FC2CA77">
            <w:pPr>
              <w:pStyle w:val="4"/>
              <w:numPr>
                <w:ilvl w:val="0"/>
                <w:numId w:val="5"/>
              </w:numPr>
              <w:wordWrap w:val="0"/>
              <w:adjustRightInd w:val="0"/>
              <w:snapToGrid w:val="0"/>
              <w:spacing w:after="0"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站点管理</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支持按部门管理站点</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，支持部门树的维护，可新增下级单位，针对每个部门要求能够展示部门成员数量、部门管理员联系方式等内容；能够采用部门视角盘点及管理每个部门的网站、新媒体以及大屏资产</w:t>
            </w:r>
            <w:r>
              <w:rPr>
                <w:rFonts w:hint="eastAsia" w:ascii="宋体" w:hAnsi="宋体" w:eastAsia="宋体" w:cs="宋体"/>
                <w:color w:val="000000" w:themeColor="text1"/>
                <w:sz w:val="24"/>
                <w:szCs w:val="24"/>
                <w:lang w:eastAsia="zh-CN"/>
                <w14:textFill>
                  <w14:solidFill>
                    <w14:schemeClr w14:val="tx1"/>
                  </w14:solidFill>
                </w14:textFill>
              </w:rPr>
              <w:t>。</w:t>
            </w:r>
          </w:p>
          <w:p w14:paraId="3B21901B">
            <w:pPr>
              <w:pStyle w:val="4"/>
              <w:numPr>
                <w:ilvl w:val="0"/>
                <w:numId w:val="5"/>
              </w:numPr>
              <w:wordWrap w:val="0"/>
              <w:adjustRightInd w:val="0"/>
              <w:snapToGrid w:val="0"/>
              <w:spacing w:after="0"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支持部门创建站点及电子屏的申请流程实现线上化处理，可实现对部门管理员的建站申请</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进行审批处理，可显示申请部门、申请人、申请时间及处理状态，可选择同意或驳回操作，要求对每个部门申请历史记录可查询。</w:t>
            </w:r>
          </w:p>
          <w:p w14:paraId="4A4B18A4">
            <w:pPr>
              <w:pStyle w:val="4"/>
              <w:numPr>
                <w:ilvl w:val="0"/>
                <w:numId w:val="5"/>
              </w:numPr>
              <w:wordWrap w:val="0"/>
              <w:adjustRightInd w:val="0"/>
              <w:snapToGrid w:val="0"/>
              <w:spacing w:after="0" w:line="360" w:lineRule="auto"/>
              <w:ind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系统提供一键关停功能，可对当前平台站点统一进行关停，当处于一键关停状态中，外界无法针对关停站点进行访问，同时支持一键启用，对关停站点进行恢复。</w:t>
            </w:r>
          </w:p>
          <w:p w14:paraId="07F9E2B9">
            <w:pPr>
              <w:pStyle w:val="4"/>
              <w:numPr>
                <w:ilvl w:val="0"/>
                <w:numId w:val="5"/>
              </w:numPr>
              <w:wordWrap w:val="0"/>
              <w:adjustRightInd w:val="0"/>
              <w:snapToGrid w:val="0"/>
              <w:spacing w:after="0" w:line="360" w:lineRule="auto"/>
              <w:ind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▲能够实现站点批量停止维护、停止浏览、停止维护和浏览、正常运转等多种管控模式。</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p w14:paraId="40BFF7CA">
            <w:pPr>
              <w:pStyle w:val="4"/>
              <w:numPr>
                <w:ilvl w:val="0"/>
                <w:numId w:val="5"/>
              </w:numPr>
              <w:wordWrap w:val="0"/>
              <w:adjustRightInd w:val="0"/>
              <w:snapToGrid w:val="0"/>
              <w:spacing w:after="0" w:line="360" w:lineRule="auto"/>
              <w:ind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支持站点启停生命周期管理，设置站点自动启停计划，系统自动执行站点的启停时间。</w:t>
            </w:r>
          </w:p>
          <w:p w14:paraId="213BFF6B">
            <w:pPr>
              <w:pStyle w:val="4"/>
              <w:numPr>
                <w:ilvl w:val="0"/>
                <w:numId w:val="5"/>
              </w:numPr>
              <w:wordWrap w:val="0"/>
              <w:adjustRightInd w:val="0"/>
              <w:snapToGrid w:val="0"/>
              <w:spacing w:after="0" w:line="360" w:lineRule="auto"/>
              <w:ind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支持网站一键置灰、支持仅设置网站首页置灰。</w:t>
            </w:r>
          </w:p>
        </w:tc>
      </w:tr>
      <w:tr w14:paraId="68856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5FB369C4">
            <w:pPr>
              <w:numPr>
                <w:ilvl w:val="0"/>
                <w:numId w:val="1"/>
              </w:numPr>
              <w:wordWrap w:val="0"/>
              <w:spacing w:line="360" w:lineRule="auto"/>
              <w:ind w:left="0"/>
              <w:jc w:val="right"/>
              <w:rPr>
                <w:rFonts w:hint="eastAsia" w:ascii="宋体" w:hAnsi="宋体" w:eastAsia="宋体" w:cs="宋体"/>
                <w:bCs/>
                <w:color w:val="000000" w:themeColor="text1"/>
                <w:kern w:val="0"/>
                <w:sz w:val="24"/>
                <w:szCs w:val="24"/>
                <w14:textFill>
                  <w14:solidFill>
                    <w14:schemeClr w14:val="tx1"/>
                  </w14:solidFill>
                </w14:textFill>
              </w:rPr>
            </w:pPr>
          </w:p>
        </w:tc>
        <w:tc>
          <w:tcPr>
            <w:tcW w:w="1339" w:type="dxa"/>
            <w:vAlign w:val="center"/>
          </w:tcPr>
          <w:p w14:paraId="00ED6CA8">
            <w:pPr>
              <w:wordWrap w:val="0"/>
              <w:spacing w:line="360" w:lineRule="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网站建设</w:t>
            </w:r>
          </w:p>
        </w:tc>
        <w:tc>
          <w:tcPr>
            <w:tcW w:w="7589" w:type="dxa"/>
            <w:vAlign w:val="center"/>
          </w:tcPr>
          <w:p w14:paraId="2F792B31">
            <w:pPr>
              <w:numPr>
                <w:ilvl w:val="0"/>
                <w:numId w:val="6"/>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系统支持对信息中心官方建设网站进行标记认证，规避后续二级单位自发建站导致技术不规范且未经过安全评审的问题，经过安全评审后的网站可实现加V标记。</w:t>
            </w:r>
          </w:p>
          <w:p w14:paraId="05C38E21">
            <w:pPr>
              <w:numPr>
                <w:ilvl w:val="0"/>
                <w:numId w:val="6"/>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在系统使用设计好的HTML模板进行制作时，需兼容所有主流设计工具生成的HTML模板，直接选择当前HTML文件进行上传。</w:t>
            </w:r>
          </w:p>
          <w:p w14:paraId="31A254C7">
            <w:pPr>
              <w:numPr>
                <w:ilvl w:val="0"/>
                <w:numId w:val="6"/>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系统需提供350种以上不同类型的常用组件及移动化组件，全面支持DIV+CSS架构，用来实现网站丰富多彩的展现形式，各类组件之间可以相互复制副本或引用，便于同源数据的快速展示。</w:t>
            </w:r>
          </w:p>
          <w:p w14:paraId="4A78A6B2">
            <w:pPr>
              <w:numPr>
                <w:ilvl w:val="0"/>
                <w:numId w:val="6"/>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支持采用响应式技术或多屏适配技术，对网站实现多终端访问界面优化展现，原有网站组件不需要重新配置，移动化网站提供模拟器预览功能，支持多种手机分辨率展示效果，确保发布页面的准确性和兼容性。</w:t>
            </w:r>
          </w:p>
          <w:p w14:paraId="10CECC6F">
            <w:pPr>
              <w:numPr>
                <w:ilvl w:val="0"/>
                <w:numId w:val="6"/>
              </w:numPr>
              <w:wordWrap w:val="0"/>
              <w:adjustRightInd w:val="0"/>
              <w:snapToGrid w:val="0"/>
              <w:spacing w:line="360" w:lineRule="auto"/>
              <w:ind w:left="0" w:firstLine="480" w:firstLineChars="200"/>
              <w:rPr>
                <w:rFonts w:hint="eastAsia" w:eastAsia="宋体"/>
                <w:color w:val="000000" w:themeColor="text1"/>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系统支持电子大屏建设与内容发布展示，需提供至少5套党建、迎新、活动等主题的电子屏</w:t>
            </w:r>
            <w:r>
              <w:rPr>
                <w:rFonts w:hint="eastAsia" w:ascii="宋体" w:hAnsi="宋体" w:eastAsia="宋体" w:cs="宋体"/>
                <w:color w:val="000000" w:themeColor="text1"/>
                <w:kern w:val="0"/>
                <w:sz w:val="24"/>
                <w:szCs w:val="24"/>
                <w:lang w:val="en-US" w:eastAsia="zh-CN"/>
                <w14:textFill>
                  <w14:solidFill>
                    <w14:schemeClr w14:val="tx1"/>
                  </w14:solidFill>
                </w14:textFill>
              </w:rPr>
              <w:t>模板</w:t>
            </w:r>
            <w:r>
              <w:rPr>
                <w:rFonts w:hint="eastAsia" w:ascii="宋体" w:hAnsi="宋体" w:eastAsia="宋体" w:cs="宋体"/>
                <w:color w:val="000000" w:themeColor="text1"/>
                <w:kern w:val="0"/>
                <w:sz w:val="24"/>
                <w:szCs w:val="24"/>
                <w14:textFill>
                  <w14:solidFill>
                    <w14:schemeClr w14:val="tx1"/>
                  </w14:solidFill>
                </w14:textFill>
              </w:rPr>
              <w:t>。</w:t>
            </w:r>
          </w:p>
        </w:tc>
      </w:tr>
      <w:tr w14:paraId="7A0CF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6182C19E">
            <w:pPr>
              <w:numPr>
                <w:ilvl w:val="0"/>
                <w:numId w:val="1"/>
              </w:numPr>
              <w:wordWrap w:val="0"/>
              <w:spacing w:line="360" w:lineRule="auto"/>
              <w:ind w:left="0"/>
              <w:jc w:val="right"/>
              <w:rPr>
                <w:rFonts w:hint="eastAsia" w:ascii="宋体" w:hAnsi="宋体" w:eastAsia="宋体" w:cs="宋体"/>
                <w:bCs/>
                <w:color w:val="000000" w:themeColor="text1"/>
                <w:kern w:val="0"/>
                <w:sz w:val="24"/>
                <w:szCs w:val="24"/>
                <w14:textFill>
                  <w14:solidFill>
                    <w14:schemeClr w14:val="tx1"/>
                  </w14:solidFill>
                </w14:textFill>
              </w:rPr>
            </w:pPr>
          </w:p>
        </w:tc>
        <w:tc>
          <w:tcPr>
            <w:tcW w:w="1339" w:type="dxa"/>
            <w:vAlign w:val="center"/>
          </w:tcPr>
          <w:p w14:paraId="704ABEAF">
            <w:pPr>
              <w:wordWrap w:val="0"/>
              <w:spacing w:line="360" w:lineRule="auto"/>
              <w:rPr>
                <w:rFonts w:hint="eastAsia" w:ascii="宋体" w:hAnsi="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内容创作管理</w:t>
            </w:r>
          </w:p>
        </w:tc>
        <w:tc>
          <w:tcPr>
            <w:tcW w:w="7589" w:type="dxa"/>
            <w:vAlign w:val="center"/>
          </w:tcPr>
          <w:p w14:paraId="654B8D3F">
            <w:pPr>
              <w:numPr>
                <w:ilvl w:val="0"/>
                <w:numId w:val="7"/>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系统需围绕着发稿人需求搭建内容创作中心，可实现文章快速新增，对用户的发文、撤稿、暂存等多种状态的内容</w:t>
            </w:r>
            <w:r>
              <w:rPr>
                <w:rFonts w:hint="eastAsia" w:ascii="宋体" w:hAnsi="宋体" w:eastAsia="宋体" w:cs="宋体"/>
                <w:color w:val="000000" w:themeColor="text1"/>
                <w:kern w:val="0"/>
                <w:sz w:val="24"/>
                <w:szCs w:val="24"/>
                <w14:textFill>
                  <w14:solidFill>
                    <w14:schemeClr w14:val="tx1"/>
                  </w14:solidFill>
                </w14:textFill>
              </w:rPr>
              <w:tab/>
            </w:r>
            <w:r>
              <w:rPr>
                <w:rFonts w:hint="eastAsia" w:ascii="宋体" w:hAnsi="宋体" w:eastAsia="宋体" w:cs="宋体"/>
                <w:color w:val="000000" w:themeColor="text1"/>
                <w:kern w:val="0"/>
                <w:sz w:val="24"/>
                <w:szCs w:val="24"/>
                <w14:textFill>
                  <w14:solidFill>
                    <w14:schemeClr w14:val="tx1"/>
                  </w14:solidFill>
                </w14:textFill>
              </w:rPr>
              <w:tab/>
            </w:r>
            <w:r>
              <w:rPr>
                <w:rFonts w:hint="eastAsia" w:ascii="宋体" w:hAnsi="宋体" w:eastAsia="宋体" w:cs="宋体"/>
                <w:color w:val="000000" w:themeColor="text1"/>
                <w:kern w:val="0"/>
                <w:sz w:val="24"/>
                <w:szCs w:val="24"/>
                <w14:textFill>
                  <w14:solidFill>
                    <w14:schemeClr w14:val="tx1"/>
                  </w14:solidFill>
                </w14:textFill>
              </w:rPr>
              <w:tab/>
            </w:r>
            <w:r>
              <w:rPr>
                <w:rFonts w:hint="eastAsia" w:ascii="宋体" w:hAnsi="宋体" w:eastAsia="宋体" w:cs="宋体"/>
                <w:color w:val="000000" w:themeColor="text1"/>
                <w:kern w:val="0"/>
                <w:sz w:val="24"/>
                <w:szCs w:val="24"/>
                <w14:textFill>
                  <w14:solidFill>
                    <w14:schemeClr w14:val="tx1"/>
                  </w14:solidFill>
                </w14:textFill>
              </w:rPr>
              <w:t>进行管理。</w:t>
            </w:r>
          </w:p>
          <w:p w14:paraId="79C9C04B">
            <w:pPr>
              <w:numPr>
                <w:ilvl w:val="0"/>
                <w:numId w:val="7"/>
              </w:numPr>
              <w:wordWrap w:val="0"/>
              <w:adjustRightInd w:val="0"/>
              <w:snapToGrid w:val="0"/>
              <w:spacing w:line="360" w:lineRule="auto"/>
              <w:ind w:left="0"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系统需提供至少6套的文章展示模板，帮助用户对一些特殊形式的文章快速实现</w:t>
            </w:r>
            <w:r>
              <w:rPr>
                <w:rFonts w:hint="eastAsia" w:ascii="宋体" w:hAnsi="宋体" w:eastAsia="宋体" w:cs="宋体"/>
                <w:color w:val="000000" w:themeColor="text1"/>
                <w:kern w:val="0"/>
                <w:sz w:val="24"/>
                <w:szCs w:val="24"/>
                <w:lang w:val="en-US" w:eastAsia="zh-CN"/>
                <w14:textFill>
                  <w14:solidFill>
                    <w14:schemeClr w14:val="tx1"/>
                  </w14:solidFill>
                </w14:textFill>
              </w:rPr>
              <w:t>模板</w:t>
            </w:r>
            <w:r>
              <w:rPr>
                <w:rFonts w:hint="eastAsia" w:ascii="宋体" w:hAnsi="宋体" w:eastAsia="宋体" w:cs="宋体"/>
                <w:color w:val="000000" w:themeColor="text1"/>
                <w:kern w:val="0"/>
                <w:sz w:val="24"/>
                <w:szCs w:val="24"/>
                <w14:textFill>
                  <w14:solidFill>
                    <w14:schemeClr w14:val="tx1"/>
                  </w14:solidFill>
                </w14:textFill>
              </w:rPr>
              <w:t>引用</w:t>
            </w:r>
            <w:r>
              <w:rPr>
                <w:rFonts w:hint="eastAsia" w:ascii="宋体" w:hAnsi="宋体" w:eastAsia="宋体" w:cs="宋体"/>
                <w:color w:val="000000" w:themeColor="text1"/>
                <w:kern w:val="0"/>
                <w:sz w:val="24"/>
                <w:szCs w:val="24"/>
                <w14:textFill>
                  <w14:solidFill>
                    <w14:schemeClr w14:val="tx1"/>
                  </w14:solidFill>
                </w14:textFill>
              </w:rPr>
              <w:tab/>
            </w:r>
            <w:r>
              <w:rPr>
                <w:rFonts w:hint="eastAsia" w:ascii="宋体" w:hAnsi="宋体" w:eastAsia="宋体" w:cs="宋体"/>
                <w:color w:val="000000" w:themeColor="text1"/>
                <w:kern w:val="0"/>
                <w:sz w:val="24"/>
                <w:szCs w:val="24"/>
                <w14:textFill>
                  <w14:solidFill>
                    <w14:schemeClr w14:val="tx1"/>
                  </w14:solidFill>
                </w14:textFill>
              </w:rPr>
              <w:tab/>
            </w:r>
            <w:r>
              <w:rPr>
                <w:rFonts w:hint="eastAsia" w:ascii="宋体" w:hAnsi="宋体" w:eastAsia="宋体" w:cs="宋体"/>
                <w:color w:val="000000" w:themeColor="text1"/>
                <w:kern w:val="0"/>
                <w:sz w:val="24"/>
                <w:szCs w:val="24"/>
                <w14:textFill>
                  <w14:solidFill>
                    <w14:schemeClr w14:val="tx1"/>
                  </w14:solidFill>
                </w14:textFill>
              </w:rPr>
              <w:tab/>
            </w:r>
            <w:r>
              <w:rPr>
                <w:rFonts w:hint="eastAsia" w:ascii="宋体" w:hAnsi="宋体" w:eastAsia="宋体" w:cs="宋体"/>
                <w:color w:val="000000" w:themeColor="text1"/>
                <w:kern w:val="0"/>
                <w:sz w:val="24"/>
                <w:szCs w:val="24"/>
                <w14:textFill>
                  <w14:solidFill>
                    <w14:schemeClr w14:val="tx1"/>
                  </w14:solidFill>
                </w14:textFill>
              </w:rPr>
              <w:t>。</w:t>
            </w:r>
          </w:p>
          <w:p w14:paraId="5F58688E">
            <w:pPr>
              <w:numPr>
                <w:ilvl w:val="0"/>
                <w:numId w:val="7"/>
              </w:numPr>
              <w:wordWrap w:val="0"/>
              <w:adjustRightInd w:val="0"/>
              <w:snapToGrid w:val="0"/>
              <w:spacing w:line="360" w:lineRule="auto"/>
              <w:ind w:left="0"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系统应具备“云导入”功能，在不需要下载多余插件的情况下，就能够实现Word文档的直接导入。导入过程能够自动识别word的标题、关键字、发布日期、摘要等word中的关键信息，并自动填充到编辑器对应字段位置。</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p w14:paraId="67A5AAA3">
            <w:pPr>
              <w:numPr>
                <w:ilvl w:val="0"/>
                <w:numId w:val="7"/>
              </w:numPr>
              <w:wordWrap w:val="0"/>
              <w:adjustRightInd w:val="0"/>
              <w:snapToGrid w:val="0"/>
              <w:spacing w:line="360" w:lineRule="auto"/>
              <w:ind w:left="0"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提供文章编辑一键排版工具，一键排版功能支持多种预设样式，</w:t>
            </w:r>
            <w:r>
              <w:rPr>
                <w:rFonts w:ascii="宋体" w:hAnsi="宋体" w:eastAsia="宋体" w:cs="宋体"/>
                <w:color w:val="000000" w:themeColor="text1"/>
                <w:sz w:val="24"/>
                <w:szCs w:val="24"/>
                <w14:textFill>
                  <w14:solidFill>
                    <w14:schemeClr w14:val="tx1"/>
                  </w14:solidFill>
                </w14:textFill>
              </w:rPr>
              <w:t>排版过程会针对文章内容源代码进行规范化整理，确保多种浏览器</w:t>
            </w:r>
            <w:r>
              <w:rPr>
                <w:rFonts w:hint="eastAsia" w:ascii="宋体" w:hAnsi="宋体" w:eastAsia="宋体" w:cs="宋体"/>
                <w:color w:val="000000" w:themeColor="text1"/>
                <w:sz w:val="24"/>
                <w:szCs w:val="24"/>
                <w14:textFill>
                  <w14:solidFill>
                    <w14:schemeClr w14:val="tx1"/>
                  </w14:solidFill>
                </w14:textFill>
              </w:rPr>
              <w:t>更好的</w:t>
            </w:r>
            <w:r>
              <w:rPr>
                <w:rFonts w:ascii="宋体" w:hAnsi="宋体" w:eastAsia="宋体" w:cs="宋体"/>
                <w:color w:val="000000" w:themeColor="text1"/>
                <w:sz w:val="24"/>
                <w:szCs w:val="24"/>
                <w14:textFill>
                  <w14:solidFill>
                    <w14:schemeClr w14:val="tx1"/>
                  </w14:solidFill>
                </w14:textFill>
              </w:rPr>
              <w:t>兼容</w:t>
            </w:r>
            <w:r>
              <w:rPr>
                <w:rFonts w:hint="eastAsia" w:ascii="宋体" w:hAnsi="宋体" w:eastAsia="宋体" w:cs="宋体"/>
                <w:color w:val="000000" w:themeColor="text1"/>
                <w:sz w:val="24"/>
                <w:szCs w:val="24"/>
                <w14:textFill>
                  <w14:solidFill>
                    <w14:schemeClr w14:val="tx1"/>
                  </w14:solidFill>
                </w14:textFill>
              </w:rPr>
              <w:t>。</w:t>
            </w:r>
          </w:p>
          <w:p w14:paraId="6CDB941F">
            <w:pPr>
              <w:pStyle w:val="17"/>
              <w:numPr>
                <w:ilvl w:val="0"/>
                <w:numId w:val="7"/>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系统需支持组图排版设置，包括双图样式、三图样式、三图上下结构、三图左右结构、六宫格、九宫格等，并支持组图的宽度、图片间距、图片圆角设置，同时提供组图边框设置功能，包含边框圆角、边框宽度和边框颜色的自定义选项。</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p w14:paraId="08D18C11">
            <w:pPr>
              <w:pStyle w:val="17"/>
              <w:numPr>
                <w:ilvl w:val="0"/>
                <w:numId w:val="7"/>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系统支持pdf发布。用户可以对红头文件、重要的通知公告等这类文件在后台选择上传Word文档，系统能够自动转化成pdf文件对外进行发布。</w:t>
            </w:r>
          </w:p>
          <w:p w14:paraId="69F728B0">
            <w:pPr>
              <w:pStyle w:val="17"/>
              <w:numPr>
                <w:ilvl w:val="0"/>
                <w:numId w:val="7"/>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系统支持多个标题图上传。可针对文章发布的标题图和正文图片进行在线裁剪，支持多种比例裁剪、翻转、镜像，满足新闻图片的展现需求。</w:t>
            </w:r>
          </w:p>
          <w:p w14:paraId="1456C6AF">
            <w:pPr>
              <w:pStyle w:val="17"/>
              <w:numPr>
                <w:ilvl w:val="0"/>
                <w:numId w:val="7"/>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支持表格样式格式化功能，对表格的尺寸、边框、单元格对齐方式、单元格内边距、表格对齐方式等样式一键样式调整，支持内置多种</w:t>
            </w:r>
            <w:r>
              <w:rPr>
                <w:rFonts w:ascii="宋体" w:hAnsi="宋体" w:eastAsia="宋体" w:cs="宋体"/>
                <w:color w:val="000000" w:themeColor="text1"/>
                <w:sz w:val="24"/>
                <w:szCs w:val="24"/>
                <w14:textFill>
                  <w14:solidFill>
                    <w14:schemeClr w14:val="tx1"/>
                  </w14:solidFill>
                </w14:textFill>
              </w:rPr>
              <w:t>基本的表格样式</w:t>
            </w:r>
            <w:r>
              <w:rPr>
                <w:rFonts w:hint="eastAsia" w:ascii="宋体" w:hAnsi="宋体" w:eastAsia="宋体" w:cs="宋体"/>
                <w:color w:val="000000" w:themeColor="text1"/>
                <w:sz w:val="24"/>
                <w:szCs w:val="24"/>
                <w14:textFill>
                  <w14:solidFill>
                    <w14:schemeClr w14:val="tx1"/>
                  </w14:solidFill>
                </w14:textFill>
              </w:rPr>
              <w:t>。</w:t>
            </w:r>
          </w:p>
          <w:p w14:paraId="50B886F8">
            <w:pPr>
              <w:numPr>
                <w:ilvl w:val="0"/>
                <w:numId w:val="7"/>
              </w:numPr>
              <w:wordWrap w:val="0"/>
              <w:adjustRightInd w:val="0"/>
              <w:snapToGrid w:val="0"/>
              <w:spacing w:line="360" w:lineRule="auto"/>
              <w:ind w:left="0"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支持新闻时效性管理，可以设置新闻上线及下线时间。</w:t>
            </w:r>
          </w:p>
          <w:p w14:paraId="521EC124">
            <w:pPr>
              <w:pStyle w:val="17"/>
              <w:numPr>
                <w:ilvl w:val="0"/>
                <w:numId w:val="7"/>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支持文章或栏目访问权限管理，可以设置配置对应的访问权限IP规则或可访问角色。</w:t>
            </w:r>
          </w:p>
          <w:p w14:paraId="654A066E">
            <w:pPr>
              <w:pStyle w:val="17"/>
              <w:numPr>
                <w:ilvl w:val="0"/>
                <w:numId w:val="7"/>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支持文章历史修改过程记录，能够针对文章的不同历史版本，任选两个进行同一界面下的双窗口内容比对，针对增删改等不同的修改位置，实现不同颜色标记，便于审核人员审核校对。</w:t>
            </w:r>
          </w:p>
          <w:p w14:paraId="63E58F30">
            <w:pPr>
              <w:pStyle w:val="17"/>
              <w:numPr>
                <w:ilvl w:val="0"/>
                <w:numId w:val="7"/>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文章列支持拖拽式排序，拖拽排序之后保存，无需重新发布，即可实现前端页面文章顺序同步更新。</w:t>
            </w:r>
          </w:p>
          <w:p w14:paraId="08194137">
            <w:pPr>
              <w:pStyle w:val="17"/>
              <w:numPr>
                <w:ilvl w:val="0"/>
                <w:numId w:val="7"/>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▲系统能够记录详细的文章操作日志，可以记录站群系统中被操作文章的网站信息、操作内容、操作类型等信息，支持按照站点和操作类型进行筛选，并支持针对日志以Excel文件导出。</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p w14:paraId="4BE79580">
            <w:pPr>
              <w:pStyle w:val="17"/>
              <w:numPr>
                <w:ilvl w:val="0"/>
                <w:numId w:val="7"/>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系统具有可视化审核流程配置功能，需支持以可视化拖拽的形式设置不同栏目的审核体系，亦可以对多个栏目快速设置相同的审核流程。系统内置三审三校审核流模板，能够针对网站栏目、微信、微博快速设计专属的三审三校审核流程。</w:t>
            </w:r>
          </w:p>
          <w:p w14:paraId="40B32008">
            <w:pPr>
              <w:pStyle w:val="17"/>
              <w:numPr>
                <w:ilvl w:val="0"/>
                <w:numId w:val="7"/>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▲针对文章审核过程支持查阅文章历史审核记录，一键输入审核意见，支持审核过程附件上传，明确反馈审核信息。</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p w14:paraId="72F5A975">
            <w:pPr>
              <w:pStyle w:val="17"/>
              <w:numPr>
                <w:ilvl w:val="0"/>
                <w:numId w:val="7"/>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网站文章提交后支持查看文章当前的审核状态及处理人、处理意见等相关信息。审核记录按照时间轴展示，可查看下一节点待审人。</w:t>
            </w:r>
          </w:p>
          <w:p w14:paraId="3BE923BE">
            <w:pPr>
              <w:pStyle w:val="17"/>
              <w:numPr>
                <w:ilvl w:val="0"/>
                <w:numId w:val="7"/>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系统提供云文件库功能，支持</w:t>
            </w:r>
            <w:r>
              <w:rPr>
                <w:rFonts w:ascii="宋体" w:hAnsi="宋体" w:eastAsia="宋体" w:cs="宋体"/>
                <w:color w:val="000000" w:themeColor="text1"/>
                <w:sz w:val="24"/>
                <w:szCs w:val="24"/>
                <w14:textFill>
                  <w14:solidFill>
                    <w14:schemeClr w14:val="tx1"/>
                  </w14:solidFill>
                </w14:textFill>
              </w:rPr>
              <w:t>所有上传文件自动转存到文件库</w:t>
            </w:r>
            <w:r>
              <w:rPr>
                <w:rFonts w:hint="eastAsia" w:ascii="宋体" w:hAnsi="宋体" w:eastAsia="宋体" w:cs="宋体"/>
                <w:color w:val="000000" w:themeColor="text1"/>
                <w:sz w:val="24"/>
                <w:szCs w:val="24"/>
                <w14:textFill>
                  <w14:solidFill>
                    <w14:schemeClr w14:val="tx1"/>
                  </w14:solidFill>
                </w14:textFill>
              </w:rPr>
              <w:t>，可针对资源按照图片、视频、音频、文档等分类进行存储，用户可以使用或删除个人文件，同时可以查看</w:t>
            </w:r>
            <w:r>
              <w:rPr>
                <w:rFonts w:hint="eastAsia" w:ascii="宋体" w:hAnsi="宋体" w:eastAsia="宋体" w:cs="宋体"/>
                <w:color w:val="000000" w:themeColor="text1"/>
                <w:sz w:val="24"/>
                <w:szCs w:val="24"/>
                <w:lang w:val="en-US" w:eastAsia="zh-CN"/>
                <w14:textFill>
                  <w14:solidFill>
                    <w14:schemeClr w14:val="tx1"/>
                  </w14:solidFill>
                </w14:textFill>
              </w:rPr>
              <w:t>其他</w:t>
            </w:r>
            <w:r>
              <w:rPr>
                <w:rFonts w:hint="eastAsia" w:ascii="宋体" w:hAnsi="宋体" w:eastAsia="宋体" w:cs="宋体"/>
                <w:color w:val="000000" w:themeColor="text1"/>
                <w:sz w:val="24"/>
                <w:szCs w:val="24"/>
                <w14:textFill>
                  <w14:solidFill>
                    <w14:schemeClr w14:val="tx1"/>
                  </w14:solidFill>
                </w14:textFill>
              </w:rPr>
              <w:t>管理员共享的公共文件。对</w:t>
            </w:r>
            <w:r>
              <w:rPr>
                <w:rFonts w:ascii="宋体" w:hAnsi="宋体" w:eastAsia="宋体" w:cs="宋体"/>
                <w:color w:val="000000" w:themeColor="text1"/>
                <w:sz w:val="24"/>
                <w:szCs w:val="24"/>
                <w14:textFill>
                  <w14:solidFill>
                    <w14:schemeClr w14:val="tx1"/>
                  </w14:solidFill>
                </w14:textFill>
              </w:rPr>
              <w:t>文件的引用</w:t>
            </w:r>
            <w:r>
              <w:rPr>
                <w:rFonts w:hint="eastAsia" w:ascii="宋体" w:hAnsi="宋体" w:eastAsia="宋体" w:cs="宋体"/>
                <w:color w:val="000000" w:themeColor="text1"/>
                <w:sz w:val="24"/>
                <w:szCs w:val="24"/>
                <w14:textFill>
                  <w14:solidFill>
                    <w14:schemeClr w14:val="tx1"/>
                  </w14:solidFill>
                </w14:textFill>
              </w:rPr>
              <w:t>情况可实现</w:t>
            </w:r>
            <w:r>
              <w:rPr>
                <w:rFonts w:ascii="宋体" w:hAnsi="宋体" w:eastAsia="宋体" w:cs="宋体"/>
                <w:color w:val="000000" w:themeColor="text1"/>
                <w:sz w:val="24"/>
                <w:szCs w:val="24"/>
                <w14:textFill>
                  <w14:solidFill>
                    <w14:schemeClr w14:val="tx1"/>
                  </w14:solidFill>
                </w14:textFill>
              </w:rPr>
              <w:t>站点、栏目、文章、地址等详细信息</w:t>
            </w:r>
            <w:r>
              <w:rPr>
                <w:rFonts w:hint="eastAsia" w:ascii="宋体" w:hAnsi="宋体" w:eastAsia="宋体" w:cs="宋体"/>
                <w:color w:val="000000" w:themeColor="text1"/>
                <w:sz w:val="24"/>
                <w:szCs w:val="24"/>
                <w14:textFill>
                  <w14:solidFill>
                    <w14:schemeClr w14:val="tx1"/>
                  </w14:solidFill>
                </w14:textFill>
              </w:rPr>
              <w:t>的查看。</w:t>
            </w:r>
          </w:p>
        </w:tc>
      </w:tr>
      <w:tr w14:paraId="73221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57C5CA01">
            <w:pPr>
              <w:numPr>
                <w:ilvl w:val="0"/>
                <w:numId w:val="1"/>
              </w:numPr>
              <w:wordWrap w:val="0"/>
              <w:spacing w:line="360" w:lineRule="auto"/>
              <w:ind w:left="0"/>
              <w:jc w:val="right"/>
              <w:rPr>
                <w:rFonts w:hint="eastAsia" w:ascii="宋体" w:hAnsi="宋体" w:eastAsia="宋体" w:cs="宋体"/>
                <w:bCs/>
                <w:color w:val="000000" w:themeColor="text1"/>
                <w:kern w:val="0"/>
                <w:sz w:val="24"/>
                <w:szCs w:val="24"/>
                <w14:textFill>
                  <w14:solidFill>
                    <w14:schemeClr w14:val="tx1"/>
                  </w14:solidFill>
                </w14:textFill>
              </w:rPr>
            </w:pPr>
          </w:p>
        </w:tc>
        <w:tc>
          <w:tcPr>
            <w:tcW w:w="1339" w:type="dxa"/>
            <w:vAlign w:val="center"/>
          </w:tcPr>
          <w:p w14:paraId="59E363B3">
            <w:pPr>
              <w:wordWrap w:val="0"/>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新媒体发布</w:t>
            </w:r>
          </w:p>
        </w:tc>
        <w:tc>
          <w:tcPr>
            <w:tcW w:w="7589" w:type="dxa"/>
            <w:vAlign w:val="center"/>
          </w:tcPr>
          <w:p w14:paraId="0374B3FB">
            <w:pPr>
              <w:numPr>
                <w:ilvl w:val="0"/>
                <w:numId w:val="8"/>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支持按照部门为管理单元，提供新媒体账号（微信、微博）的关联对接，用户可以在多个媒体渠道之间进行切换。</w:t>
            </w:r>
          </w:p>
          <w:p w14:paraId="2F295184">
            <w:pPr>
              <w:numPr>
                <w:ilvl w:val="0"/>
                <w:numId w:val="8"/>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需支持网站文章推送到本部门微信、微博</w:t>
            </w:r>
            <w:r>
              <w:rPr>
                <w:rFonts w:hint="eastAsia" w:ascii="宋体" w:hAnsi="宋体" w:eastAsia="宋体" w:cs="宋体"/>
                <w:color w:val="000000" w:themeColor="text1"/>
                <w:kern w:val="0"/>
                <w:sz w:val="24"/>
                <w:szCs w:val="24"/>
                <w:lang w:val="en-US" w:eastAsia="zh-CN"/>
                <w14:textFill>
                  <w14:solidFill>
                    <w14:schemeClr w14:val="tx1"/>
                  </w14:solidFill>
                </w14:textFill>
              </w:rPr>
              <w:t>账号</w:t>
            </w:r>
            <w:r>
              <w:rPr>
                <w:rFonts w:hint="eastAsia" w:ascii="宋体" w:hAnsi="宋体" w:eastAsia="宋体" w:cs="宋体"/>
                <w:color w:val="000000" w:themeColor="text1"/>
                <w:kern w:val="0"/>
                <w:sz w:val="24"/>
                <w:szCs w:val="24"/>
                <w14:textFill>
                  <w14:solidFill>
                    <w14:schemeClr w14:val="tx1"/>
                  </w14:solidFill>
                </w14:textFill>
              </w:rPr>
              <w:t>的素材库，也可在新媒体内容编辑时，选择本部门网站已发布的任意文章作为素材编辑发布。</w:t>
            </w:r>
          </w:p>
          <w:p w14:paraId="54DC2193">
            <w:pPr>
              <w:numPr>
                <w:ilvl w:val="0"/>
                <w:numId w:val="8"/>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支持微信公众号管理，支持公众号自动回复消息设置和自定义菜单。系统需具备微信端编辑器，提供多种微信公众号文章内容框素材，同时系统需打通1</w:t>
            </w:r>
            <w:r>
              <w:rPr>
                <w:rFonts w:ascii="宋体" w:hAnsi="宋体" w:eastAsia="宋体" w:cs="宋体"/>
                <w:color w:val="000000" w:themeColor="text1"/>
                <w:kern w:val="0"/>
                <w:sz w:val="24"/>
                <w:szCs w:val="24"/>
                <w14:textFill>
                  <w14:solidFill>
                    <w14:schemeClr w14:val="tx1"/>
                  </w14:solidFill>
                </w14:textFill>
              </w:rPr>
              <w:t>35</w:t>
            </w:r>
            <w:r>
              <w:rPr>
                <w:rFonts w:hint="eastAsia" w:ascii="宋体" w:hAnsi="宋体" w:eastAsia="宋体" w:cs="宋体"/>
                <w:color w:val="000000" w:themeColor="text1"/>
                <w:kern w:val="0"/>
                <w:sz w:val="24"/>
                <w:szCs w:val="24"/>
                <w14:textFill>
                  <w14:solidFill>
                    <w14:schemeClr w14:val="tx1"/>
                  </w14:solidFill>
                </w14:textFill>
              </w:rPr>
              <w:t>编辑器，实现微信内容的优化处理。</w:t>
            </w:r>
          </w:p>
          <w:p w14:paraId="68F5FB36">
            <w:pPr>
              <w:numPr>
                <w:ilvl w:val="0"/>
                <w:numId w:val="8"/>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系统需内置微博编辑器，可以快速在平台编辑微博文章，编辑时可以在网站素材和资源库中选择合适信息资源发布至微博，支持头条微博编辑发布。</w:t>
            </w:r>
          </w:p>
          <w:p w14:paraId="115776B6">
            <w:pPr>
              <w:numPr>
                <w:ilvl w:val="0"/>
                <w:numId w:val="8"/>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支持发布预览，可以模拟浏览当前账号在微信、微博发布文章展示的效果。支持对微博发布历史查看，可以对已发布的微博进行重新编辑或删除。</w:t>
            </w:r>
          </w:p>
          <w:p w14:paraId="5704EDC2">
            <w:pPr>
              <w:numPr>
                <w:ilvl w:val="0"/>
                <w:numId w:val="8"/>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支持统一对微信、微博发布信息进行检索，支持对平台中已发布微博、微信公众号文章进行一键撤稿。</w:t>
            </w:r>
          </w:p>
        </w:tc>
      </w:tr>
      <w:tr w14:paraId="15AD5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50EA0563">
            <w:pPr>
              <w:numPr>
                <w:ilvl w:val="0"/>
                <w:numId w:val="1"/>
              </w:numPr>
              <w:wordWrap w:val="0"/>
              <w:spacing w:line="360" w:lineRule="auto"/>
              <w:ind w:left="0"/>
              <w:jc w:val="right"/>
              <w:rPr>
                <w:rFonts w:hint="eastAsia" w:ascii="宋体" w:hAnsi="宋体" w:eastAsia="宋体" w:cs="宋体"/>
                <w:bCs/>
                <w:color w:val="000000" w:themeColor="text1"/>
                <w:kern w:val="0"/>
                <w:sz w:val="24"/>
                <w:szCs w:val="24"/>
                <w14:textFill>
                  <w14:solidFill>
                    <w14:schemeClr w14:val="tx1"/>
                  </w14:solidFill>
                </w14:textFill>
              </w:rPr>
            </w:pPr>
          </w:p>
        </w:tc>
        <w:tc>
          <w:tcPr>
            <w:tcW w:w="1339" w:type="dxa"/>
            <w:vAlign w:val="center"/>
          </w:tcPr>
          <w:p w14:paraId="3CDD99E8">
            <w:pPr>
              <w:wordWrap w:val="0"/>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云端内容安全预检服务</w:t>
            </w:r>
          </w:p>
        </w:tc>
        <w:tc>
          <w:tcPr>
            <w:tcW w:w="7589" w:type="dxa"/>
            <w:vAlign w:val="center"/>
          </w:tcPr>
          <w:p w14:paraId="5423CBDE">
            <w:pPr>
              <w:pStyle w:val="17"/>
              <w:numPr>
                <w:ilvl w:val="0"/>
                <w:numId w:val="9"/>
              </w:numPr>
              <w:wordWrap w:val="0"/>
              <w:adjustRightInd w:val="0"/>
              <w:snapToGrid w:val="0"/>
              <w:spacing w:line="360" w:lineRule="auto"/>
              <w:ind w:left="0" w:firstLine="48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平台需能够对接云端内容安全预检服务，可支持对网站、微信、微博和头条微博发布窗口中录入的敏感词、错别字、隐私信息（身份证、手机号、邮箱等）、非法链接</w:t>
            </w:r>
            <w:r>
              <w:rPr>
                <w:rFonts w:hint="eastAsia" w:ascii="宋体" w:hAnsi="宋体" w:eastAsia="宋体" w:cs="宋体"/>
                <w:color w:val="000000" w:themeColor="text1"/>
                <w:kern w:val="0"/>
                <w:sz w:val="24"/>
                <w:szCs w:val="24"/>
                <w14:textFill>
                  <w14:solidFill>
                    <w14:schemeClr w14:val="tx1"/>
                  </w14:solidFill>
                </w14:textFill>
              </w:rPr>
              <w:tab/>
            </w:r>
            <w:r>
              <w:rPr>
                <w:rFonts w:hint="eastAsia" w:ascii="宋体" w:hAnsi="宋体" w:eastAsia="宋体" w:cs="宋体"/>
                <w:color w:val="000000" w:themeColor="text1"/>
                <w:kern w:val="0"/>
                <w:sz w:val="24"/>
                <w:szCs w:val="24"/>
                <w14:textFill>
                  <w14:solidFill>
                    <w14:schemeClr w14:val="tx1"/>
                  </w14:solidFill>
                </w14:textFill>
              </w:rPr>
              <w:tab/>
            </w:r>
            <w:r>
              <w:rPr>
                <w:rFonts w:hint="eastAsia" w:ascii="宋体" w:hAnsi="宋体" w:eastAsia="宋体" w:cs="宋体"/>
                <w:color w:val="000000" w:themeColor="text1"/>
                <w:kern w:val="0"/>
                <w:sz w:val="24"/>
                <w:szCs w:val="24"/>
                <w14:textFill>
                  <w14:solidFill>
                    <w14:schemeClr w14:val="tx1"/>
                  </w14:solidFill>
                </w14:textFill>
              </w:rPr>
              <w:tab/>
            </w:r>
            <w:r>
              <w:rPr>
                <w:rFonts w:hint="eastAsia" w:ascii="宋体" w:hAnsi="宋体" w:eastAsia="宋体" w:cs="宋体"/>
                <w:color w:val="000000" w:themeColor="text1"/>
                <w:kern w:val="0"/>
                <w:sz w:val="24"/>
                <w:szCs w:val="24"/>
                <w14:textFill>
                  <w14:solidFill>
                    <w14:schemeClr w14:val="tx1"/>
                  </w14:solidFill>
                </w14:textFill>
              </w:rPr>
              <w:t>（涉黄、赌博、涉恐等）、外链进行检测。</w:t>
            </w:r>
          </w:p>
          <w:p w14:paraId="493908F2">
            <w:pPr>
              <w:pStyle w:val="17"/>
              <w:numPr>
                <w:ilvl w:val="0"/>
                <w:numId w:val="9"/>
              </w:numPr>
              <w:wordWrap w:val="0"/>
              <w:adjustRightInd w:val="0"/>
              <w:snapToGrid w:val="0"/>
              <w:spacing w:line="360" w:lineRule="auto"/>
              <w:ind w:left="0" w:firstLine="480"/>
              <w:rPr>
                <w:rFonts w:hint="eastAsia" w:ascii="宋体" w:hAnsi="宋体" w:eastAsia="宋体" w:cs="宋体"/>
                <w:color w:val="000000" w:themeColor="text1"/>
                <w:kern w:val="0"/>
                <w:sz w:val="24"/>
                <w:szCs w:val="24"/>
                <w14:textFill>
                  <w14:solidFill>
                    <w14:schemeClr w14:val="tx1"/>
                  </w14:solidFill>
                </w14:textFill>
              </w:rPr>
            </w:pPr>
            <w:r>
              <w:rPr>
                <w:rFonts w:ascii="宋体" w:hAnsi="宋体" w:eastAsia="宋体" w:cs="宋体"/>
                <w:color w:val="000000" w:themeColor="text1"/>
                <w:kern w:val="0"/>
                <w:sz w:val="24"/>
                <w:szCs w:val="24"/>
                <w14:textFill>
                  <w14:solidFill>
                    <w14:schemeClr w14:val="tx1"/>
                  </w14:solidFill>
                </w14:textFill>
              </w:rPr>
              <w:t>需支持对检测出来的敏感词内容进行</w:t>
            </w:r>
            <w:r>
              <w:rPr>
                <w:rFonts w:hint="eastAsia" w:ascii="宋体" w:hAnsi="宋体" w:eastAsia="宋体" w:cs="宋体"/>
                <w:color w:val="000000" w:themeColor="text1"/>
                <w:kern w:val="0"/>
                <w:sz w:val="24"/>
                <w:szCs w:val="24"/>
                <w14:textFill>
                  <w14:solidFill>
                    <w14:schemeClr w14:val="tx1"/>
                  </w14:solidFill>
                </w14:textFill>
              </w:rPr>
              <w:t>不同颜色标记</w:t>
            </w:r>
            <w:r>
              <w:rPr>
                <w:rFonts w:ascii="宋体" w:hAnsi="宋体" w:eastAsia="宋体" w:cs="宋体"/>
                <w:color w:val="000000" w:themeColor="text1"/>
                <w:kern w:val="0"/>
                <w:sz w:val="24"/>
                <w:szCs w:val="24"/>
                <w14:textFill>
                  <w14:solidFill>
                    <w14:schemeClr w14:val="tx1"/>
                  </w14:solidFill>
                </w14:textFill>
              </w:rPr>
              <w:t>显示及</w:t>
            </w:r>
            <w:r>
              <w:rPr>
                <w:rFonts w:hint="eastAsia" w:ascii="宋体" w:hAnsi="宋体" w:eastAsia="宋体" w:cs="宋体"/>
                <w:color w:val="000000" w:themeColor="text1"/>
                <w:kern w:val="0"/>
                <w:sz w:val="24"/>
                <w:szCs w:val="24"/>
                <w14:textFill>
                  <w14:solidFill>
                    <w14:schemeClr w14:val="tx1"/>
                  </w14:solidFill>
                </w14:textFill>
              </w:rPr>
              <w:t>快速</w:t>
            </w:r>
            <w:r>
              <w:rPr>
                <w:rFonts w:ascii="宋体" w:hAnsi="宋体" w:eastAsia="宋体" w:cs="宋体"/>
                <w:color w:val="000000" w:themeColor="text1"/>
                <w:kern w:val="0"/>
                <w:sz w:val="24"/>
                <w:szCs w:val="24"/>
                <w14:textFill>
                  <w14:solidFill>
                    <w14:schemeClr w14:val="tx1"/>
                  </w14:solidFill>
                </w14:textFill>
              </w:rPr>
              <w:t>定位，提醒编辑人员快速修改。支持具体定位到标题、摘要、正文</w:t>
            </w:r>
            <w:r>
              <w:rPr>
                <w:rFonts w:hint="eastAsia" w:ascii="宋体" w:hAnsi="宋体" w:eastAsia="宋体" w:cs="宋体"/>
                <w:color w:val="000000" w:themeColor="text1"/>
                <w:kern w:val="0"/>
                <w:sz w:val="24"/>
                <w:szCs w:val="24"/>
                <w14:textFill>
                  <w14:solidFill>
                    <w14:schemeClr w14:val="tx1"/>
                  </w14:solidFill>
                </w14:textFill>
              </w:rPr>
              <w:t>及附件</w:t>
            </w:r>
            <w:r>
              <w:rPr>
                <w:rFonts w:ascii="宋体" w:hAnsi="宋体" w:eastAsia="宋体" w:cs="宋体"/>
                <w:color w:val="000000" w:themeColor="text1"/>
                <w:kern w:val="0"/>
                <w:sz w:val="24"/>
                <w:szCs w:val="24"/>
                <w14:textFill>
                  <w14:solidFill>
                    <w14:schemeClr w14:val="tx1"/>
                  </w14:solidFill>
                </w14:textFill>
              </w:rPr>
              <w:t>区域</w:t>
            </w:r>
            <w:r>
              <w:rPr>
                <w:rFonts w:hint="eastAsia" w:ascii="宋体" w:hAnsi="宋体" w:eastAsia="宋体" w:cs="宋体"/>
                <w:color w:val="000000" w:themeColor="text1"/>
                <w:kern w:val="0"/>
                <w:sz w:val="24"/>
                <w:szCs w:val="24"/>
                <w14:textFill>
                  <w14:solidFill>
                    <w14:schemeClr w14:val="tx1"/>
                  </w14:solidFill>
                </w14:textFill>
              </w:rPr>
              <w:t>。</w:t>
            </w:r>
          </w:p>
          <w:p w14:paraId="1C662530">
            <w:pPr>
              <w:pStyle w:val="17"/>
              <w:numPr>
                <w:ilvl w:val="0"/>
                <w:numId w:val="9"/>
              </w:numPr>
              <w:wordWrap w:val="0"/>
              <w:adjustRightInd w:val="0"/>
              <w:snapToGrid w:val="0"/>
              <w:spacing w:line="360" w:lineRule="auto"/>
              <w:ind w:left="0" w:firstLine="480"/>
              <w:rPr>
                <w:rFonts w:hint="eastAsia" w:ascii="宋体" w:hAnsi="宋体" w:eastAsia="宋体" w:cs="宋体"/>
                <w:color w:val="000000" w:themeColor="text1"/>
                <w:kern w:val="0"/>
                <w:sz w:val="24"/>
                <w:szCs w:val="24"/>
                <w14:textFill>
                  <w14:solidFill>
                    <w14:schemeClr w14:val="tx1"/>
                  </w14:solidFill>
                </w14:textFill>
              </w:rPr>
            </w:pPr>
            <w:r>
              <w:rPr>
                <w:rFonts w:ascii="宋体" w:hAnsi="宋体" w:eastAsia="宋体" w:cs="宋体"/>
                <w:color w:val="000000" w:themeColor="text1"/>
                <w:kern w:val="0"/>
                <w:sz w:val="24"/>
                <w:szCs w:val="24"/>
                <w14:textFill>
                  <w14:solidFill>
                    <w14:schemeClr w14:val="tx1"/>
                  </w14:solidFill>
                </w14:textFill>
              </w:rPr>
              <w:t>系统端</w:t>
            </w:r>
            <w:r>
              <w:rPr>
                <w:rFonts w:hint="eastAsia" w:ascii="宋体" w:hAnsi="宋体" w:eastAsia="宋体" w:cs="宋体"/>
                <w:color w:val="000000" w:themeColor="text1"/>
                <w:kern w:val="0"/>
                <w:sz w:val="24"/>
                <w:szCs w:val="24"/>
                <w14:textFill>
                  <w14:solidFill>
                    <w14:schemeClr w14:val="tx1"/>
                  </w14:solidFill>
                </w14:textFill>
              </w:rPr>
              <w:t>需能够</w:t>
            </w:r>
            <w:r>
              <w:rPr>
                <w:rFonts w:ascii="宋体" w:hAnsi="宋体" w:eastAsia="宋体" w:cs="宋体"/>
                <w:color w:val="000000" w:themeColor="text1"/>
                <w:kern w:val="0"/>
                <w:sz w:val="24"/>
                <w:szCs w:val="24"/>
                <w14:textFill>
                  <w14:solidFill>
                    <w14:schemeClr w14:val="tx1"/>
                  </w14:solidFill>
                </w14:textFill>
              </w:rPr>
              <w:t>提供各个站点发文预检使用统计情况，具体的检出数据统计、各站点检测排名、预检详细触发日志、预检忽略内容统计等</w:t>
            </w:r>
            <w:r>
              <w:rPr>
                <w:rFonts w:hint="eastAsia" w:ascii="宋体" w:hAnsi="宋体" w:eastAsia="宋体" w:cs="宋体"/>
                <w:color w:val="000000" w:themeColor="text1"/>
                <w:kern w:val="0"/>
                <w:sz w:val="24"/>
                <w:szCs w:val="24"/>
                <w14:textFill>
                  <w14:solidFill>
                    <w14:schemeClr w14:val="tx1"/>
                  </w14:solidFill>
                </w14:textFill>
              </w:rPr>
              <w:t>。</w:t>
            </w:r>
          </w:p>
        </w:tc>
      </w:tr>
      <w:tr w14:paraId="648D0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4" w:hRule="atLeast"/>
          <w:jc w:val="center"/>
        </w:trPr>
        <w:tc>
          <w:tcPr>
            <w:tcW w:w="846" w:type="dxa"/>
            <w:vAlign w:val="center"/>
          </w:tcPr>
          <w:p w14:paraId="3B6A02ED">
            <w:pPr>
              <w:numPr>
                <w:ilvl w:val="0"/>
                <w:numId w:val="1"/>
              </w:numPr>
              <w:wordWrap w:val="0"/>
              <w:spacing w:line="360" w:lineRule="auto"/>
              <w:ind w:left="0"/>
              <w:jc w:val="right"/>
              <w:rPr>
                <w:rFonts w:hint="eastAsia" w:ascii="宋体" w:hAnsi="宋体" w:eastAsia="宋体" w:cs="宋体"/>
                <w:bCs/>
                <w:color w:val="000000" w:themeColor="text1"/>
                <w:kern w:val="0"/>
                <w:sz w:val="24"/>
                <w:szCs w:val="24"/>
                <w14:textFill>
                  <w14:solidFill>
                    <w14:schemeClr w14:val="tx1"/>
                  </w14:solidFill>
                </w14:textFill>
              </w:rPr>
            </w:pPr>
          </w:p>
        </w:tc>
        <w:tc>
          <w:tcPr>
            <w:tcW w:w="1339" w:type="dxa"/>
            <w:vAlign w:val="center"/>
          </w:tcPr>
          <w:p w14:paraId="6CFF140A">
            <w:pPr>
              <w:wordWrap w:val="0"/>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系统内容检索与处理</w:t>
            </w:r>
          </w:p>
        </w:tc>
        <w:tc>
          <w:tcPr>
            <w:tcW w:w="7589" w:type="dxa"/>
            <w:vAlign w:val="center"/>
          </w:tcPr>
          <w:p w14:paraId="7355025E">
            <w:pPr>
              <w:pStyle w:val="17"/>
              <w:numPr>
                <w:ilvl w:val="0"/>
                <w:numId w:val="10"/>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系统支持自定义词汇、隐私信息、非法链接、外链、身份证、电话、证件号、邮箱、内网IP的检索与处理。</w:t>
            </w:r>
          </w:p>
          <w:p w14:paraId="1F48C0FE">
            <w:pPr>
              <w:pStyle w:val="17"/>
              <w:numPr>
                <w:ilvl w:val="0"/>
                <w:numId w:val="10"/>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支持对网站群所有站点进行自定义词汇、危险链接和隐私信息的检索，检索范围包含网站文章、资料、模板、附件、新媒体内容</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同时支持检索范围自定义，在检索过程中，需展示当前检索站点信息及进度，检索完成后展示当前结果概览。</w:t>
            </w:r>
          </w:p>
          <w:p w14:paraId="45209907">
            <w:pPr>
              <w:pStyle w:val="17"/>
              <w:numPr>
                <w:ilvl w:val="0"/>
                <w:numId w:val="10"/>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支持以站点视角及分类视角两种维度，查看站群下的各个站点自定义词汇、危险链接和隐私信息的检索结果，可对文章、资料、模板、附件、新媒体的检索信息进行单个或批量处理，处理过程中可对处理结果进行一键验证。</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p w14:paraId="0E9B89B2">
            <w:pPr>
              <w:pStyle w:val="17"/>
              <w:numPr>
                <w:ilvl w:val="0"/>
                <w:numId w:val="10"/>
              </w:numPr>
              <w:wordWrap w:val="0"/>
              <w:adjustRightInd w:val="0"/>
              <w:snapToGrid w:val="0"/>
              <w:spacing w:line="360"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检索的结果可直接按照部门站点划分并下放，支持每个站点管理员查看并处理当前站点信息检索结果。</w:t>
            </w:r>
          </w:p>
          <w:p w14:paraId="10B0AA96">
            <w:pPr>
              <w:pStyle w:val="17"/>
              <w:numPr>
                <w:ilvl w:val="0"/>
                <w:numId w:val="10"/>
              </w:numPr>
              <w:wordWrap w:val="0"/>
              <w:adjustRightInd w:val="0"/>
              <w:snapToGrid w:val="0"/>
              <w:spacing w:line="360" w:lineRule="auto"/>
              <w:ind w:left="0" w:firstLine="48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支持对每次检索后的处理结果统计分析，包括已处理数量及未处理数量，可对单次检索后的处理结果进行本地excel导出。</w:t>
            </w:r>
          </w:p>
        </w:tc>
      </w:tr>
      <w:tr w14:paraId="69FB7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7F155959">
            <w:pPr>
              <w:numPr>
                <w:ilvl w:val="0"/>
                <w:numId w:val="1"/>
              </w:numPr>
              <w:wordWrap w:val="0"/>
              <w:spacing w:line="360" w:lineRule="auto"/>
              <w:ind w:left="0"/>
              <w:jc w:val="right"/>
              <w:rPr>
                <w:rFonts w:hint="eastAsia" w:ascii="宋体" w:hAnsi="宋体" w:eastAsia="宋体" w:cs="宋体"/>
                <w:bCs/>
                <w:color w:val="000000" w:themeColor="text1"/>
                <w:kern w:val="0"/>
                <w:sz w:val="24"/>
                <w:szCs w:val="24"/>
                <w14:textFill>
                  <w14:solidFill>
                    <w14:schemeClr w14:val="tx1"/>
                  </w14:solidFill>
                </w14:textFill>
              </w:rPr>
            </w:pPr>
          </w:p>
        </w:tc>
        <w:tc>
          <w:tcPr>
            <w:tcW w:w="1339" w:type="dxa"/>
            <w:vAlign w:val="center"/>
          </w:tcPr>
          <w:p w14:paraId="7111A4A3">
            <w:pPr>
              <w:wordWrap w:val="0"/>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统计分析</w:t>
            </w:r>
          </w:p>
        </w:tc>
        <w:tc>
          <w:tcPr>
            <w:tcW w:w="7589" w:type="dxa"/>
            <w:vAlign w:val="center"/>
          </w:tcPr>
          <w:p w14:paraId="2F443272">
            <w:pPr>
              <w:numPr>
                <w:ilvl w:val="0"/>
                <w:numId w:val="11"/>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站点运营数据管理过程，需提供针对每一个网站的访问的相关数据统计，包括统计访问记录、页面浏览数、来访IP数、访问时间段、访问排名及来访省份统计。</w:t>
            </w:r>
          </w:p>
          <w:p w14:paraId="66501461">
            <w:pPr>
              <w:numPr>
                <w:ilvl w:val="0"/>
                <w:numId w:val="11"/>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支持针对网站内容的相关数据统计，包括网站管理员信息量、栏目信息量、分组信息量、栏目新闻数、网站在线管理员等数据的统计。</w:t>
            </w:r>
          </w:p>
          <w:p w14:paraId="292ACCB1">
            <w:pPr>
              <w:numPr>
                <w:ilvl w:val="0"/>
                <w:numId w:val="11"/>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支持对微信、微博运营情况进行统计分析，包括账号数量、发文数量、粉丝数量等。需对微信、微博等各发布渠道的文章按照阅读量等进行热度统计，综合展示当前单位内各新媒体渠道的热门文章。</w:t>
            </w:r>
          </w:p>
        </w:tc>
      </w:tr>
      <w:tr w14:paraId="64AFF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346044C1">
            <w:pPr>
              <w:numPr>
                <w:ilvl w:val="0"/>
                <w:numId w:val="1"/>
              </w:numPr>
              <w:wordWrap w:val="0"/>
              <w:spacing w:line="360" w:lineRule="auto"/>
              <w:ind w:left="0"/>
              <w:jc w:val="right"/>
              <w:rPr>
                <w:rFonts w:hint="eastAsia" w:ascii="宋体" w:hAnsi="宋体" w:eastAsia="宋体" w:cs="宋体"/>
                <w:bCs/>
                <w:color w:val="000000" w:themeColor="text1"/>
                <w:kern w:val="0"/>
                <w:sz w:val="24"/>
                <w:szCs w:val="24"/>
                <w14:textFill>
                  <w14:solidFill>
                    <w14:schemeClr w14:val="tx1"/>
                  </w14:solidFill>
                </w14:textFill>
              </w:rPr>
            </w:pPr>
          </w:p>
        </w:tc>
        <w:tc>
          <w:tcPr>
            <w:tcW w:w="1339" w:type="dxa"/>
            <w:vAlign w:val="center"/>
          </w:tcPr>
          <w:p w14:paraId="6C3A66D8">
            <w:pPr>
              <w:wordWrap w:val="0"/>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RASP安全威胁防控体系</w:t>
            </w:r>
          </w:p>
        </w:tc>
        <w:tc>
          <w:tcPr>
            <w:tcW w:w="7589" w:type="dxa"/>
            <w:vAlign w:val="center"/>
          </w:tcPr>
          <w:p w14:paraId="5592FE64">
            <w:pPr>
              <w:numPr>
                <w:ilvl w:val="0"/>
                <w:numId w:val="12"/>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kern w:val="0"/>
                <w:sz w:val="24"/>
                <w:szCs w:val="24"/>
                <w14:textFill>
                  <w14:solidFill>
                    <w14:schemeClr w14:val="tx1"/>
                  </w14:solidFill>
                </w14:textFill>
              </w:rPr>
              <w:t>系统需引入RASP技术，深度检查系统内部访问动作，支持表层防护，业务防护和内核防护的三级防护模式，对系统的各类运维安全问题，例如规则的漏洞攻击、行为追踪的漏洞等可进行逐层把关。其中业务防护需至少包含模板修改管控、站点恢复管控、网站发布管控此3项场景业务防护，以及重定向请求伪造、非授权互联网访问、非法反射、文件上传-探针此4项标准业务防护。内核防护需至少包含XXE外部实体加载、反序列化攻击、SQL语言异常、OGNL代码执行、文件重命名、任意文件删除此6项原子级别防护。</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p w14:paraId="1788584B">
            <w:pPr>
              <w:numPr>
                <w:ilvl w:val="0"/>
                <w:numId w:val="12"/>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kern w:val="0"/>
                <w:sz w:val="24"/>
                <w:szCs w:val="24"/>
                <w14:textFill>
                  <w14:solidFill>
                    <w14:schemeClr w14:val="tx1"/>
                  </w14:solidFill>
                </w14:textFill>
              </w:rPr>
              <w:t>能够针对系统内部面临的不同种类的攻击情况，进行严密记录与分析，需支持具体的攻击参数、应用堆栈、请求URL及请求来源记录。</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tc>
      </w:tr>
      <w:tr w14:paraId="642B1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18127C42">
            <w:pPr>
              <w:numPr>
                <w:ilvl w:val="0"/>
                <w:numId w:val="1"/>
              </w:numPr>
              <w:wordWrap w:val="0"/>
              <w:spacing w:line="360" w:lineRule="auto"/>
              <w:ind w:left="0"/>
              <w:jc w:val="right"/>
              <w:rPr>
                <w:rFonts w:hint="eastAsia" w:ascii="宋体" w:hAnsi="宋体" w:eastAsia="宋体" w:cs="宋体"/>
                <w:bCs/>
                <w:color w:val="000000" w:themeColor="text1"/>
                <w:kern w:val="0"/>
                <w:sz w:val="24"/>
                <w:szCs w:val="24"/>
                <w14:textFill>
                  <w14:solidFill>
                    <w14:schemeClr w14:val="tx1"/>
                  </w14:solidFill>
                </w14:textFill>
              </w:rPr>
            </w:pPr>
          </w:p>
        </w:tc>
        <w:tc>
          <w:tcPr>
            <w:tcW w:w="1339" w:type="dxa"/>
            <w:vAlign w:val="center"/>
          </w:tcPr>
          <w:p w14:paraId="1835A674">
            <w:pPr>
              <w:wordWrap w:val="0"/>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场景化安全运维</w:t>
            </w:r>
          </w:p>
        </w:tc>
        <w:tc>
          <w:tcPr>
            <w:tcW w:w="7589" w:type="dxa"/>
            <w:vAlign w:val="center"/>
          </w:tcPr>
          <w:p w14:paraId="7DAB8744">
            <w:pPr>
              <w:numPr>
                <w:ilvl w:val="0"/>
                <w:numId w:val="13"/>
              </w:numPr>
              <w:wordWrap w:val="0"/>
              <w:adjustRightInd w:val="0"/>
              <w:snapToGrid w:val="0"/>
              <w:spacing w:line="360" w:lineRule="auto"/>
              <w:ind w:left="0"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平台应具备场景化运维管控能力，支持按照不同场景来配置站群安全运维模式，可按不同场景进行管理员账号限制、防火墙策略设定、网站访问限制、后台维护限制等安全防护策略的详细配置，支持站点应急管理员按照站点快速设置。</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p w14:paraId="14585279">
            <w:pPr>
              <w:numPr>
                <w:ilvl w:val="0"/>
                <w:numId w:val="13"/>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可按需设置多种场景模式，实现对应场景之下运维模式的快速切换。</w:t>
            </w:r>
          </w:p>
          <w:p w14:paraId="018F36C3">
            <w:pPr>
              <w:numPr>
                <w:ilvl w:val="0"/>
                <w:numId w:val="13"/>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需支持对未纳入场景规则之下的站点进行数字提示，杜绝场景化运维过程中的站点遗漏问题。</w:t>
            </w:r>
          </w:p>
          <w:p w14:paraId="5D3F65A3">
            <w:pPr>
              <w:numPr>
                <w:ilvl w:val="0"/>
                <w:numId w:val="13"/>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▲系统需支持针对风险管理员账号进行检测和管理，支持对长期未登录用户进行监管和快速封禁，能够针对长期未登录或权限过载等风险管理员账号进行合理划分并选择性禁用。</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tc>
      </w:tr>
      <w:tr w14:paraId="0B6C9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6A9E8B40">
            <w:pPr>
              <w:numPr>
                <w:ilvl w:val="0"/>
                <w:numId w:val="1"/>
              </w:numPr>
              <w:wordWrap w:val="0"/>
              <w:spacing w:line="360" w:lineRule="auto"/>
              <w:ind w:left="0"/>
              <w:jc w:val="right"/>
              <w:rPr>
                <w:rFonts w:hint="eastAsia" w:ascii="宋体" w:hAnsi="宋体" w:eastAsia="宋体" w:cs="宋体"/>
                <w:bCs/>
                <w:color w:val="000000" w:themeColor="text1"/>
                <w:kern w:val="0"/>
                <w:sz w:val="24"/>
                <w:szCs w:val="24"/>
                <w14:textFill>
                  <w14:solidFill>
                    <w14:schemeClr w14:val="tx1"/>
                  </w14:solidFill>
                </w14:textFill>
              </w:rPr>
            </w:pPr>
          </w:p>
        </w:tc>
        <w:tc>
          <w:tcPr>
            <w:tcW w:w="1339" w:type="dxa"/>
            <w:vAlign w:val="center"/>
          </w:tcPr>
          <w:p w14:paraId="5F50F8B4">
            <w:pPr>
              <w:wordWrap w:val="0"/>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网页防篡改系统</w:t>
            </w:r>
          </w:p>
        </w:tc>
        <w:tc>
          <w:tcPr>
            <w:tcW w:w="7589" w:type="dxa"/>
            <w:vAlign w:val="center"/>
          </w:tcPr>
          <w:p w14:paraId="5471D1A0">
            <w:pPr>
              <w:numPr>
                <w:ilvl w:val="0"/>
                <w:numId w:val="14"/>
              </w:numPr>
              <w:wordWrap w:val="0"/>
              <w:adjustRightInd w:val="0"/>
              <w:snapToGrid w:val="0"/>
              <w:spacing w:line="360" w:lineRule="auto"/>
              <w:ind w:left="0"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需要采用先进的</w:t>
            </w:r>
            <w:r>
              <w:rPr>
                <w:rFonts w:ascii="宋体" w:hAnsi="宋体" w:eastAsia="宋体" w:cs="宋体"/>
                <w:color w:val="000000" w:themeColor="text1"/>
                <w:sz w:val="24"/>
                <w:szCs w:val="24"/>
                <w14:textFill>
                  <w14:solidFill>
                    <w14:schemeClr w14:val="tx1"/>
                  </w14:solidFill>
                </w14:textFill>
              </w:rPr>
              <w:t xml:space="preserve"> Web 服务器核心内嵌机制，</w:t>
            </w:r>
            <w:r>
              <w:rPr>
                <w:rFonts w:hint="eastAsia" w:ascii="宋体" w:hAnsi="宋体" w:eastAsia="宋体" w:cs="宋体"/>
                <w:color w:val="000000" w:themeColor="text1"/>
                <w:sz w:val="24"/>
                <w:szCs w:val="24"/>
                <w14:textFill>
                  <w14:solidFill>
                    <w14:schemeClr w14:val="tx1"/>
                  </w14:solidFill>
                </w14:textFill>
              </w:rPr>
              <w:t>需实现</w:t>
            </w:r>
            <w:r>
              <w:rPr>
                <w:rFonts w:ascii="宋体" w:hAnsi="宋体" w:eastAsia="宋体" w:cs="宋体"/>
                <w:color w:val="000000" w:themeColor="text1"/>
                <w:sz w:val="24"/>
                <w:szCs w:val="24"/>
                <w14:textFill>
                  <w14:solidFill>
                    <w14:schemeClr w14:val="tx1"/>
                  </w14:solidFill>
                </w14:textFill>
              </w:rPr>
              <w:t>对静态网页和脚本的实时检测和恢复，保护数据库中的动态内容免受来自于 Web 的攻击和篡改。</w:t>
            </w:r>
          </w:p>
          <w:p w14:paraId="40620528">
            <w:pPr>
              <w:numPr>
                <w:ilvl w:val="0"/>
                <w:numId w:val="14"/>
              </w:numPr>
              <w:wordWrap w:val="0"/>
              <w:adjustRightInd w:val="0"/>
              <w:snapToGrid w:val="0"/>
              <w:spacing w:line="360" w:lineRule="auto"/>
              <w:ind w:left="0"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系统内置防篡改模块，能够对每一个网站防篡改开启或关闭进行检测，内置防篡改日志查询，保护站群内所有站点的安全。</w:t>
            </w:r>
          </w:p>
        </w:tc>
      </w:tr>
      <w:tr w14:paraId="136C7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6FAB24B0">
            <w:pPr>
              <w:numPr>
                <w:ilvl w:val="0"/>
                <w:numId w:val="1"/>
              </w:numPr>
              <w:wordWrap w:val="0"/>
              <w:spacing w:line="360" w:lineRule="auto"/>
              <w:ind w:left="0"/>
              <w:jc w:val="right"/>
              <w:rPr>
                <w:rFonts w:hint="eastAsia" w:ascii="宋体" w:hAnsi="宋体" w:eastAsia="宋体" w:cs="宋体"/>
                <w:bCs/>
                <w:color w:val="000000" w:themeColor="text1"/>
                <w:kern w:val="0"/>
                <w:sz w:val="24"/>
                <w:szCs w:val="24"/>
                <w14:textFill>
                  <w14:solidFill>
                    <w14:schemeClr w14:val="tx1"/>
                  </w14:solidFill>
                </w14:textFill>
              </w:rPr>
            </w:pPr>
          </w:p>
        </w:tc>
        <w:tc>
          <w:tcPr>
            <w:tcW w:w="1339" w:type="dxa"/>
            <w:vAlign w:val="center"/>
          </w:tcPr>
          <w:p w14:paraId="13AB64C8">
            <w:pPr>
              <w:wordWrap w:val="0"/>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安全防护功能</w:t>
            </w:r>
          </w:p>
        </w:tc>
        <w:tc>
          <w:tcPr>
            <w:tcW w:w="7589" w:type="dxa"/>
            <w:vAlign w:val="center"/>
          </w:tcPr>
          <w:p w14:paraId="6DD145E8">
            <w:pPr>
              <w:numPr>
                <w:ilvl w:val="0"/>
                <w:numId w:val="15"/>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须具备安全概览面板，展示系统整体安全防护动态，展示内容需包含全球攻击情况的实时动态展示、部署结构运维展示、内容安全管控情况以及安全运维监控结果等，针对重点安全防护模块可提供一键直达快速访问入口。</w:t>
            </w:r>
          </w:p>
          <w:p w14:paraId="12366600">
            <w:pPr>
              <w:numPr>
                <w:ilvl w:val="0"/>
                <w:numId w:val="15"/>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bookmarkStart w:id="1" w:name="_Hlk106093014"/>
            <w:r>
              <w:rPr>
                <w:rFonts w:hint="eastAsia" w:ascii="宋体" w:hAnsi="宋体" w:eastAsia="宋体" w:cs="宋体"/>
                <w:color w:val="000000" w:themeColor="text1"/>
                <w:kern w:val="0"/>
                <w:sz w:val="24"/>
                <w:szCs w:val="24"/>
                <w14:textFill>
                  <w14:solidFill>
                    <w14:schemeClr w14:val="tx1"/>
                  </w14:solidFill>
                </w14:textFill>
              </w:rPr>
              <w:t>▲平台需支持对网站群系统底层文件进行</w:t>
            </w:r>
            <w:r>
              <w:rPr>
                <w:rFonts w:hint="eastAsia" w:ascii="宋体" w:hAnsi="宋体" w:eastAsia="宋体" w:cs="宋体"/>
                <w:color w:val="000000" w:themeColor="text1"/>
                <w:kern w:val="0"/>
                <w:sz w:val="24"/>
                <w:szCs w:val="24"/>
                <w:lang w:val="en-US" w:eastAsia="zh-CN"/>
                <w14:textFill>
                  <w14:solidFill>
                    <w14:schemeClr w14:val="tx1"/>
                  </w14:solidFill>
                </w14:textFill>
              </w:rPr>
              <w:t>实时</w:t>
            </w:r>
            <w:r>
              <w:rPr>
                <w:rFonts w:hint="eastAsia" w:ascii="宋体" w:hAnsi="宋体" w:eastAsia="宋体" w:cs="宋体"/>
                <w:color w:val="000000" w:themeColor="text1"/>
                <w:kern w:val="0"/>
                <w:sz w:val="24"/>
                <w:szCs w:val="24"/>
                <w14:textFill>
                  <w14:solidFill>
                    <w14:schemeClr w14:val="tx1"/>
                  </w14:solidFill>
                </w14:textFill>
              </w:rPr>
              <w:t>持续性监控，及时发现并阻断对网站群系统底层关键文件的篡改。</w:t>
            </w:r>
            <w:bookmarkEnd w:id="1"/>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p w14:paraId="471C846E">
            <w:pPr>
              <w:numPr>
                <w:ilvl w:val="0"/>
                <w:numId w:val="15"/>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支持密码强度规则设置，并且提供简单密码口令库，使用简单口令库中的密码在创建用户时系统会自动阻止。系统针对密码加密，采用国密算法，保障密码不被暴力猜解。</w:t>
            </w:r>
          </w:p>
          <w:p w14:paraId="2C115843">
            <w:pPr>
              <w:numPr>
                <w:ilvl w:val="0"/>
                <w:numId w:val="15"/>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网站群系统要求具有IP规则设置和账号安全管理功能，管理员可以设置不同的IP范围，用来限制管理员后台登录。</w:t>
            </w:r>
          </w:p>
          <w:p w14:paraId="3073D630">
            <w:pPr>
              <w:numPr>
                <w:ilvl w:val="0"/>
                <w:numId w:val="15"/>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应内置应用防火墙，内置被动防御策略集，针对危险行为进行IP封禁，并可管理黑名单及白名单，通过使用入侵防护日志，可以详细了解攻击者的归属地、IP地址、攻击位置、攻击特征以及攻击时间等重要信息。</w:t>
            </w:r>
          </w:p>
          <w:p w14:paraId="66ECACBA">
            <w:pPr>
              <w:numPr>
                <w:ilvl w:val="0"/>
                <w:numId w:val="15"/>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系统应支持危险文件</w:t>
            </w:r>
            <w:r>
              <w:rPr>
                <w:rFonts w:hint="eastAsia" w:ascii="宋体" w:hAnsi="宋体" w:eastAsia="宋体" w:cs="宋体"/>
                <w:color w:val="000000" w:themeColor="text1"/>
                <w:sz w:val="24"/>
                <w:szCs w:val="24"/>
                <w14:textFill>
                  <w14:solidFill>
                    <w14:schemeClr w14:val="tx1"/>
                  </w14:solidFill>
                </w14:textFill>
              </w:rPr>
              <w:t>检测</w:t>
            </w:r>
            <w:r>
              <w:rPr>
                <w:rFonts w:hint="eastAsia" w:ascii="宋体" w:hAnsi="宋体" w:eastAsia="宋体" w:cs="宋体"/>
                <w:color w:val="000000" w:themeColor="text1"/>
                <w:kern w:val="0"/>
                <w:sz w:val="24"/>
                <w:szCs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检测</w:t>
            </w:r>
            <w:r>
              <w:rPr>
                <w:rFonts w:hint="eastAsia" w:ascii="宋体" w:hAnsi="宋体" w:eastAsia="宋体" w:cs="宋体"/>
                <w:color w:val="000000" w:themeColor="text1"/>
                <w:kern w:val="0"/>
                <w:sz w:val="24"/>
                <w:szCs w:val="24"/>
                <w14:textFill>
                  <w14:solidFill>
                    <w14:schemeClr w14:val="tx1"/>
                  </w14:solidFill>
                </w14:textFill>
              </w:rPr>
              <w:t>服务器中包含特殊代码的文件，并提供</w:t>
            </w:r>
            <w:r>
              <w:rPr>
                <w:rFonts w:hint="eastAsia" w:ascii="宋体" w:hAnsi="宋体" w:eastAsia="宋体" w:cs="宋体"/>
                <w:color w:val="000000" w:themeColor="text1"/>
                <w:sz w:val="24"/>
                <w:szCs w:val="24"/>
                <w14:textFill>
                  <w14:solidFill>
                    <w14:schemeClr w14:val="tx1"/>
                  </w14:solidFill>
                </w14:textFill>
              </w:rPr>
              <w:t>检测</w:t>
            </w:r>
            <w:r>
              <w:rPr>
                <w:rFonts w:hint="eastAsia" w:ascii="宋体" w:hAnsi="宋体" w:eastAsia="宋体" w:cs="宋体"/>
                <w:color w:val="000000" w:themeColor="text1"/>
                <w:kern w:val="0"/>
                <w:sz w:val="24"/>
                <w:szCs w:val="24"/>
                <w14:textFill>
                  <w14:solidFill>
                    <w14:schemeClr w14:val="tx1"/>
                  </w14:solidFill>
                </w14:textFill>
              </w:rPr>
              <w:t>日志，同时允许手动、自动更新危险网站黑名单及信任网站白名单。</w:t>
            </w:r>
          </w:p>
          <w:p w14:paraId="20AB4BBD">
            <w:pPr>
              <w:numPr>
                <w:ilvl w:val="0"/>
                <w:numId w:val="15"/>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系统应支持网站群体检功能，提供危险项目、安全项目、其他项目的系统体检、并可以在体检结果后直接对结果进行处理操作。</w:t>
            </w:r>
          </w:p>
          <w:p w14:paraId="4336411B">
            <w:pPr>
              <w:numPr>
                <w:ilvl w:val="0"/>
                <w:numId w:val="15"/>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在用户登录和信息传递过程中，系统支持外部SSL协议对用户名和密码的传输进行加密，保证关键信息的通信保密性。</w:t>
            </w:r>
          </w:p>
        </w:tc>
      </w:tr>
      <w:tr w14:paraId="4C702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428CC69E">
            <w:pPr>
              <w:numPr>
                <w:ilvl w:val="0"/>
                <w:numId w:val="1"/>
              </w:numPr>
              <w:wordWrap w:val="0"/>
              <w:spacing w:line="360" w:lineRule="auto"/>
              <w:ind w:left="0"/>
              <w:jc w:val="right"/>
              <w:rPr>
                <w:rFonts w:hint="eastAsia" w:ascii="宋体" w:hAnsi="宋体" w:eastAsia="宋体" w:cs="宋体"/>
                <w:color w:val="000000" w:themeColor="text1"/>
                <w:kern w:val="0"/>
                <w:sz w:val="24"/>
                <w:szCs w:val="24"/>
                <w14:textFill>
                  <w14:solidFill>
                    <w14:schemeClr w14:val="tx1"/>
                  </w14:solidFill>
                </w14:textFill>
              </w:rPr>
            </w:pPr>
          </w:p>
        </w:tc>
        <w:tc>
          <w:tcPr>
            <w:tcW w:w="1339" w:type="dxa"/>
            <w:vAlign w:val="center"/>
          </w:tcPr>
          <w:p w14:paraId="2DAC79BC">
            <w:pPr>
              <w:wordWrap w:val="0"/>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应用开放平台</w:t>
            </w:r>
          </w:p>
        </w:tc>
        <w:tc>
          <w:tcPr>
            <w:tcW w:w="7589" w:type="dxa"/>
            <w:vAlign w:val="center"/>
          </w:tcPr>
          <w:p w14:paraId="4CC6EF12">
            <w:pPr>
              <w:numPr>
                <w:ilvl w:val="0"/>
                <w:numId w:val="16"/>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应用管理系统能够与网站群无缝集成，实现网站与动态应用的动静分离。</w:t>
            </w:r>
          </w:p>
          <w:p w14:paraId="06CE7436">
            <w:pPr>
              <w:numPr>
                <w:ilvl w:val="0"/>
                <w:numId w:val="16"/>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系统需支持动态</w:t>
            </w:r>
            <w:r>
              <w:rPr>
                <w:rFonts w:ascii="宋体" w:hAnsi="宋体" w:eastAsia="宋体" w:cs="宋体"/>
                <w:color w:val="000000" w:themeColor="text1"/>
                <w:kern w:val="0"/>
                <w:sz w:val="24"/>
                <w:szCs w:val="24"/>
                <w14:textFill>
                  <w14:solidFill>
                    <w14:schemeClr w14:val="tx1"/>
                  </w14:solidFill>
                </w14:textFill>
              </w:rPr>
              <w:t>应用</w:t>
            </w:r>
            <w:r>
              <w:rPr>
                <w:rFonts w:hint="eastAsia" w:ascii="宋体" w:hAnsi="宋体" w:eastAsia="宋体" w:cs="宋体"/>
                <w:color w:val="000000" w:themeColor="text1"/>
                <w:kern w:val="0"/>
                <w:sz w:val="24"/>
                <w:szCs w:val="24"/>
                <w14:textFill>
                  <w14:solidFill>
                    <w14:schemeClr w14:val="tx1"/>
                  </w14:solidFill>
                </w14:textFill>
              </w:rPr>
              <w:t>主动</w:t>
            </w:r>
            <w:r>
              <w:rPr>
                <w:rFonts w:ascii="宋体" w:hAnsi="宋体" w:eastAsia="宋体" w:cs="宋体"/>
                <w:color w:val="000000" w:themeColor="text1"/>
                <w:kern w:val="0"/>
                <w:sz w:val="24"/>
                <w:szCs w:val="24"/>
                <w14:textFill>
                  <w14:solidFill>
                    <w14:schemeClr w14:val="tx1"/>
                  </w14:solidFill>
                </w14:textFill>
              </w:rPr>
              <w:t>申请</w:t>
            </w:r>
            <w:r>
              <w:rPr>
                <w:rFonts w:hint="eastAsia" w:ascii="宋体" w:hAnsi="宋体" w:eastAsia="宋体" w:cs="宋体"/>
                <w:color w:val="000000" w:themeColor="text1"/>
                <w:kern w:val="0"/>
                <w:sz w:val="24"/>
                <w:szCs w:val="24"/>
                <w14:textFill>
                  <w14:solidFill>
                    <w14:schemeClr w14:val="tx1"/>
                  </w14:solidFill>
                </w14:textFill>
              </w:rPr>
              <w:t>，系统当中可展示目前站点使用过和正在使用的全部应用，支持应用搜索查询，可点击查看应用详情</w:t>
            </w:r>
            <w:r>
              <w:rPr>
                <w:rFonts w:ascii="宋体" w:hAnsi="宋体" w:eastAsia="宋体" w:cs="宋体"/>
                <w:color w:val="000000" w:themeColor="text1"/>
                <w:kern w:val="0"/>
                <w:sz w:val="24"/>
                <w:szCs w:val="24"/>
                <w14:textFill>
                  <w14:solidFill>
                    <w14:schemeClr w14:val="tx1"/>
                  </w14:solidFill>
                </w14:textFill>
              </w:rPr>
              <w:t>。点击应用</w:t>
            </w:r>
            <w:r>
              <w:rPr>
                <w:rFonts w:hint="eastAsia" w:ascii="宋体" w:hAnsi="宋体" w:eastAsia="宋体" w:cs="宋体"/>
                <w:color w:val="000000" w:themeColor="text1"/>
                <w:kern w:val="0"/>
                <w:sz w:val="24"/>
                <w:szCs w:val="24"/>
                <w14:textFill>
                  <w14:solidFill>
                    <w14:schemeClr w14:val="tx1"/>
                  </w14:solidFill>
                </w14:textFill>
              </w:rPr>
              <w:t>申请</w:t>
            </w:r>
            <w:r>
              <w:rPr>
                <w:rFonts w:ascii="宋体" w:hAnsi="宋体" w:eastAsia="宋体" w:cs="宋体"/>
                <w:color w:val="000000" w:themeColor="text1"/>
                <w:kern w:val="0"/>
                <w:sz w:val="24"/>
                <w:szCs w:val="24"/>
                <w14:textFill>
                  <w14:solidFill>
                    <w14:schemeClr w14:val="tx1"/>
                  </w14:solidFill>
                </w14:textFill>
              </w:rPr>
              <w:t>，填写申请原因，提交等待系统端审批。</w:t>
            </w:r>
          </w:p>
          <w:p w14:paraId="591E0AA3">
            <w:pPr>
              <w:numPr>
                <w:ilvl w:val="0"/>
                <w:numId w:val="16"/>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ascii="宋体" w:hAnsi="宋体" w:eastAsia="宋体" w:cs="宋体"/>
                <w:color w:val="000000" w:themeColor="text1"/>
                <w:kern w:val="0"/>
                <w:sz w:val="24"/>
                <w:szCs w:val="24"/>
                <w14:textFill>
                  <w14:solidFill>
                    <w14:schemeClr w14:val="tx1"/>
                  </w14:solidFill>
                </w14:textFill>
              </w:rPr>
              <w:t>系统</w:t>
            </w:r>
            <w:r>
              <w:rPr>
                <w:rFonts w:hint="eastAsia" w:ascii="宋体" w:hAnsi="宋体" w:eastAsia="宋体" w:cs="宋体"/>
                <w:color w:val="000000" w:themeColor="text1"/>
                <w:kern w:val="0"/>
                <w:sz w:val="24"/>
                <w:szCs w:val="24"/>
                <w14:textFill>
                  <w14:solidFill>
                    <w14:schemeClr w14:val="tx1"/>
                  </w14:solidFill>
                </w14:textFill>
              </w:rPr>
              <w:t>需</w:t>
            </w:r>
            <w:r>
              <w:rPr>
                <w:rFonts w:ascii="宋体" w:hAnsi="宋体" w:eastAsia="宋体" w:cs="宋体"/>
                <w:color w:val="000000" w:themeColor="text1"/>
                <w:kern w:val="0"/>
                <w:sz w:val="24"/>
                <w:szCs w:val="24"/>
                <w14:textFill>
                  <w14:solidFill>
                    <w14:schemeClr w14:val="tx1"/>
                  </w14:solidFill>
                </w14:textFill>
              </w:rPr>
              <w:t>提供多款内置应用</w:t>
            </w:r>
            <w:r>
              <w:rPr>
                <w:rFonts w:hint="eastAsia" w:ascii="宋体" w:hAnsi="宋体" w:eastAsia="宋体" w:cs="宋体"/>
                <w:color w:val="000000" w:themeColor="text1"/>
                <w:kern w:val="0"/>
                <w:sz w:val="24"/>
                <w:szCs w:val="24"/>
                <w14:textFill>
                  <w14:solidFill>
                    <w14:schemeClr w14:val="tx1"/>
                  </w14:solidFill>
                </w14:textFill>
              </w:rPr>
              <w:t>，至少包含自定义表单、问卷调研、留言板</w:t>
            </w:r>
            <w:r>
              <w:rPr>
                <w:rFonts w:ascii="宋体" w:hAnsi="宋体" w:eastAsia="宋体" w:cs="宋体"/>
                <w:color w:val="000000" w:themeColor="text1"/>
                <w:kern w:val="0"/>
                <w:sz w:val="24"/>
                <w:szCs w:val="24"/>
                <w14:textFill>
                  <w14:solidFill>
                    <w14:schemeClr w14:val="tx1"/>
                  </w14:solidFill>
                </w14:textFill>
              </w:rPr>
              <w:t>，</w:t>
            </w:r>
            <w:r>
              <w:rPr>
                <w:rFonts w:hint="eastAsia" w:ascii="宋体" w:hAnsi="宋体" w:eastAsia="宋体" w:cs="宋体"/>
                <w:color w:val="000000" w:themeColor="text1"/>
                <w:kern w:val="0"/>
                <w:sz w:val="24"/>
                <w:szCs w:val="24"/>
                <w14:textFill>
                  <w14:solidFill>
                    <w14:schemeClr w14:val="tx1"/>
                  </w14:solidFill>
                </w14:textFill>
              </w:rPr>
              <w:t>便于应用的可视化快速搭建</w:t>
            </w:r>
            <w:r>
              <w:rPr>
                <w:rFonts w:ascii="宋体" w:hAnsi="宋体" w:eastAsia="宋体" w:cs="宋体"/>
                <w:color w:val="000000" w:themeColor="text1"/>
                <w:kern w:val="0"/>
                <w:sz w:val="24"/>
                <w:szCs w:val="24"/>
                <w14:textFill>
                  <w14:solidFill>
                    <w14:schemeClr w14:val="tx1"/>
                  </w14:solidFill>
                </w14:textFill>
              </w:rPr>
              <w:t>。</w:t>
            </w:r>
          </w:p>
          <w:p w14:paraId="1E7A1479">
            <w:pPr>
              <w:numPr>
                <w:ilvl w:val="0"/>
                <w:numId w:val="16"/>
              </w:numPr>
              <w:wordWrap w:val="0"/>
              <w:adjustRightInd w:val="0"/>
              <w:snapToGrid w:val="0"/>
              <w:spacing w:line="360" w:lineRule="auto"/>
              <w:ind w:left="0"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▲系统需支持针对动态应用的一键关停，</w:t>
            </w:r>
            <w:r>
              <w:rPr>
                <w:rFonts w:ascii="宋体" w:hAnsi="宋体" w:eastAsia="宋体" w:cs="宋体"/>
                <w:color w:val="000000" w:themeColor="text1"/>
                <w:kern w:val="0"/>
                <w:sz w:val="24"/>
                <w:szCs w:val="24"/>
                <w14:textFill>
                  <w14:solidFill>
                    <w14:schemeClr w14:val="tx1"/>
                  </w14:solidFill>
                </w14:textFill>
              </w:rPr>
              <w:t>对该平台所有站点的所有应用的前端进行禁用</w:t>
            </w:r>
            <w:r>
              <w:rPr>
                <w:rFonts w:hint="eastAsia" w:ascii="宋体" w:hAnsi="宋体" w:eastAsia="宋体" w:cs="宋体"/>
                <w:color w:val="000000" w:themeColor="text1"/>
                <w:kern w:val="0"/>
                <w:sz w:val="24"/>
                <w:szCs w:val="24"/>
                <w14:textFill>
                  <w14:solidFill>
                    <w14:schemeClr w14:val="tx1"/>
                  </w14:solidFill>
                </w14:textFill>
              </w:rPr>
              <w:t>，</w:t>
            </w:r>
            <w:r>
              <w:rPr>
                <w:rFonts w:ascii="宋体" w:hAnsi="宋体" w:eastAsia="宋体" w:cs="宋体"/>
                <w:color w:val="000000" w:themeColor="text1"/>
                <w:kern w:val="0"/>
                <w:sz w:val="24"/>
                <w:szCs w:val="24"/>
                <w14:textFill>
                  <w14:solidFill>
                    <w14:schemeClr w14:val="tx1"/>
                  </w14:solidFill>
                </w14:textFill>
              </w:rPr>
              <w:t>且不影响网站群本身</w:t>
            </w:r>
            <w:r>
              <w:rPr>
                <w:rFonts w:hint="eastAsia" w:ascii="宋体" w:hAnsi="宋体" w:eastAsia="宋体" w:cs="宋体"/>
                <w:color w:val="000000" w:themeColor="text1"/>
                <w:kern w:val="0"/>
                <w:sz w:val="24"/>
                <w:szCs w:val="24"/>
                <w14:textFill>
                  <w14:solidFill>
                    <w14:schemeClr w14:val="tx1"/>
                  </w14:solidFill>
                </w14:textFill>
              </w:rPr>
              <w:t>静态</w:t>
            </w:r>
            <w:r>
              <w:rPr>
                <w:rFonts w:ascii="宋体" w:hAnsi="宋体" w:eastAsia="宋体" w:cs="宋体"/>
                <w:color w:val="000000" w:themeColor="text1"/>
                <w:kern w:val="0"/>
                <w:sz w:val="24"/>
                <w:szCs w:val="24"/>
                <w14:textFill>
                  <w14:solidFill>
                    <w14:schemeClr w14:val="tx1"/>
                  </w14:solidFill>
                </w14:textFill>
              </w:rPr>
              <w:t>信息发布与管理</w:t>
            </w:r>
            <w:r>
              <w:rPr>
                <w:rFonts w:hint="eastAsia" w:ascii="宋体" w:hAnsi="宋体" w:eastAsia="宋体" w:cs="宋体"/>
                <w:color w:val="000000" w:themeColor="text1"/>
                <w:kern w:val="0"/>
                <w:sz w:val="24"/>
                <w:szCs w:val="24"/>
                <w14:textFill>
                  <w14:solidFill>
                    <w14:schemeClr w14:val="tx1"/>
                  </w14:solidFill>
                </w14:textFill>
              </w:rPr>
              <w:t>，一键关停后，支持对动态应用一键启用</w:t>
            </w:r>
            <w:r>
              <w:rPr>
                <w:rFonts w:ascii="宋体" w:hAnsi="宋体" w:eastAsia="宋体" w:cs="宋体"/>
                <w:color w:val="000000" w:themeColor="text1"/>
                <w:kern w:val="0"/>
                <w:sz w:val="24"/>
                <w:szCs w:val="24"/>
                <w14:textFill>
                  <w14:solidFill>
                    <w14:schemeClr w14:val="tx1"/>
                  </w14:solidFill>
                </w14:textFill>
              </w:rPr>
              <w:t>。</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tc>
      </w:tr>
      <w:tr w14:paraId="32803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0569B388">
            <w:pPr>
              <w:numPr>
                <w:ilvl w:val="0"/>
                <w:numId w:val="1"/>
              </w:numPr>
              <w:wordWrap w:val="0"/>
              <w:spacing w:line="360" w:lineRule="auto"/>
              <w:ind w:left="0"/>
              <w:jc w:val="right"/>
              <w:rPr>
                <w:rFonts w:hint="eastAsia" w:ascii="宋体" w:hAnsi="宋体" w:eastAsia="宋体" w:cs="宋体"/>
                <w:color w:val="000000" w:themeColor="text1"/>
                <w:kern w:val="0"/>
                <w:sz w:val="24"/>
                <w:szCs w:val="24"/>
                <w14:textFill>
                  <w14:solidFill>
                    <w14:schemeClr w14:val="tx1"/>
                  </w14:solidFill>
                </w14:textFill>
              </w:rPr>
            </w:pPr>
          </w:p>
        </w:tc>
        <w:tc>
          <w:tcPr>
            <w:tcW w:w="1339" w:type="dxa"/>
            <w:vAlign w:val="center"/>
          </w:tcPr>
          <w:p w14:paraId="431921E0">
            <w:pPr>
              <w:wordWrap w:val="0"/>
              <w:spacing w:line="360" w:lineRule="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智能检索</w:t>
            </w:r>
          </w:p>
        </w:tc>
        <w:tc>
          <w:tcPr>
            <w:tcW w:w="7589" w:type="dxa"/>
            <w:vAlign w:val="center"/>
          </w:tcPr>
          <w:p w14:paraId="3635746E">
            <w:pPr>
              <w:pStyle w:val="21"/>
              <w:numPr>
                <w:ilvl w:val="0"/>
                <w:numId w:val="17"/>
              </w:numPr>
              <w:wordWrap w:val="0"/>
              <w:adjustRightInd w:val="0"/>
              <w:snapToGrid w:val="0"/>
              <w:ind w:left="0" w:firstLine="480" w:firstLineChars="200"/>
              <w:rPr>
                <w:rFonts w:hint="eastAsia" w:cs="宋体"/>
                <w:color w:val="000000" w:themeColor="text1"/>
                <w:kern w:val="0"/>
                <w:szCs w:val="24"/>
                <w14:textFill>
                  <w14:solidFill>
                    <w14:schemeClr w14:val="tx1"/>
                  </w14:solidFill>
                </w14:textFill>
              </w:rPr>
            </w:pPr>
            <w:r>
              <w:rPr>
                <w:rFonts w:hint="eastAsia" w:cs="宋体"/>
                <w:color w:val="000000" w:themeColor="text1"/>
                <w:kern w:val="0"/>
                <w:szCs w:val="24"/>
                <w14:textFill>
                  <w14:solidFill>
                    <w14:schemeClr w14:val="tx1"/>
                  </w14:solidFill>
                </w14:textFill>
              </w:rPr>
              <w:t>系统需要支持跨网站搜索，搜索模式需要实现模糊搜索、目录搜索、全文搜索，有效提升搜索精准度。在前端网站搜索时，需要实现搜索输入提示、搜索结果分类展示，最终展现结果可配置模板。</w:t>
            </w:r>
          </w:p>
          <w:p w14:paraId="3BC06293">
            <w:pPr>
              <w:pStyle w:val="21"/>
              <w:numPr>
                <w:ilvl w:val="0"/>
                <w:numId w:val="17"/>
              </w:numPr>
              <w:wordWrap w:val="0"/>
              <w:adjustRightInd w:val="0"/>
              <w:snapToGrid w:val="0"/>
              <w:ind w:left="0" w:firstLine="480" w:firstLineChars="200"/>
              <w:rPr>
                <w:rFonts w:hint="eastAsia" w:cs="宋体"/>
                <w:color w:val="000000" w:themeColor="text1"/>
                <w:kern w:val="0"/>
                <w:szCs w:val="24"/>
                <w14:textFill>
                  <w14:solidFill>
                    <w14:schemeClr w14:val="tx1"/>
                  </w14:solidFill>
                </w14:textFill>
              </w:rPr>
            </w:pPr>
            <w:r>
              <w:rPr>
                <w:rFonts w:hint="eastAsia" w:cs="宋体"/>
                <w:color w:val="000000" w:themeColor="text1"/>
                <w:kern w:val="0"/>
                <w:szCs w:val="24"/>
                <w14:textFill>
                  <w14:solidFill>
                    <w14:schemeClr w14:val="tx1"/>
                  </w14:solidFill>
                </w14:textFill>
              </w:rPr>
              <w:t>针对搜索范围，平台需要支持站群搜索、单独站点搜索，可自由切换站点查看对应搜索结果，提升了搜索深度与范围。</w:t>
            </w:r>
          </w:p>
          <w:p w14:paraId="318F4DBA">
            <w:pPr>
              <w:pStyle w:val="21"/>
              <w:numPr>
                <w:ilvl w:val="0"/>
                <w:numId w:val="17"/>
              </w:numPr>
              <w:wordWrap w:val="0"/>
              <w:adjustRightInd w:val="0"/>
              <w:snapToGrid w:val="0"/>
              <w:ind w:left="0" w:firstLine="480" w:firstLineChars="200"/>
              <w:rPr>
                <w:rFonts w:hint="eastAsia" w:cs="宋体"/>
                <w:color w:val="000000" w:themeColor="text1"/>
                <w:kern w:val="0"/>
                <w:szCs w:val="24"/>
                <w14:textFill>
                  <w14:solidFill>
                    <w14:schemeClr w14:val="tx1"/>
                  </w14:solidFill>
                </w14:textFill>
              </w:rPr>
            </w:pPr>
            <w:r>
              <w:rPr>
                <w:rFonts w:hint="eastAsia" w:cs="宋体"/>
                <w:color w:val="000000" w:themeColor="text1"/>
                <w:kern w:val="0"/>
                <w:szCs w:val="24"/>
                <w14:textFill>
                  <w14:solidFill>
                    <w14:schemeClr w14:val="tx1"/>
                  </w14:solidFill>
                </w14:textFill>
              </w:rPr>
              <w:t>搜索结果需配置自定义排序、统计分析等。</w:t>
            </w:r>
          </w:p>
          <w:p w14:paraId="61A5A5BF">
            <w:pPr>
              <w:pStyle w:val="21"/>
              <w:numPr>
                <w:ilvl w:val="0"/>
                <w:numId w:val="17"/>
              </w:numPr>
              <w:wordWrap w:val="0"/>
              <w:adjustRightInd w:val="0"/>
              <w:snapToGrid w:val="0"/>
              <w:ind w:left="0" w:firstLine="480" w:firstLineChars="200"/>
              <w:rPr>
                <w:rFonts w:hint="eastAsia" w:cs="宋体"/>
                <w:color w:val="000000" w:themeColor="text1"/>
                <w:kern w:val="0"/>
                <w:szCs w:val="24"/>
                <w14:textFill>
                  <w14:solidFill>
                    <w14:schemeClr w14:val="tx1"/>
                  </w14:solidFill>
                </w14:textFill>
              </w:rPr>
            </w:pPr>
            <w:r>
              <w:rPr>
                <w:rFonts w:hint="eastAsia" w:cs="宋体"/>
                <w:color w:val="000000" w:themeColor="text1"/>
                <w:kern w:val="0"/>
                <w:szCs w:val="24"/>
                <w14:textFill>
                  <w14:solidFill>
                    <w14:schemeClr w14:val="tx1"/>
                  </w14:solidFill>
                </w14:textFill>
              </w:rPr>
              <w:t>系统需要针对特定搜索结果进行二次检索，达到数据级的相关关联，为用户提供精准的智能推荐。</w:t>
            </w:r>
          </w:p>
          <w:p w14:paraId="2AD46DAD">
            <w:pPr>
              <w:pStyle w:val="21"/>
              <w:numPr>
                <w:ilvl w:val="0"/>
                <w:numId w:val="17"/>
              </w:numPr>
              <w:wordWrap w:val="0"/>
              <w:adjustRightInd w:val="0"/>
              <w:snapToGrid w:val="0"/>
              <w:ind w:left="0" w:firstLine="480" w:firstLineChars="200"/>
              <w:rPr>
                <w:rFonts w:hint="eastAsia" w:cs="宋体"/>
                <w:color w:val="000000" w:themeColor="text1"/>
                <w:kern w:val="0"/>
                <w:szCs w:val="24"/>
                <w14:textFill>
                  <w14:solidFill>
                    <w14:schemeClr w14:val="tx1"/>
                  </w14:solidFill>
                </w14:textFill>
              </w:rPr>
            </w:pPr>
            <w:r>
              <w:rPr>
                <w:rFonts w:hint="eastAsia" w:cs="宋体"/>
                <w:color w:val="000000" w:themeColor="text1"/>
                <w:kern w:val="0"/>
                <w:szCs w:val="24"/>
                <w14:textFill>
                  <w14:solidFill>
                    <w14:schemeClr w14:val="tx1"/>
                  </w14:solidFill>
                </w14:textFill>
              </w:rPr>
              <w:t>系统需要提供搜索关键词推荐搜索等功能；系统自带搜索词库，可自定义热词排序，特定热词分类；系统支持智能引导、智能分词、智能推荐，智能推荐搜索词汇，构建了智能化的主动搜索环境。</w:t>
            </w:r>
          </w:p>
        </w:tc>
      </w:tr>
      <w:tr w14:paraId="28693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3110F908">
            <w:pPr>
              <w:numPr>
                <w:ilvl w:val="0"/>
                <w:numId w:val="1"/>
              </w:numPr>
              <w:wordWrap w:val="0"/>
              <w:spacing w:line="360" w:lineRule="auto"/>
              <w:ind w:left="0"/>
              <w:jc w:val="right"/>
              <w:rPr>
                <w:rFonts w:hint="eastAsia" w:ascii="宋体" w:hAnsi="宋体" w:eastAsia="宋体" w:cs="宋体"/>
                <w:color w:val="000000" w:themeColor="text1"/>
                <w:kern w:val="0"/>
                <w:sz w:val="24"/>
                <w:szCs w:val="24"/>
                <w14:textFill>
                  <w14:solidFill>
                    <w14:schemeClr w14:val="tx1"/>
                  </w14:solidFill>
                </w14:textFill>
              </w:rPr>
            </w:pPr>
          </w:p>
        </w:tc>
        <w:tc>
          <w:tcPr>
            <w:tcW w:w="1339" w:type="dxa"/>
            <w:vAlign w:val="center"/>
          </w:tcPr>
          <w:p w14:paraId="3F1536BC">
            <w:pPr>
              <w:wordWrap w:val="0"/>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响应式定制建站定制</w:t>
            </w:r>
          </w:p>
        </w:tc>
        <w:tc>
          <w:tcPr>
            <w:tcW w:w="7589" w:type="dxa"/>
            <w:vAlign w:val="center"/>
          </w:tcPr>
          <w:p w14:paraId="5140CB8A">
            <w:pPr>
              <w:pStyle w:val="21"/>
              <w:numPr>
                <w:ilvl w:val="0"/>
                <w:numId w:val="0"/>
              </w:numPr>
              <w:wordWrap w:val="0"/>
              <w:adjustRightInd w:val="0"/>
              <w:snapToGrid w:val="0"/>
              <w:rPr>
                <w:rFonts w:hint="eastAsia" w:cs="宋体"/>
                <w:color w:val="000000" w:themeColor="text1"/>
                <w:kern w:val="0"/>
                <w:szCs w:val="24"/>
                <w14:textFill>
                  <w14:solidFill>
                    <w14:schemeClr w14:val="tx1"/>
                  </w14:solidFill>
                </w14:textFill>
              </w:rPr>
            </w:pPr>
            <w:r>
              <w:rPr>
                <w:rFonts w:hint="eastAsia" w:cs="宋体"/>
                <w:color w:val="000000" w:themeColor="text1"/>
                <w:kern w:val="0"/>
                <w:szCs w:val="24"/>
                <w:lang w:val="en-US" w:eastAsia="zh-CN"/>
                <w14:textFill>
                  <w14:solidFill>
                    <w14:schemeClr w14:val="tx1"/>
                  </w14:solidFill>
                </w14:textFill>
              </w:rPr>
              <w:t>供应商需</w:t>
            </w:r>
            <w:r>
              <w:rPr>
                <w:rFonts w:hint="eastAsia" w:cs="宋体"/>
                <w:color w:val="000000" w:themeColor="text1"/>
                <w:kern w:val="0"/>
                <w:szCs w:val="24"/>
                <w14:textFill>
                  <w14:solidFill>
                    <w14:schemeClr w14:val="tx1"/>
                  </w14:solidFill>
                </w14:textFill>
              </w:rPr>
              <w:t>提供响应式定制建站定制，包括网页定制设计（含首页页面、栏目页面、内容页面、网站图片等）、栏目框架搭建（首页栏目、一级栏目、子栏目等）、页面响应式裁切及效果测试、网站功能及组件实施、文章源建设、栏目资料对接等。并</w:t>
            </w:r>
            <w:r>
              <w:rPr>
                <w:rFonts w:hint="eastAsia" w:cs="宋体"/>
                <w:color w:val="000000" w:themeColor="text1"/>
                <w:kern w:val="0"/>
                <w:szCs w:val="24"/>
                <w:lang w:val="en-US" w:eastAsia="zh-CN"/>
                <w14:textFill>
                  <w14:solidFill>
                    <w14:schemeClr w14:val="tx1"/>
                  </w14:solidFill>
                </w14:textFill>
              </w:rPr>
              <w:t>需</w:t>
            </w:r>
            <w:r>
              <w:rPr>
                <w:rFonts w:hint="eastAsia" w:cs="宋体"/>
                <w:color w:val="000000" w:themeColor="text1"/>
                <w:kern w:val="0"/>
                <w:szCs w:val="24"/>
                <w14:textFill>
                  <w14:solidFill>
                    <w14:schemeClr w14:val="tx1"/>
                  </w14:solidFill>
                </w14:textFill>
              </w:rPr>
              <w:t>在不同分辨率下对网站页面整体进行优化调整，呈现响应式定制设计网站。</w:t>
            </w:r>
          </w:p>
        </w:tc>
      </w:tr>
      <w:tr w14:paraId="73412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620F3327">
            <w:pPr>
              <w:numPr>
                <w:ilvl w:val="0"/>
                <w:numId w:val="1"/>
              </w:numPr>
              <w:wordWrap w:val="0"/>
              <w:spacing w:line="360" w:lineRule="auto"/>
              <w:ind w:left="0"/>
              <w:jc w:val="right"/>
              <w:rPr>
                <w:rFonts w:hint="eastAsia" w:ascii="宋体" w:hAnsi="宋体" w:eastAsia="宋体" w:cs="宋体"/>
                <w:color w:val="000000" w:themeColor="text1"/>
                <w:kern w:val="0"/>
                <w:sz w:val="24"/>
                <w:szCs w:val="24"/>
                <w14:textFill>
                  <w14:solidFill>
                    <w14:schemeClr w14:val="tx1"/>
                  </w14:solidFill>
                </w14:textFill>
              </w:rPr>
            </w:pPr>
          </w:p>
        </w:tc>
        <w:tc>
          <w:tcPr>
            <w:tcW w:w="1339" w:type="dxa"/>
            <w:vAlign w:val="center"/>
          </w:tcPr>
          <w:p w14:paraId="2F72BE1B">
            <w:pPr>
              <w:wordWrap w:val="0"/>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子站站点建设</w:t>
            </w:r>
          </w:p>
        </w:tc>
        <w:tc>
          <w:tcPr>
            <w:tcW w:w="7589" w:type="dxa"/>
            <w:vAlign w:val="center"/>
          </w:tcPr>
          <w:p w14:paraId="3037B471">
            <w:pPr>
              <w:pStyle w:val="21"/>
              <w:numPr>
                <w:ilvl w:val="0"/>
                <w:numId w:val="0"/>
              </w:numPr>
              <w:wordWrap w:val="0"/>
              <w:adjustRightInd w:val="0"/>
              <w:snapToGrid w:val="0"/>
              <w:rPr>
                <w:rFonts w:hint="eastAsia" w:cs="宋体"/>
                <w:color w:val="000000" w:themeColor="text1"/>
                <w:kern w:val="0"/>
                <w:szCs w:val="24"/>
                <w14:textFill>
                  <w14:solidFill>
                    <w14:schemeClr w14:val="tx1"/>
                  </w14:solidFill>
                </w14:textFill>
              </w:rPr>
            </w:pPr>
            <w:r>
              <w:rPr>
                <w:rFonts w:hint="eastAsia" w:cs="宋体"/>
                <w:color w:val="000000" w:themeColor="text1"/>
                <w:kern w:val="0"/>
                <w:szCs w:val="24"/>
                <w:lang w:val="en-US" w:eastAsia="zh-CN"/>
                <w14:textFill>
                  <w14:solidFill>
                    <w14:schemeClr w14:val="tx1"/>
                  </w14:solidFill>
                </w14:textFill>
              </w:rPr>
              <w:t>供应商需</w:t>
            </w:r>
            <w:r>
              <w:rPr>
                <w:rFonts w:hint="eastAsia" w:cs="宋体"/>
                <w:color w:val="000000" w:themeColor="text1"/>
                <w:kern w:val="0"/>
                <w:szCs w:val="24"/>
                <w14:textFill>
                  <w14:solidFill>
                    <w14:schemeClr w14:val="tx1"/>
                  </w14:solidFill>
                </w14:textFill>
              </w:rPr>
              <w:t>提供响应式定制建站或PC+手机定制，包括网页定制设计（含首页页面、栏目页面、内容页面、网站图片等）、栏目框架搭建（首页栏目、一级栏目、子栏目等）、页面响应式裁切及效果测试、网站功能及组件实施、文章源建设、栏目资料对接等。并</w:t>
            </w:r>
            <w:r>
              <w:rPr>
                <w:rFonts w:hint="eastAsia" w:cs="宋体"/>
                <w:color w:val="000000" w:themeColor="text1"/>
                <w:kern w:val="0"/>
                <w:szCs w:val="24"/>
                <w:lang w:val="en-US" w:eastAsia="zh-CN"/>
                <w14:textFill>
                  <w14:solidFill>
                    <w14:schemeClr w14:val="tx1"/>
                  </w14:solidFill>
                </w14:textFill>
              </w:rPr>
              <w:t>需</w:t>
            </w:r>
            <w:r>
              <w:rPr>
                <w:rFonts w:hint="eastAsia" w:cs="宋体"/>
                <w:color w:val="000000" w:themeColor="text1"/>
                <w:kern w:val="0"/>
                <w:szCs w:val="24"/>
                <w14:textFill>
                  <w14:solidFill>
                    <w14:schemeClr w14:val="tx1"/>
                  </w14:solidFill>
                </w14:textFill>
              </w:rPr>
              <w:t>在不同分辨率下对网站页面整体进行优化调整，呈现响应式定制设计网站。</w:t>
            </w:r>
          </w:p>
        </w:tc>
      </w:tr>
      <w:tr w14:paraId="15632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6ADB94CC">
            <w:pPr>
              <w:numPr>
                <w:ilvl w:val="0"/>
                <w:numId w:val="1"/>
              </w:numPr>
              <w:spacing w:line="360" w:lineRule="auto"/>
              <w:ind w:left="0"/>
              <w:jc w:val="right"/>
              <w:rPr>
                <w:rFonts w:hint="eastAsia" w:ascii="宋体" w:hAnsi="宋体" w:eastAsia="宋体" w:cs="宋体"/>
                <w:color w:val="000000" w:themeColor="text1"/>
                <w:kern w:val="0"/>
                <w:sz w:val="24"/>
                <w:szCs w:val="24"/>
                <w14:textFill>
                  <w14:solidFill>
                    <w14:schemeClr w14:val="tx1"/>
                  </w14:solidFill>
                </w14:textFill>
              </w:rPr>
            </w:pPr>
          </w:p>
        </w:tc>
        <w:tc>
          <w:tcPr>
            <w:tcW w:w="1339" w:type="dxa"/>
            <w:vAlign w:val="center"/>
          </w:tcPr>
          <w:p w14:paraId="05CCA30E">
            <w:pPr>
              <w:wordWrap w:val="0"/>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售后服务</w:t>
            </w:r>
          </w:p>
        </w:tc>
        <w:tc>
          <w:tcPr>
            <w:tcW w:w="7589" w:type="dxa"/>
            <w:vAlign w:val="center"/>
          </w:tcPr>
          <w:p w14:paraId="12362CEF">
            <w:pPr>
              <w:pStyle w:val="21"/>
              <w:numPr>
                <w:ilvl w:val="0"/>
                <w:numId w:val="18"/>
              </w:numPr>
              <w:wordWrap w:val="0"/>
              <w:adjustRightInd w:val="0"/>
              <w:snapToGrid w:val="0"/>
              <w:ind w:left="0" w:firstLine="480" w:firstLineChars="200"/>
              <w:rPr>
                <w:rFonts w:hint="eastAsia" w:cs="宋体"/>
                <w:color w:val="000000" w:themeColor="text1"/>
                <w:kern w:val="0"/>
                <w:szCs w:val="24"/>
                <w14:textFill>
                  <w14:solidFill>
                    <w14:schemeClr w14:val="tx1"/>
                  </w14:solidFill>
                </w14:textFill>
              </w:rPr>
            </w:pPr>
            <w:r>
              <w:rPr>
                <w:rFonts w:hint="eastAsia" w:cs="宋体"/>
                <w:color w:val="000000" w:themeColor="text1"/>
                <w:kern w:val="0"/>
                <w:szCs w:val="24"/>
                <w14:textFill>
                  <w14:solidFill>
                    <w14:schemeClr w14:val="tx1"/>
                  </w14:solidFill>
                </w14:textFill>
              </w:rPr>
              <w:t>从项目全面验收合格日起，厂商需要提供</w:t>
            </w:r>
            <w:r>
              <w:rPr>
                <w:rFonts w:hint="eastAsia" w:cs="宋体"/>
                <w:color w:val="000000" w:themeColor="text1"/>
                <w:kern w:val="0"/>
                <w:szCs w:val="24"/>
                <w:lang w:val="en-US" w:eastAsia="zh-CN"/>
                <w14:textFill>
                  <w14:solidFill>
                    <w14:schemeClr w14:val="tx1"/>
                  </w14:solidFill>
                </w14:textFill>
              </w:rPr>
              <w:t>2</w:t>
            </w:r>
            <w:r>
              <w:rPr>
                <w:rFonts w:hint="eastAsia" w:cs="宋体"/>
                <w:color w:val="000000" w:themeColor="text1"/>
                <w:kern w:val="0"/>
                <w:szCs w:val="24"/>
                <w14:textFill>
                  <w14:solidFill>
                    <w14:schemeClr w14:val="tx1"/>
                  </w14:solidFill>
                </w14:textFill>
              </w:rPr>
              <w:t>年的免费系统质保服务，包括问题处理、安全防护、培训服务。</w:t>
            </w:r>
          </w:p>
          <w:p w14:paraId="169809B5">
            <w:pPr>
              <w:pStyle w:val="21"/>
              <w:numPr>
                <w:ilvl w:val="0"/>
                <w:numId w:val="18"/>
              </w:numPr>
              <w:wordWrap w:val="0"/>
              <w:adjustRightInd w:val="0"/>
              <w:snapToGrid w:val="0"/>
              <w:ind w:left="0" w:firstLine="480" w:firstLineChars="200"/>
              <w:rPr>
                <w:rFonts w:hint="eastAsia" w:cs="宋体"/>
                <w:color w:val="000000" w:themeColor="text1"/>
                <w:kern w:val="0"/>
                <w:szCs w:val="24"/>
                <w14:textFill>
                  <w14:solidFill>
                    <w14:schemeClr w14:val="tx1"/>
                  </w14:solidFill>
                </w14:textFill>
              </w:rPr>
            </w:pPr>
            <w:r>
              <w:rPr>
                <w:rFonts w:hint="eastAsia" w:cs="宋体"/>
                <w:color w:val="000000" w:themeColor="text1"/>
                <w:kern w:val="0"/>
                <w:szCs w:val="24"/>
                <w14:textFill>
                  <w14:solidFill>
                    <w14:schemeClr w14:val="tx1"/>
                  </w14:solidFill>
                </w14:textFill>
              </w:rPr>
              <w:t>在系统质保期内，厂商应提供专业的技术支持工程师进行服务，技术支持工程师对用户的问题的响应时间不可超过30分钟。</w:t>
            </w:r>
          </w:p>
          <w:p w14:paraId="61B93261">
            <w:pPr>
              <w:pStyle w:val="21"/>
              <w:numPr>
                <w:ilvl w:val="0"/>
                <w:numId w:val="18"/>
              </w:numPr>
              <w:wordWrap w:val="0"/>
              <w:adjustRightInd w:val="0"/>
              <w:snapToGrid w:val="0"/>
              <w:ind w:left="0" w:firstLine="480" w:firstLineChars="200"/>
              <w:rPr>
                <w:rFonts w:hint="eastAsia" w:cs="宋体"/>
                <w:color w:val="000000" w:themeColor="text1"/>
                <w:kern w:val="0"/>
                <w:szCs w:val="24"/>
                <w14:textFill>
                  <w14:solidFill>
                    <w14:schemeClr w14:val="tx1"/>
                  </w14:solidFill>
                </w14:textFill>
              </w:rPr>
            </w:pPr>
            <w:r>
              <w:rPr>
                <w:rFonts w:hint="eastAsia" w:cs="宋体"/>
                <w:color w:val="000000" w:themeColor="text1"/>
                <w:kern w:val="0"/>
                <w:szCs w:val="24"/>
                <w14:textFill>
                  <w14:solidFill>
                    <w14:schemeClr w14:val="tx1"/>
                  </w14:solidFill>
                </w14:textFill>
              </w:rPr>
              <w:t>提供针对售后服务提供成熟的信息化客户服务系统，系统业务显示用户客户售后服务，实现客户问题处理的显性化跟踪处理，支持用户对历史服务内容进行满意度在线评价反馈。</w:t>
            </w:r>
          </w:p>
          <w:p w14:paraId="426E6D1F">
            <w:pPr>
              <w:pStyle w:val="21"/>
              <w:numPr>
                <w:ilvl w:val="0"/>
                <w:numId w:val="18"/>
              </w:numPr>
              <w:wordWrap w:val="0"/>
              <w:adjustRightInd w:val="0"/>
              <w:snapToGrid w:val="0"/>
              <w:ind w:left="0" w:firstLine="480" w:firstLineChars="200"/>
              <w:rPr>
                <w:rFonts w:hint="eastAsia" w:cs="宋体"/>
                <w:color w:val="000000" w:themeColor="text1"/>
                <w:kern w:val="0"/>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w:t>
            </w:r>
            <w:r>
              <w:rPr>
                <w:rFonts w:hint="eastAsia" w:cs="宋体"/>
                <w:color w:val="000000" w:themeColor="text1"/>
                <w:kern w:val="0"/>
                <w:szCs w:val="24"/>
                <w14:textFill>
                  <w14:solidFill>
                    <w14:schemeClr w14:val="tx1"/>
                  </w14:solidFill>
                </w14:textFill>
              </w:rPr>
              <w:t>提供服务小程序，解决服务入口统一的问题，小程序需要具备一键报修、报修任务查看等功能，能够在服务小程序上实现问题快速报修，支持语音、文字、图片方式进行问题反馈。同时集成网站群运行与管理的知识体系，满足使用者日常维护的处理操作查询需求。</w:t>
            </w:r>
            <w:r>
              <w:rPr>
                <w:rFonts w:hint="eastAsia" w:ascii="宋体" w:hAnsi="宋体" w:eastAsia="宋体" w:cs="宋体"/>
                <w:b/>
                <w:bCs/>
                <w:color w:val="000000" w:themeColor="text1"/>
                <w:kern w:val="0"/>
                <w:sz w:val="24"/>
                <w:szCs w:val="24"/>
                <w:lang w:eastAsia="zh-CN"/>
                <w14:textFill>
                  <w14:solidFill>
                    <w14:schemeClr w14:val="tx1"/>
                  </w14:solidFill>
                </w14:textFill>
              </w:rPr>
              <w:t>（</w:t>
            </w:r>
            <w:r>
              <w:rPr>
                <w:rFonts w:hint="eastAsia" w:ascii="宋体" w:hAnsi="宋体" w:eastAsia="宋体" w:cs="宋体"/>
                <w:b/>
                <w:bCs/>
                <w:color w:val="000000" w:themeColor="text1"/>
                <w:kern w:val="0"/>
                <w:sz w:val="24"/>
                <w:szCs w:val="24"/>
                <w:lang w:val="en-US" w:eastAsia="zh-CN"/>
                <w14:textFill>
                  <w14:solidFill>
                    <w14:schemeClr w14:val="tx1"/>
                  </w14:solidFill>
                </w14:textFill>
              </w:rPr>
              <w:t>提供真实环境下的系统功能截图证明</w:t>
            </w:r>
            <w:r>
              <w:rPr>
                <w:rFonts w:hint="eastAsia" w:ascii="宋体" w:hAnsi="宋体" w:eastAsia="宋体" w:cs="宋体"/>
                <w:b/>
                <w:bCs/>
                <w:color w:val="000000" w:themeColor="text1"/>
                <w:kern w:val="0"/>
                <w:sz w:val="24"/>
                <w:szCs w:val="24"/>
                <w:lang w:eastAsia="zh-CN"/>
                <w14:textFill>
                  <w14:solidFill>
                    <w14:schemeClr w14:val="tx1"/>
                  </w14:solidFill>
                </w14:textFill>
              </w:rPr>
              <w:t>）</w:t>
            </w:r>
          </w:p>
          <w:p w14:paraId="27FD760A">
            <w:pPr>
              <w:pStyle w:val="21"/>
              <w:numPr>
                <w:ilvl w:val="0"/>
                <w:numId w:val="0"/>
              </w:numPr>
              <w:wordWrap w:val="0"/>
              <w:adjustRightInd w:val="0"/>
              <w:snapToGrid w:val="0"/>
              <w:ind w:firstLine="482" w:firstLineChars="200"/>
              <w:rPr>
                <w:rFonts w:hint="default" w:cs="宋体"/>
                <w:color w:val="000000" w:themeColor="text1"/>
                <w:kern w:val="0"/>
                <w:szCs w:val="24"/>
                <w:lang w:val="en-US"/>
                <w14:textFill>
                  <w14:solidFill>
                    <w14:schemeClr w14:val="tx1"/>
                  </w14:solidFill>
                </w14:textFill>
              </w:rPr>
            </w:pPr>
            <w:r>
              <w:rPr>
                <w:rFonts w:hint="eastAsia" w:cs="宋体"/>
                <w:b/>
                <w:bCs/>
                <w:color w:val="000000" w:themeColor="text1"/>
                <w:kern w:val="0"/>
                <w:sz w:val="24"/>
                <w:szCs w:val="24"/>
                <w:lang w:val="en-US" w:eastAsia="zh-CN"/>
                <w14:textFill>
                  <w14:solidFill>
                    <w14:schemeClr w14:val="tx1"/>
                  </w14:solidFill>
                </w14:textFill>
              </w:rPr>
              <w:t>注：此次项目为确保售后服务得到及时的专业性响应和提供高质的原厂服务，此次投标厂商需提供原产品厂商的售后服务承诺函。</w:t>
            </w:r>
          </w:p>
        </w:tc>
      </w:tr>
      <w:tr w14:paraId="68BCB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46" w:type="dxa"/>
            <w:vAlign w:val="center"/>
          </w:tcPr>
          <w:p w14:paraId="00E2AD15">
            <w:pPr>
              <w:numPr>
                <w:ilvl w:val="0"/>
                <w:numId w:val="1"/>
              </w:numPr>
              <w:spacing w:line="360" w:lineRule="auto"/>
              <w:ind w:left="0"/>
              <w:jc w:val="right"/>
              <w:rPr>
                <w:rFonts w:hint="eastAsia" w:ascii="宋体" w:hAnsi="宋体" w:eastAsia="宋体" w:cs="宋体"/>
                <w:color w:val="000000" w:themeColor="text1"/>
                <w:kern w:val="0"/>
                <w:sz w:val="24"/>
                <w:szCs w:val="24"/>
                <w14:textFill>
                  <w14:solidFill>
                    <w14:schemeClr w14:val="tx1"/>
                  </w14:solidFill>
                </w14:textFill>
              </w:rPr>
            </w:pPr>
          </w:p>
        </w:tc>
        <w:tc>
          <w:tcPr>
            <w:tcW w:w="1339" w:type="dxa"/>
            <w:vAlign w:val="center"/>
          </w:tcPr>
          <w:p w14:paraId="0A70256C">
            <w:pPr>
              <w:wordWrap w:val="0"/>
              <w:spacing w:line="360" w:lineRule="auto"/>
              <w:jc w:val="center"/>
              <w:rPr>
                <w:rFonts w:hint="eastAsia" w:ascii="宋体" w:hAnsi="宋体" w:eastAsia="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000000" w:themeColor="text1"/>
                <w:kern w:val="0"/>
                <w:sz w:val="24"/>
                <w:szCs w:val="24"/>
                <w:lang w:val="en-US" w:eastAsia="zh-CN"/>
                <w14:textFill>
                  <w14:solidFill>
                    <w14:schemeClr w14:val="tx1"/>
                  </w14:solidFill>
                </w14:textFill>
              </w:rPr>
              <w:t>备注</w:t>
            </w:r>
          </w:p>
        </w:tc>
        <w:tc>
          <w:tcPr>
            <w:tcW w:w="7589" w:type="dxa"/>
            <w:vAlign w:val="center"/>
          </w:tcPr>
          <w:p w14:paraId="51819DFF">
            <w:pPr>
              <w:pStyle w:val="21"/>
              <w:numPr>
                <w:ilvl w:val="0"/>
                <w:numId w:val="19"/>
              </w:numPr>
              <w:wordWrap w:val="0"/>
              <w:adjustRightInd w:val="0"/>
              <w:snapToGrid w:val="0"/>
              <w:ind w:left="0" w:firstLine="480" w:firstLineChars="200"/>
              <w:rPr>
                <w:rFonts w:hint="default" w:cs="宋体"/>
                <w:color w:val="000000" w:themeColor="text1"/>
                <w:kern w:val="0"/>
                <w:szCs w:val="24"/>
                <w:lang w:val="en-US" w:eastAsia="zh-CN"/>
                <w14:textFill>
                  <w14:solidFill>
                    <w14:schemeClr w14:val="tx1"/>
                  </w14:solidFill>
                </w14:textFill>
              </w:rPr>
            </w:pPr>
            <w:r>
              <w:rPr>
                <w:rFonts w:hint="eastAsia" w:ascii="宋体" w:hAnsi="宋体" w:eastAsia="宋体" w:cs="宋体"/>
                <w:kern w:val="0"/>
                <w:sz w:val="24"/>
              </w:rPr>
              <w:t>为保障本次项目的建设安全符合国家要求，本项目所投</w:t>
            </w:r>
            <w:r>
              <w:rPr>
                <w:rFonts w:hint="eastAsia" w:cs="宋体"/>
                <w:kern w:val="0"/>
                <w:sz w:val="24"/>
                <w:lang w:val="en-US" w:eastAsia="zh-CN"/>
              </w:rPr>
              <w:t>产品</w:t>
            </w:r>
            <w:r>
              <w:rPr>
                <w:rFonts w:hint="eastAsia" w:ascii="宋体" w:hAnsi="宋体" w:eastAsia="宋体" w:cs="宋体"/>
                <w:kern w:val="0"/>
                <w:sz w:val="24"/>
              </w:rPr>
              <w:t>厂商须提供</w:t>
            </w:r>
            <w:r>
              <w:rPr>
                <w:rFonts w:hint="eastAsia" w:ascii="宋体" w:hAnsi="宋体" w:eastAsia="宋体" w:cs="宋体"/>
                <w:kern w:val="0"/>
                <w:sz w:val="24"/>
                <w:lang w:val="en-US" w:eastAsia="zh-CN"/>
              </w:rPr>
              <w:t>相关产品的安全评估报告</w:t>
            </w:r>
            <w:r>
              <w:rPr>
                <w:rFonts w:hint="eastAsia" w:ascii="宋体" w:hAnsi="宋体" w:eastAsia="宋体" w:cs="宋体"/>
                <w:kern w:val="0"/>
                <w:sz w:val="24"/>
              </w:rPr>
              <w:t>，报告内容必须至少包括等保合规性检查、渗透测试、源代码审计三项内容，提供并符合要求的相关报告复印件，并加盖公章</w:t>
            </w:r>
            <w:r>
              <w:rPr>
                <w:rFonts w:hint="eastAsia" w:ascii="宋体" w:hAnsi="宋体" w:eastAsia="宋体" w:cs="宋体"/>
                <w:kern w:val="0"/>
                <w:sz w:val="24"/>
                <w:lang w:eastAsia="zh-CN"/>
              </w:rPr>
              <w:t>。</w:t>
            </w:r>
          </w:p>
          <w:p w14:paraId="4C0B23E4">
            <w:pPr>
              <w:pStyle w:val="21"/>
              <w:numPr>
                <w:ilvl w:val="0"/>
                <w:numId w:val="19"/>
              </w:numPr>
              <w:wordWrap w:val="0"/>
              <w:adjustRightInd w:val="0"/>
              <w:snapToGrid w:val="0"/>
              <w:ind w:left="0" w:firstLine="480" w:firstLineChars="200"/>
              <w:rPr>
                <w:rFonts w:hint="default" w:cs="宋体"/>
                <w:color w:val="000000" w:themeColor="text1"/>
                <w:kern w:val="0"/>
                <w:szCs w:val="24"/>
                <w:lang w:val="en-US" w:eastAsia="zh-CN"/>
                <w14:textFill>
                  <w14:solidFill>
                    <w14:schemeClr w14:val="tx1"/>
                  </w14:solidFill>
                </w14:textFill>
              </w:rPr>
            </w:pPr>
            <w:r>
              <w:rPr>
                <w:rFonts w:hint="eastAsia" w:cs="宋体"/>
                <w:color w:val="000000" w:themeColor="text1"/>
                <w:kern w:val="0"/>
                <w:szCs w:val="24"/>
                <w:lang w:val="en-US" w:eastAsia="zh-CN"/>
                <w14:textFill>
                  <w14:solidFill>
                    <w14:schemeClr w14:val="tx1"/>
                  </w14:solidFill>
                </w14:textFill>
              </w:rPr>
              <w:t>为保障项目质量，中标供应商需在中标后两日内在采购人现场进行真实环境演示，如有技术指标要求不符，按虚假应标进行处理。</w:t>
            </w:r>
          </w:p>
        </w:tc>
      </w:tr>
    </w:tbl>
    <w:p w14:paraId="60F50F72">
      <w:pPr>
        <w:rPr>
          <w:rFonts w:hint="eastAsia" w:ascii="宋体" w:hAnsi="宋体" w:eastAsia="宋体"/>
          <w:color w:val="000000" w:themeColor="text1"/>
          <w:sz w:val="32"/>
          <w:szCs w:val="36"/>
          <w14:textFill>
            <w14:solidFill>
              <w14:schemeClr w14:val="tx1"/>
            </w14:solidFill>
          </w14:textFill>
        </w:rPr>
      </w:pPr>
    </w:p>
    <w:bookmarkEnd w:id="0"/>
    <w:p w14:paraId="66F7780C">
      <w:pPr>
        <w:pStyle w:val="4"/>
        <w:rPr>
          <w:rFonts w:hint="eastAsia"/>
          <w:color w:val="000000" w:themeColor="text1"/>
          <w14:textFill>
            <w14:solidFill>
              <w14:schemeClr w14:val="tx1"/>
            </w14:solidFill>
          </w14:textFill>
        </w:rPr>
      </w:pPr>
    </w:p>
    <w:sectPr>
      <w:footerReference r:id="rId3" w:type="default"/>
      <w:pgSz w:w="11906" w:h="16838"/>
      <w:pgMar w:top="1440" w:right="1440" w:bottom="1440" w:left="1440" w:header="851" w:footer="510"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27571472"/>
      <w:docPartObj>
        <w:docPartGallery w:val="autotext"/>
      </w:docPartObj>
    </w:sdtPr>
    <w:sdtContent>
      <w:sdt>
        <w:sdtPr>
          <w:id w:val="1728636285"/>
          <w:docPartObj>
            <w:docPartGallery w:val="autotext"/>
          </w:docPartObj>
        </w:sdtPr>
        <w:sdtContent>
          <w:p w14:paraId="4E12263B">
            <w:pPr>
              <w:pStyle w:val="5"/>
              <w:jc w:val="center"/>
              <w:rPr>
                <w:rFonts w:hint="eastAsia"/>
              </w:rP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lang w:val="zh-CN"/>
              </w:rPr>
              <w:t>2</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lang w:val="zh-CN"/>
              </w:rPr>
              <w:t>2</w:t>
            </w:r>
            <w:r>
              <w:rPr>
                <w:b/>
                <w:bCs/>
                <w:sz w:val="24"/>
                <w:szCs w:val="24"/>
              </w:rPr>
              <w:fldChar w:fldCharType="end"/>
            </w:r>
          </w:p>
        </w:sdtContent>
      </w:sdt>
    </w:sdtContent>
  </w:sdt>
  <w:p w14:paraId="4BF32C94">
    <w:pPr>
      <w:pStyle w:val="5"/>
      <w:rPr>
        <w:rFonts w:hint="eastAsia"/>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A5DC7D"/>
    <w:multiLevelType w:val="singleLevel"/>
    <w:tmpl w:val="A4A5DC7D"/>
    <w:lvl w:ilvl="0" w:tentative="0">
      <w:start w:val="1"/>
      <w:numFmt w:val="decimal"/>
      <w:lvlText w:val="(%1)"/>
      <w:lvlJc w:val="left"/>
      <w:pPr>
        <w:ind w:left="425" w:hanging="425"/>
      </w:pPr>
      <w:rPr>
        <w:rFonts w:hint="default"/>
      </w:rPr>
    </w:lvl>
  </w:abstractNum>
  <w:abstractNum w:abstractNumId="1">
    <w:nsid w:val="B1E58A98"/>
    <w:multiLevelType w:val="singleLevel"/>
    <w:tmpl w:val="B1E58A98"/>
    <w:lvl w:ilvl="0" w:tentative="0">
      <w:start w:val="1"/>
      <w:numFmt w:val="decimal"/>
      <w:lvlText w:val="(%1)"/>
      <w:lvlJc w:val="left"/>
      <w:pPr>
        <w:ind w:left="425" w:hanging="425"/>
      </w:pPr>
      <w:rPr>
        <w:rFonts w:hint="default"/>
      </w:rPr>
    </w:lvl>
  </w:abstractNum>
  <w:abstractNum w:abstractNumId="2">
    <w:nsid w:val="B9FFAFF6"/>
    <w:multiLevelType w:val="singleLevel"/>
    <w:tmpl w:val="B9FFAFF6"/>
    <w:lvl w:ilvl="0" w:tentative="0">
      <w:start w:val="1"/>
      <w:numFmt w:val="decimal"/>
      <w:lvlText w:val="(%1)"/>
      <w:lvlJc w:val="left"/>
      <w:pPr>
        <w:ind w:left="425" w:hanging="425"/>
      </w:pPr>
      <w:rPr>
        <w:rFonts w:hint="default"/>
      </w:rPr>
    </w:lvl>
  </w:abstractNum>
  <w:abstractNum w:abstractNumId="3">
    <w:nsid w:val="C6729D17"/>
    <w:multiLevelType w:val="singleLevel"/>
    <w:tmpl w:val="C6729D17"/>
    <w:lvl w:ilvl="0" w:tentative="0">
      <w:start w:val="1"/>
      <w:numFmt w:val="decimal"/>
      <w:lvlText w:val="(%1)"/>
      <w:lvlJc w:val="left"/>
      <w:pPr>
        <w:ind w:left="425" w:hanging="425"/>
      </w:pPr>
      <w:rPr>
        <w:rFonts w:hint="default"/>
      </w:rPr>
    </w:lvl>
  </w:abstractNum>
  <w:abstractNum w:abstractNumId="4">
    <w:nsid w:val="D40F0D9F"/>
    <w:multiLevelType w:val="singleLevel"/>
    <w:tmpl w:val="D40F0D9F"/>
    <w:lvl w:ilvl="0" w:tentative="0">
      <w:start w:val="1"/>
      <w:numFmt w:val="decimal"/>
      <w:lvlText w:val="(%1)"/>
      <w:lvlJc w:val="left"/>
      <w:pPr>
        <w:ind w:left="425" w:hanging="425"/>
      </w:pPr>
      <w:rPr>
        <w:rFonts w:hint="default"/>
      </w:rPr>
    </w:lvl>
  </w:abstractNum>
  <w:abstractNum w:abstractNumId="5">
    <w:nsid w:val="FA1EF1EE"/>
    <w:multiLevelType w:val="singleLevel"/>
    <w:tmpl w:val="FA1EF1EE"/>
    <w:lvl w:ilvl="0" w:tentative="0">
      <w:start w:val="1"/>
      <w:numFmt w:val="decimal"/>
      <w:lvlText w:val="(%1)"/>
      <w:lvlJc w:val="left"/>
      <w:pPr>
        <w:ind w:left="425" w:hanging="425"/>
      </w:pPr>
      <w:rPr>
        <w:rFonts w:hint="default"/>
      </w:rPr>
    </w:lvl>
  </w:abstractNum>
  <w:abstractNum w:abstractNumId="6">
    <w:nsid w:val="1A36BD0D"/>
    <w:multiLevelType w:val="singleLevel"/>
    <w:tmpl w:val="1A36BD0D"/>
    <w:lvl w:ilvl="0" w:tentative="0">
      <w:start w:val="1"/>
      <w:numFmt w:val="decimal"/>
      <w:lvlText w:val="%1."/>
      <w:lvlJc w:val="left"/>
      <w:pPr>
        <w:ind w:left="425" w:hanging="425"/>
      </w:pPr>
      <w:rPr>
        <w:rFonts w:hint="default"/>
      </w:rPr>
    </w:lvl>
  </w:abstractNum>
  <w:abstractNum w:abstractNumId="7">
    <w:nsid w:val="1F8279EC"/>
    <w:multiLevelType w:val="singleLevel"/>
    <w:tmpl w:val="1F8279EC"/>
    <w:lvl w:ilvl="0" w:tentative="0">
      <w:start w:val="1"/>
      <w:numFmt w:val="decimal"/>
      <w:lvlText w:val="(%1)"/>
      <w:lvlJc w:val="left"/>
      <w:pPr>
        <w:ind w:left="425" w:hanging="425"/>
      </w:pPr>
      <w:rPr>
        <w:rFonts w:hint="default"/>
      </w:rPr>
    </w:lvl>
  </w:abstractNum>
  <w:abstractNum w:abstractNumId="8">
    <w:nsid w:val="204D9C5D"/>
    <w:multiLevelType w:val="singleLevel"/>
    <w:tmpl w:val="204D9C5D"/>
    <w:lvl w:ilvl="0" w:tentative="0">
      <w:start w:val="1"/>
      <w:numFmt w:val="decimal"/>
      <w:suff w:val="nothing"/>
      <w:lvlText w:val="（%1）"/>
      <w:lvlJc w:val="left"/>
    </w:lvl>
  </w:abstractNum>
  <w:abstractNum w:abstractNumId="9">
    <w:nsid w:val="2BAF1FB4"/>
    <w:multiLevelType w:val="singleLevel"/>
    <w:tmpl w:val="2BAF1FB4"/>
    <w:lvl w:ilvl="0" w:tentative="0">
      <w:start w:val="1"/>
      <w:numFmt w:val="decimal"/>
      <w:lvlText w:val="(%1)"/>
      <w:lvlJc w:val="left"/>
      <w:pPr>
        <w:ind w:left="425" w:hanging="425"/>
      </w:pPr>
      <w:rPr>
        <w:rFonts w:hint="default"/>
      </w:rPr>
    </w:lvl>
  </w:abstractNum>
  <w:abstractNum w:abstractNumId="10">
    <w:nsid w:val="312B0073"/>
    <w:multiLevelType w:val="singleLevel"/>
    <w:tmpl w:val="312B0073"/>
    <w:lvl w:ilvl="0" w:tentative="0">
      <w:start w:val="1"/>
      <w:numFmt w:val="decimal"/>
      <w:lvlText w:val="(%1)"/>
      <w:lvlJc w:val="left"/>
      <w:pPr>
        <w:ind w:left="425" w:hanging="425"/>
      </w:pPr>
      <w:rPr>
        <w:rFonts w:hint="default"/>
      </w:rPr>
    </w:lvl>
  </w:abstractNum>
  <w:abstractNum w:abstractNumId="11">
    <w:nsid w:val="33630E2A"/>
    <w:multiLevelType w:val="multilevel"/>
    <w:tmpl w:val="33630E2A"/>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2">
    <w:nsid w:val="36034FEE"/>
    <w:multiLevelType w:val="singleLevel"/>
    <w:tmpl w:val="36034FEE"/>
    <w:lvl w:ilvl="0" w:tentative="0">
      <w:start w:val="1"/>
      <w:numFmt w:val="decimal"/>
      <w:lvlText w:val="(%1)"/>
      <w:lvlJc w:val="left"/>
      <w:pPr>
        <w:ind w:left="425" w:hanging="425"/>
      </w:pPr>
      <w:rPr>
        <w:rFonts w:hint="default"/>
      </w:rPr>
    </w:lvl>
  </w:abstractNum>
  <w:abstractNum w:abstractNumId="13">
    <w:nsid w:val="49DC96AA"/>
    <w:multiLevelType w:val="singleLevel"/>
    <w:tmpl w:val="49DC96AA"/>
    <w:lvl w:ilvl="0" w:tentative="0">
      <w:start w:val="1"/>
      <w:numFmt w:val="decimal"/>
      <w:lvlText w:val="(%1)"/>
      <w:lvlJc w:val="left"/>
      <w:pPr>
        <w:ind w:left="425" w:hanging="425"/>
      </w:pPr>
      <w:rPr>
        <w:rFonts w:hint="default"/>
      </w:rPr>
    </w:lvl>
  </w:abstractNum>
  <w:abstractNum w:abstractNumId="14">
    <w:nsid w:val="4E845584"/>
    <w:multiLevelType w:val="singleLevel"/>
    <w:tmpl w:val="4E845584"/>
    <w:lvl w:ilvl="0" w:tentative="0">
      <w:start w:val="1"/>
      <w:numFmt w:val="decimal"/>
      <w:lvlText w:val="(%1)"/>
      <w:lvlJc w:val="left"/>
      <w:pPr>
        <w:ind w:left="425" w:hanging="425"/>
      </w:pPr>
      <w:rPr>
        <w:rFonts w:hint="default"/>
      </w:rPr>
    </w:lvl>
  </w:abstractNum>
  <w:abstractNum w:abstractNumId="15">
    <w:nsid w:val="5E442D4E"/>
    <w:multiLevelType w:val="singleLevel"/>
    <w:tmpl w:val="5E442D4E"/>
    <w:lvl w:ilvl="0" w:tentative="0">
      <w:start w:val="1"/>
      <w:numFmt w:val="decimal"/>
      <w:lvlText w:val="(%1)"/>
      <w:lvlJc w:val="left"/>
      <w:pPr>
        <w:ind w:left="425" w:hanging="425"/>
      </w:pPr>
      <w:rPr>
        <w:rFonts w:hint="default"/>
      </w:rPr>
    </w:lvl>
  </w:abstractNum>
  <w:abstractNum w:abstractNumId="16">
    <w:nsid w:val="79EF0A87"/>
    <w:multiLevelType w:val="multilevel"/>
    <w:tmpl w:val="79EF0A87"/>
    <w:lvl w:ilvl="0" w:tentative="0">
      <w:start w:val="1"/>
      <w:numFmt w:val="decimal"/>
      <w:lvlText w:val="(%1)"/>
      <w:lvlJc w:val="left"/>
      <w:pPr>
        <w:ind w:left="630" w:hanging="420"/>
      </w:pPr>
      <w:rPr>
        <w:rFonts w:hint="default"/>
        <w:color w:val="000000" w:themeColor="text1"/>
        <w14:textFill>
          <w14:solidFill>
            <w14:schemeClr w14:val="tx1"/>
          </w14:solidFill>
        </w14:textFill>
      </w:rPr>
    </w:lvl>
    <w:lvl w:ilvl="1" w:tentative="0">
      <w:start w:val="1"/>
      <w:numFmt w:val="lowerLetter"/>
      <w:lvlText w:val="%2)"/>
      <w:lvlJc w:val="left"/>
      <w:pPr>
        <w:ind w:left="1050" w:hanging="420"/>
      </w:pPr>
    </w:lvl>
    <w:lvl w:ilvl="2" w:tentative="0">
      <w:start w:val="1"/>
      <w:numFmt w:val="lowerRoman"/>
      <w:lvlText w:val="%3."/>
      <w:lvlJc w:val="right"/>
      <w:pPr>
        <w:ind w:left="1470" w:hanging="420"/>
      </w:pPr>
    </w:lvl>
    <w:lvl w:ilvl="3" w:tentative="0">
      <w:start w:val="1"/>
      <w:numFmt w:val="decimal"/>
      <w:lvlText w:val="%4."/>
      <w:lvlJc w:val="left"/>
      <w:pPr>
        <w:ind w:left="1890" w:hanging="420"/>
      </w:pPr>
    </w:lvl>
    <w:lvl w:ilvl="4" w:tentative="0">
      <w:start w:val="1"/>
      <w:numFmt w:val="lowerLetter"/>
      <w:lvlText w:val="%5)"/>
      <w:lvlJc w:val="left"/>
      <w:pPr>
        <w:ind w:left="2310" w:hanging="420"/>
      </w:pPr>
    </w:lvl>
    <w:lvl w:ilvl="5" w:tentative="0">
      <w:start w:val="1"/>
      <w:numFmt w:val="lowerRoman"/>
      <w:lvlText w:val="%6."/>
      <w:lvlJc w:val="right"/>
      <w:pPr>
        <w:ind w:left="2730" w:hanging="420"/>
      </w:pPr>
    </w:lvl>
    <w:lvl w:ilvl="6" w:tentative="0">
      <w:start w:val="1"/>
      <w:numFmt w:val="decimal"/>
      <w:lvlText w:val="%7."/>
      <w:lvlJc w:val="left"/>
      <w:pPr>
        <w:ind w:left="3150" w:hanging="420"/>
      </w:pPr>
    </w:lvl>
    <w:lvl w:ilvl="7" w:tentative="0">
      <w:start w:val="1"/>
      <w:numFmt w:val="lowerLetter"/>
      <w:lvlText w:val="%8)"/>
      <w:lvlJc w:val="left"/>
      <w:pPr>
        <w:ind w:left="3570" w:hanging="420"/>
      </w:pPr>
    </w:lvl>
    <w:lvl w:ilvl="8" w:tentative="0">
      <w:start w:val="1"/>
      <w:numFmt w:val="lowerRoman"/>
      <w:lvlText w:val="%9."/>
      <w:lvlJc w:val="right"/>
      <w:pPr>
        <w:ind w:left="3990" w:hanging="420"/>
      </w:pPr>
    </w:lvl>
  </w:abstractNum>
  <w:abstractNum w:abstractNumId="17">
    <w:nsid w:val="7ACF1B24"/>
    <w:multiLevelType w:val="multilevel"/>
    <w:tmpl w:val="7ACF1B24"/>
    <w:lvl w:ilvl="0" w:tentative="0">
      <w:start w:val="1"/>
      <w:numFmt w:val="decimal"/>
      <w:lvlText w:val="(%1)"/>
      <w:lvlJc w:val="left"/>
      <w:pPr>
        <w:ind w:left="630" w:hanging="420"/>
      </w:pPr>
      <w:rPr>
        <w:rFonts w:hint="default"/>
      </w:rPr>
    </w:lvl>
    <w:lvl w:ilvl="1" w:tentative="0">
      <w:start w:val="1"/>
      <w:numFmt w:val="lowerLetter"/>
      <w:lvlText w:val="%2)"/>
      <w:lvlJc w:val="left"/>
      <w:pPr>
        <w:ind w:left="1050" w:hanging="420"/>
      </w:pPr>
    </w:lvl>
    <w:lvl w:ilvl="2" w:tentative="0">
      <w:start w:val="1"/>
      <w:numFmt w:val="lowerRoman"/>
      <w:lvlText w:val="%3."/>
      <w:lvlJc w:val="right"/>
      <w:pPr>
        <w:ind w:left="1470" w:hanging="420"/>
      </w:pPr>
    </w:lvl>
    <w:lvl w:ilvl="3" w:tentative="0">
      <w:start w:val="1"/>
      <w:numFmt w:val="decimal"/>
      <w:lvlText w:val="%4."/>
      <w:lvlJc w:val="left"/>
      <w:pPr>
        <w:ind w:left="1890" w:hanging="420"/>
      </w:pPr>
    </w:lvl>
    <w:lvl w:ilvl="4" w:tentative="0">
      <w:start w:val="1"/>
      <w:numFmt w:val="lowerLetter"/>
      <w:lvlText w:val="%5)"/>
      <w:lvlJc w:val="left"/>
      <w:pPr>
        <w:ind w:left="2310" w:hanging="420"/>
      </w:pPr>
    </w:lvl>
    <w:lvl w:ilvl="5" w:tentative="0">
      <w:start w:val="1"/>
      <w:numFmt w:val="lowerRoman"/>
      <w:lvlText w:val="%6."/>
      <w:lvlJc w:val="right"/>
      <w:pPr>
        <w:ind w:left="2730" w:hanging="420"/>
      </w:pPr>
    </w:lvl>
    <w:lvl w:ilvl="6" w:tentative="0">
      <w:start w:val="1"/>
      <w:numFmt w:val="decimal"/>
      <w:lvlText w:val="%7."/>
      <w:lvlJc w:val="left"/>
      <w:pPr>
        <w:ind w:left="3150" w:hanging="420"/>
      </w:pPr>
    </w:lvl>
    <w:lvl w:ilvl="7" w:tentative="0">
      <w:start w:val="1"/>
      <w:numFmt w:val="lowerLetter"/>
      <w:lvlText w:val="%8)"/>
      <w:lvlJc w:val="left"/>
      <w:pPr>
        <w:ind w:left="3570" w:hanging="420"/>
      </w:pPr>
    </w:lvl>
    <w:lvl w:ilvl="8" w:tentative="0">
      <w:start w:val="1"/>
      <w:numFmt w:val="lowerRoman"/>
      <w:lvlText w:val="%9."/>
      <w:lvlJc w:val="right"/>
      <w:pPr>
        <w:ind w:left="3990" w:hanging="420"/>
      </w:pPr>
    </w:lvl>
  </w:abstractNum>
  <w:abstractNum w:abstractNumId="18">
    <w:nsid w:val="7E76C6B9"/>
    <w:multiLevelType w:val="singleLevel"/>
    <w:tmpl w:val="7E76C6B9"/>
    <w:lvl w:ilvl="0" w:tentative="0">
      <w:start w:val="1"/>
      <w:numFmt w:val="decimal"/>
      <w:suff w:val="nothing"/>
      <w:lvlText w:val="（%1）"/>
      <w:lvlJc w:val="left"/>
    </w:lvl>
  </w:abstractNum>
  <w:num w:numId="1">
    <w:abstractNumId w:val="6"/>
  </w:num>
  <w:num w:numId="2">
    <w:abstractNumId w:val="1"/>
  </w:num>
  <w:num w:numId="3">
    <w:abstractNumId w:val="11"/>
  </w:num>
  <w:num w:numId="4">
    <w:abstractNumId w:val="8"/>
  </w:num>
  <w:num w:numId="5">
    <w:abstractNumId w:val="18"/>
  </w:num>
  <w:num w:numId="6">
    <w:abstractNumId w:val="2"/>
  </w:num>
  <w:num w:numId="7">
    <w:abstractNumId w:val="0"/>
  </w:num>
  <w:num w:numId="8">
    <w:abstractNumId w:val="7"/>
  </w:num>
  <w:num w:numId="9">
    <w:abstractNumId w:val="16"/>
  </w:num>
  <w:num w:numId="10">
    <w:abstractNumId w:val="17"/>
  </w:num>
  <w:num w:numId="11">
    <w:abstractNumId w:val="13"/>
  </w:num>
  <w:num w:numId="12">
    <w:abstractNumId w:val="3"/>
  </w:num>
  <w:num w:numId="13">
    <w:abstractNumId w:val="9"/>
  </w:num>
  <w:num w:numId="14">
    <w:abstractNumId w:val="15"/>
  </w:num>
  <w:num w:numId="15">
    <w:abstractNumId w:val="14"/>
  </w:num>
  <w:num w:numId="16">
    <w:abstractNumId w:val="10"/>
  </w:num>
  <w:num w:numId="17">
    <w:abstractNumId w:val="5"/>
  </w:num>
  <w:num w:numId="18">
    <w:abstractNumId w:val="12"/>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0"/>
  <w:drawingGridHorizontalSpacing w:val="105"/>
  <w:drawingGridVerticalSpacing w:val="156"/>
  <w:displayHorizontalDrawingGridEvery w:val="2"/>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I4NjI5OTBmMDM1ODFlMDkzNDFlZTFiMWNhZWU5ZTMifQ=="/>
    <w:docVar w:name="KSO_WPS_MARK_KEY" w:val="7dec979c-39ee-4ebf-b476-a35c69a7761b"/>
  </w:docVars>
  <w:rsids>
    <w:rsidRoot w:val="00172A27"/>
    <w:rsid w:val="000036E1"/>
    <w:rsid w:val="00005BF0"/>
    <w:rsid w:val="00023117"/>
    <w:rsid w:val="000238FE"/>
    <w:rsid w:val="0002632C"/>
    <w:rsid w:val="00041C8F"/>
    <w:rsid w:val="000429F0"/>
    <w:rsid w:val="00064A3C"/>
    <w:rsid w:val="000713F0"/>
    <w:rsid w:val="000813DE"/>
    <w:rsid w:val="000860B7"/>
    <w:rsid w:val="00091DB4"/>
    <w:rsid w:val="0009575C"/>
    <w:rsid w:val="00097185"/>
    <w:rsid w:val="000A4007"/>
    <w:rsid w:val="000A6554"/>
    <w:rsid w:val="000A714E"/>
    <w:rsid w:val="000A7D16"/>
    <w:rsid w:val="000C2469"/>
    <w:rsid w:val="000C288E"/>
    <w:rsid w:val="000C3DBE"/>
    <w:rsid w:val="000D1094"/>
    <w:rsid w:val="000D2453"/>
    <w:rsid w:val="000D3A45"/>
    <w:rsid w:val="000D47AF"/>
    <w:rsid w:val="000D5993"/>
    <w:rsid w:val="000E2144"/>
    <w:rsid w:val="000F3D90"/>
    <w:rsid w:val="000F6C26"/>
    <w:rsid w:val="00104CAA"/>
    <w:rsid w:val="00115F1D"/>
    <w:rsid w:val="00121408"/>
    <w:rsid w:val="00124CAD"/>
    <w:rsid w:val="00130653"/>
    <w:rsid w:val="00137A23"/>
    <w:rsid w:val="00141C99"/>
    <w:rsid w:val="001678D1"/>
    <w:rsid w:val="00172A27"/>
    <w:rsid w:val="00190D13"/>
    <w:rsid w:val="00193957"/>
    <w:rsid w:val="0019589C"/>
    <w:rsid w:val="001A7BE0"/>
    <w:rsid w:val="001B3F19"/>
    <w:rsid w:val="001C6119"/>
    <w:rsid w:val="001C72C5"/>
    <w:rsid w:val="001D3C75"/>
    <w:rsid w:val="001D5388"/>
    <w:rsid w:val="001E0955"/>
    <w:rsid w:val="001E3E18"/>
    <w:rsid w:val="001F0AF3"/>
    <w:rsid w:val="00202765"/>
    <w:rsid w:val="00202891"/>
    <w:rsid w:val="0021195A"/>
    <w:rsid w:val="002121DD"/>
    <w:rsid w:val="00215770"/>
    <w:rsid w:val="00215FC3"/>
    <w:rsid w:val="002162BB"/>
    <w:rsid w:val="00225AE5"/>
    <w:rsid w:val="00236294"/>
    <w:rsid w:val="002441C6"/>
    <w:rsid w:val="002555D5"/>
    <w:rsid w:val="00261BD2"/>
    <w:rsid w:val="002674BF"/>
    <w:rsid w:val="002805C7"/>
    <w:rsid w:val="00283379"/>
    <w:rsid w:val="0028536B"/>
    <w:rsid w:val="0029499A"/>
    <w:rsid w:val="00295372"/>
    <w:rsid w:val="00297328"/>
    <w:rsid w:val="00297D71"/>
    <w:rsid w:val="002A2FCD"/>
    <w:rsid w:val="002A4654"/>
    <w:rsid w:val="002D23B6"/>
    <w:rsid w:val="002D6525"/>
    <w:rsid w:val="002D7989"/>
    <w:rsid w:val="002F0F3E"/>
    <w:rsid w:val="00302186"/>
    <w:rsid w:val="00317ABD"/>
    <w:rsid w:val="0032299B"/>
    <w:rsid w:val="00323FE2"/>
    <w:rsid w:val="003310D3"/>
    <w:rsid w:val="003379CF"/>
    <w:rsid w:val="003412E9"/>
    <w:rsid w:val="003516A4"/>
    <w:rsid w:val="00354CCA"/>
    <w:rsid w:val="0037055B"/>
    <w:rsid w:val="003847D0"/>
    <w:rsid w:val="00385602"/>
    <w:rsid w:val="003946C3"/>
    <w:rsid w:val="00396C48"/>
    <w:rsid w:val="003A4900"/>
    <w:rsid w:val="003A534E"/>
    <w:rsid w:val="003A551D"/>
    <w:rsid w:val="003B5AE0"/>
    <w:rsid w:val="003E0F89"/>
    <w:rsid w:val="003E1053"/>
    <w:rsid w:val="003F48FC"/>
    <w:rsid w:val="003F6343"/>
    <w:rsid w:val="003F64D0"/>
    <w:rsid w:val="0042792C"/>
    <w:rsid w:val="0043579D"/>
    <w:rsid w:val="0043586E"/>
    <w:rsid w:val="004400AC"/>
    <w:rsid w:val="00440147"/>
    <w:rsid w:val="00441531"/>
    <w:rsid w:val="00441DA3"/>
    <w:rsid w:val="0044407E"/>
    <w:rsid w:val="004515C2"/>
    <w:rsid w:val="004554F2"/>
    <w:rsid w:val="004557B2"/>
    <w:rsid w:val="00461930"/>
    <w:rsid w:val="004635AB"/>
    <w:rsid w:val="00474BE9"/>
    <w:rsid w:val="00480B88"/>
    <w:rsid w:val="00484715"/>
    <w:rsid w:val="00493C07"/>
    <w:rsid w:val="004A403A"/>
    <w:rsid w:val="004A5476"/>
    <w:rsid w:val="004A7283"/>
    <w:rsid w:val="004C1D0D"/>
    <w:rsid w:val="004D3680"/>
    <w:rsid w:val="004F20BE"/>
    <w:rsid w:val="004F4CF2"/>
    <w:rsid w:val="004F6678"/>
    <w:rsid w:val="005059F9"/>
    <w:rsid w:val="00505DE6"/>
    <w:rsid w:val="00531B12"/>
    <w:rsid w:val="0053357E"/>
    <w:rsid w:val="00553155"/>
    <w:rsid w:val="005536B2"/>
    <w:rsid w:val="0056365C"/>
    <w:rsid w:val="0057678C"/>
    <w:rsid w:val="005807AF"/>
    <w:rsid w:val="00583BE4"/>
    <w:rsid w:val="00587416"/>
    <w:rsid w:val="00590319"/>
    <w:rsid w:val="00593530"/>
    <w:rsid w:val="00597240"/>
    <w:rsid w:val="005A0B80"/>
    <w:rsid w:val="005A3563"/>
    <w:rsid w:val="005B3527"/>
    <w:rsid w:val="005B5043"/>
    <w:rsid w:val="005B596E"/>
    <w:rsid w:val="005E3EF5"/>
    <w:rsid w:val="005F500B"/>
    <w:rsid w:val="005F5CF8"/>
    <w:rsid w:val="00603F35"/>
    <w:rsid w:val="006142CB"/>
    <w:rsid w:val="00623280"/>
    <w:rsid w:val="006270FE"/>
    <w:rsid w:val="00640702"/>
    <w:rsid w:val="00644B54"/>
    <w:rsid w:val="00652E4F"/>
    <w:rsid w:val="006567E3"/>
    <w:rsid w:val="00665979"/>
    <w:rsid w:val="00672FCD"/>
    <w:rsid w:val="00673108"/>
    <w:rsid w:val="00676C22"/>
    <w:rsid w:val="006930F8"/>
    <w:rsid w:val="006A35AC"/>
    <w:rsid w:val="006A5EFB"/>
    <w:rsid w:val="006A76C3"/>
    <w:rsid w:val="006B2754"/>
    <w:rsid w:val="006C0B10"/>
    <w:rsid w:val="006C20EC"/>
    <w:rsid w:val="006D326D"/>
    <w:rsid w:val="006F0D01"/>
    <w:rsid w:val="006F1BF8"/>
    <w:rsid w:val="006F4176"/>
    <w:rsid w:val="00703831"/>
    <w:rsid w:val="0072235C"/>
    <w:rsid w:val="00733EAD"/>
    <w:rsid w:val="00740C66"/>
    <w:rsid w:val="00752665"/>
    <w:rsid w:val="00757342"/>
    <w:rsid w:val="00772A88"/>
    <w:rsid w:val="00773B6A"/>
    <w:rsid w:val="007776CB"/>
    <w:rsid w:val="007806D9"/>
    <w:rsid w:val="00781B5F"/>
    <w:rsid w:val="007933CC"/>
    <w:rsid w:val="00793923"/>
    <w:rsid w:val="007970D4"/>
    <w:rsid w:val="007D0EFC"/>
    <w:rsid w:val="007D743C"/>
    <w:rsid w:val="007E067F"/>
    <w:rsid w:val="007E6DF9"/>
    <w:rsid w:val="00807FA8"/>
    <w:rsid w:val="008106C0"/>
    <w:rsid w:val="0081273B"/>
    <w:rsid w:val="008204AA"/>
    <w:rsid w:val="00820A9B"/>
    <w:rsid w:val="00836E78"/>
    <w:rsid w:val="00844E3B"/>
    <w:rsid w:val="00847D96"/>
    <w:rsid w:val="00851DD7"/>
    <w:rsid w:val="00856802"/>
    <w:rsid w:val="00860A79"/>
    <w:rsid w:val="0086137B"/>
    <w:rsid w:val="00861381"/>
    <w:rsid w:val="00862586"/>
    <w:rsid w:val="0086727B"/>
    <w:rsid w:val="0086747D"/>
    <w:rsid w:val="00872093"/>
    <w:rsid w:val="0089527C"/>
    <w:rsid w:val="008A4659"/>
    <w:rsid w:val="008B6DB0"/>
    <w:rsid w:val="008B775C"/>
    <w:rsid w:val="008B79F1"/>
    <w:rsid w:val="008D6A14"/>
    <w:rsid w:val="008F0317"/>
    <w:rsid w:val="008F0A70"/>
    <w:rsid w:val="008F2838"/>
    <w:rsid w:val="0090492D"/>
    <w:rsid w:val="00913DB5"/>
    <w:rsid w:val="00923F5F"/>
    <w:rsid w:val="00931165"/>
    <w:rsid w:val="00932AAB"/>
    <w:rsid w:val="00947134"/>
    <w:rsid w:val="00950F92"/>
    <w:rsid w:val="00951271"/>
    <w:rsid w:val="00955755"/>
    <w:rsid w:val="00956A3C"/>
    <w:rsid w:val="00965074"/>
    <w:rsid w:val="00966C61"/>
    <w:rsid w:val="00967579"/>
    <w:rsid w:val="00973022"/>
    <w:rsid w:val="009777D0"/>
    <w:rsid w:val="00986747"/>
    <w:rsid w:val="009965CE"/>
    <w:rsid w:val="009A11C5"/>
    <w:rsid w:val="009B3399"/>
    <w:rsid w:val="009B3E61"/>
    <w:rsid w:val="009B5B0D"/>
    <w:rsid w:val="009C3C36"/>
    <w:rsid w:val="009D1840"/>
    <w:rsid w:val="009D47D4"/>
    <w:rsid w:val="009D5824"/>
    <w:rsid w:val="009D7E5C"/>
    <w:rsid w:val="009E0C60"/>
    <w:rsid w:val="009E4AD2"/>
    <w:rsid w:val="009E6BB9"/>
    <w:rsid w:val="009E7C93"/>
    <w:rsid w:val="009F5FCD"/>
    <w:rsid w:val="00A15D04"/>
    <w:rsid w:val="00A21406"/>
    <w:rsid w:val="00A21DB8"/>
    <w:rsid w:val="00A25FF0"/>
    <w:rsid w:val="00A3040E"/>
    <w:rsid w:val="00A3042C"/>
    <w:rsid w:val="00A4229B"/>
    <w:rsid w:val="00A44016"/>
    <w:rsid w:val="00A442AD"/>
    <w:rsid w:val="00A453BF"/>
    <w:rsid w:val="00A55A2D"/>
    <w:rsid w:val="00A62ED3"/>
    <w:rsid w:val="00A72961"/>
    <w:rsid w:val="00A74B77"/>
    <w:rsid w:val="00A75B6F"/>
    <w:rsid w:val="00A76C2F"/>
    <w:rsid w:val="00A827FA"/>
    <w:rsid w:val="00A87530"/>
    <w:rsid w:val="00A90CAC"/>
    <w:rsid w:val="00A92C68"/>
    <w:rsid w:val="00AA2FB0"/>
    <w:rsid w:val="00AA70F8"/>
    <w:rsid w:val="00AB1D1B"/>
    <w:rsid w:val="00AC552F"/>
    <w:rsid w:val="00AC6636"/>
    <w:rsid w:val="00AD0064"/>
    <w:rsid w:val="00AD1F3E"/>
    <w:rsid w:val="00AD4F83"/>
    <w:rsid w:val="00B03D5F"/>
    <w:rsid w:val="00B149B5"/>
    <w:rsid w:val="00B169F0"/>
    <w:rsid w:val="00B3290A"/>
    <w:rsid w:val="00B40966"/>
    <w:rsid w:val="00B466DA"/>
    <w:rsid w:val="00B53F01"/>
    <w:rsid w:val="00B54DCC"/>
    <w:rsid w:val="00B65217"/>
    <w:rsid w:val="00B82EF2"/>
    <w:rsid w:val="00B845E7"/>
    <w:rsid w:val="00BA17F3"/>
    <w:rsid w:val="00BA4D11"/>
    <w:rsid w:val="00BB5096"/>
    <w:rsid w:val="00BC0F74"/>
    <w:rsid w:val="00BC13ED"/>
    <w:rsid w:val="00BC4299"/>
    <w:rsid w:val="00BC50ED"/>
    <w:rsid w:val="00BC78DE"/>
    <w:rsid w:val="00BD529C"/>
    <w:rsid w:val="00C019CE"/>
    <w:rsid w:val="00C129F8"/>
    <w:rsid w:val="00C159B8"/>
    <w:rsid w:val="00C16BAA"/>
    <w:rsid w:val="00C1796F"/>
    <w:rsid w:val="00C244A4"/>
    <w:rsid w:val="00C257FB"/>
    <w:rsid w:val="00C30EC2"/>
    <w:rsid w:val="00C349BD"/>
    <w:rsid w:val="00C4587C"/>
    <w:rsid w:val="00C55B78"/>
    <w:rsid w:val="00C564FA"/>
    <w:rsid w:val="00C60F25"/>
    <w:rsid w:val="00C75012"/>
    <w:rsid w:val="00C8124B"/>
    <w:rsid w:val="00C85FD5"/>
    <w:rsid w:val="00C85FFE"/>
    <w:rsid w:val="00C967EF"/>
    <w:rsid w:val="00CA70DD"/>
    <w:rsid w:val="00CB1B3C"/>
    <w:rsid w:val="00CC3903"/>
    <w:rsid w:val="00CE7474"/>
    <w:rsid w:val="00D01B49"/>
    <w:rsid w:val="00D14B0D"/>
    <w:rsid w:val="00D30140"/>
    <w:rsid w:val="00D352BE"/>
    <w:rsid w:val="00D363DF"/>
    <w:rsid w:val="00D45C3C"/>
    <w:rsid w:val="00D761B8"/>
    <w:rsid w:val="00D856F3"/>
    <w:rsid w:val="00D87DC6"/>
    <w:rsid w:val="00D91FC9"/>
    <w:rsid w:val="00DA1590"/>
    <w:rsid w:val="00DB0331"/>
    <w:rsid w:val="00DB3B25"/>
    <w:rsid w:val="00DC13BD"/>
    <w:rsid w:val="00DC2EE3"/>
    <w:rsid w:val="00DC4B17"/>
    <w:rsid w:val="00DC7211"/>
    <w:rsid w:val="00DE56B4"/>
    <w:rsid w:val="00DF0F6C"/>
    <w:rsid w:val="00DF31EB"/>
    <w:rsid w:val="00E00169"/>
    <w:rsid w:val="00E01B19"/>
    <w:rsid w:val="00E20CF5"/>
    <w:rsid w:val="00E26D91"/>
    <w:rsid w:val="00E3113C"/>
    <w:rsid w:val="00E329E3"/>
    <w:rsid w:val="00E3600E"/>
    <w:rsid w:val="00E472C1"/>
    <w:rsid w:val="00E6379F"/>
    <w:rsid w:val="00E92D6B"/>
    <w:rsid w:val="00E96350"/>
    <w:rsid w:val="00EA5289"/>
    <w:rsid w:val="00EA5563"/>
    <w:rsid w:val="00EB343F"/>
    <w:rsid w:val="00EE715C"/>
    <w:rsid w:val="00EF761A"/>
    <w:rsid w:val="00F1233D"/>
    <w:rsid w:val="00F24ED6"/>
    <w:rsid w:val="00F250FA"/>
    <w:rsid w:val="00F42516"/>
    <w:rsid w:val="00F43B01"/>
    <w:rsid w:val="00F51C32"/>
    <w:rsid w:val="00F54517"/>
    <w:rsid w:val="00F55800"/>
    <w:rsid w:val="00F615A3"/>
    <w:rsid w:val="00F6698B"/>
    <w:rsid w:val="00F719E7"/>
    <w:rsid w:val="00F732AA"/>
    <w:rsid w:val="00F74480"/>
    <w:rsid w:val="00F85AA7"/>
    <w:rsid w:val="00F907B7"/>
    <w:rsid w:val="00FA56F8"/>
    <w:rsid w:val="00FB61E3"/>
    <w:rsid w:val="00FD7A18"/>
    <w:rsid w:val="00FF678C"/>
    <w:rsid w:val="015D7AB5"/>
    <w:rsid w:val="01770A84"/>
    <w:rsid w:val="01AF4E6D"/>
    <w:rsid w:val="01B566DE"/>
    <w:rsid w:val="01C71E8D"/>
    <w:rsid w:val="028C3A96"/>
    <w:rsid w:val="02B755A7"/>
    <w:rsid w:val="02BD54D2"/>
    <w:rsid w:val="02CA53C5"/>
    <w:rsid w:val="031D4E88"/>
    <w:rsid w:val="039919AD"/>
    <w:rsid w:val="03A25609"/>
    <w:rsid w:val="03C34B43"/>
    <w:rsid w:val="03CB018A"/>
    <w:rsid w:val="03E535DA"/>
    <w:rsid w:val="03F273B0"/>
    <w:rsid w:val="04130DBD"/>
    <w:rsid w:val="041446A7"/>
    <w:rsid w:val="0416596F"/>
    <w:rsid w:val="04197CC4"/>
    <w:rsid w:val="042D7999"/>
    <w:rsid w:val="0472778E"/>
    <w:rsid w:val="04727A0B"/>
    <w:rsid w:val="047B1CCB"/>
    <w:rsid w:val="047B6FB4"/>
    <w:rsid w:val="0481021A"/>
    <w:rsid w:val="049531C8"/>
    <w:rsid w:val="04C55647"/>
    <w:rsid w:val="04C64F23"/>
    <w:rsid w:val="04E43516"/>
    <w:rsid w:val="05BD42BD"/>
    <w:rsid w:val="05CD7E51"/>
    <w:rsid w:val="064525E7"/>
    <w:rsid w:val="06580E8E"/>
    <w:rsid w:val="06581AD5"/>
    <w:rsid w:val="06A02C75"/>
    <w:rsid w:val="06E03CD1"/>
    <w:rsid w:val="06FC0A5C"/>
    <w:rsid w:val="072478B2"/>
    <w:rsid w:val="07275B82"/>
    <w:rsid w:val="073A435E"/>
    <w:rsid w:val="0749425A"/>
    <w:rsid w:val="07DE24CD"/>
    <w:rsid w:val="07F1652C"/>
    <w:rsid w:val="07FB4FDF"/>
    <w:rsid w:val="0845540A"/>
    <w:rsid w:val="08525F76"/>
    <w:rsid w:val="086A635C"/>
    <w:rsid w:val="08856DEC"/>
    <w:rsid w:val="08896979"/>
    <w:rsid w:val="089D65BC"/>
    <w:rsid w:val="090F5BF1"/>
    <w:rsid w:val="0916485F"/>
    <w:rsid w:val="092179E1"/>
    <w:rsid w:val="09634DE4"/>
    <w:rsid w:val="099E6BF8"/>
    <w:rsid w:val="09BD7B62"/>
    <w:rsid w:val="09EB48D1"/>
    <w:rsid w:val="0A040845"/>
    <w:rsid w:val="0A530F50"/>
    <w:rsid w:val="0A5B0734"/>
    <w:rsid w:val="0A5B45F4"/>
    <w:rsid w:val="0A7E4837"/>
    <w:rsid w:val="0ADB5AF2"/>
    <w:rsid w:val="0AF26D11"/>
    <w:rsid w:val="0B111285"/>
    <w:rsid w:val="0B8B4F72"/>
    <w:rsid w:val="0B9328BB"/>
    <w:rsid w:val="0BD43D78"/>
    <w:rsid w:val="0BD508DF"/>
    <w:rsid w:val="0BE61950"/>
    <w:rsid w:val="0BEB31E7"/>
    <w:rsid w:val="0C1624AB"/>
    <w:rsid w:val="0C2030B4"/>
    <w:rsid w:val="0C535A15"/>
    <w:rsid w:val="0D033E23"/>
    <w:rsid w:val="0D156991"/>
    <w:rsid w:val="0D5A41BE"/>
    <w:rsid w:val="0DA62E08"/>
    <w:rsid w:val="0DC273DE"/>
    <w:rsid w:val="0DDF165B"/>
    <w:rsid w:val="0E106438"/>
    <w:rsid w:val="0E13017C"/>
    <w:rsid w:val="0E161C1F"/>
    <w:rsid w:val="0E395149"/>
    <w:rsid w:val="0E627965"/>
    <w:rsid w:val="0E8E427F"/>
    <w:rsid w:val="0E9C7F1A"/>
    <w:rsid w:val="0ED21B46"/>
    <w:rsid w:val="0F212DDB"/>
    <w:rsid w:val="0F583B9D"/>
    <w:rsid w:val="0F8A7DFC"/>
    <w:rsid w:val="0FA86E8A"/>
    <w:rsid w:val="0FC65D20"/>
    <w:rsid w:val="0FD96149"/>
    <w:rsid w:val="0FE47A65"/>
    <w:rsid w:val="0FF9345B"/>
    <w:rsid w:val="10253A07"/>
    <w:rsid w:val="10422488"/>
    <w:rsid w:val="105C6685"/>
    <w:rsid w:val="10B9577E"/>
    <w:rsid w:val="10BA709A"/>
    <w:rsid w:val="11132B3D"/>
    <w:rsid w:val="11812847"/>
    <w:rsid w:val="11906683"/>
    <w:rsid w:val="11C549AB"/>
    <w:rsid w:val="11EA55F3"/>
    <w:rsid w:val="121F7AF8"/>
    <w:rsid w:val="12D35813"/>
    <w:rsid w:val="130A5643"/>
    <w:rsid w:val="13340245"/>
    <w:rsid w:val="133438E9"/>
    <w:rsid w:val="1348700B"/>
    <w:rsid w:val="1380343E"/>
    <w:rsid w:val="13BB7CAA"/>
    <w:rsid w:val="142C30C2"/>
    <w:rsid w:val="149433DF"/>
    <w:rsid w:val="14B85713"/>
    <w:rsid w:val="14E92BC4"/>
    <w:rsid w:val="15055A06"/>
    <w:rsid w:val="1542102E"/>
    <w:rsid w:val="155C6992"/>
    <w:rsid w:val="15D118E9"/>
    <w:rsid w:val="15E84545"/>
    <w:rsid w:val="1612259F"/>
    <w:rsid w:val="16183AAA"/>
    <w:rsid w:val="161A425B"/>
    <w:rsid w:val="1638780E"/>
    <w:rsid w:val="16604466"/>
    <w:rsid w:val="16721224"/>
    <w:rsid w:val="167715CA"/>
    <w:rsid w:val="16853529"/>
    <w:rsid w:val="16A37425"/>
    <w:rsid w:val="16F35782"/>
    <w:rsid w:val="16FE3FC4"/>
    <w:rsid w:val="173A3881"/>
    <w:rsid w:val="174A3A77"/>
    <w:rsid w:val="174F4E2D"/>
    <w:rsid w:val="176A1687"/>
    <w:rsid w:val="17C57ADD"/>
    <w:rsid w:val="182460BC"/>
    <w:rsid w:val="182E0ECE"/>
    <w:rsid w:val="18417A89"/>
    <w:rsid w:val="18503D18"/>
    <w:rsid w:val="18C30D28"/>
    <w:rsid w:val="18DE33E8"/>
    <w:rsid w:val="18FB2796"/>
    <w:rsid w:val="19074097"/>
    <w:rsid w:val="195230E4"/>
    <w:rsid w:val="195D3C25"/>
    <w:rsid w:val="19802225"/>
    <w:rsid w:val="19A74E14"/>
    <w:rsid w:val="19BF5899"/>
    <w:rsid w:val="19C36A76"/>
    <w:rsid w:val="19F53DD2"/>
    <w:rsid w:val="1A304301"/>
    <w:rsid w:val="1AE70D14"/>
    <w:rsid w:val="1B362B8A"/>
    <w:rsid w:val="1B3A72DB"/>
    <w:rsid w:val="1B4B4190"/>
    <w:rsid w:val="1B690AF7"/>
    <w:rsid w:val="1B730E32"/>
    <w:rsid w:val="1B7C35D9"/>
    <w:rsid w:val="1B803BA3"/>
    <w:rsid w:val="1B954A11"/>
    <w:rsid w:val="1BB648A8"/>
    <w:rsid w:val="1BF0075C"/>
    <w:rsid w:val="1C291BDC"/>
    <w:rsid w:val="1C3A2C8B"/>
    <w:rsid w:val="1C464705"/>
    <w:rsid w:val="1C5871F1"/>
    <w:rsid w:val="1C773445"/>
    <w:rsid w:val="1C897E54"/>
    <w:rsid w:val="1CA609DB"/>
    <w:rsid w:val="1CAD0DE1"/>
    <w:rsid w:val="1CC4119F"/>
    <w:rsid w:val="1CCE533B"/>
    <w:rsid w:val="1CFF3A6A"/>
    <w:rsid w:val="1D152E3C"/>
    <w:rsid w:val="1D3A21F3"/>
    <w:rsid w:val="1D924E26"/>
    <w:rsid w:val="1DCA5513"/>
    <w:rsid w:val="1DF013B1"/>
    <w:rsid w:val="1E0624E8"/>
    <w:rsid w:val="1F352772"/>
    <w:rsid w:val="1F4931AE"/>
    <w:rsid w:val="1F5B29CD"/>
    <w:rsid w:val="1F5F344C"/>
    <w:rsid w:val="1F68791B"/>
    <w:rsid w:val="1FD87027"/>
    <w:rsid w:val="200F7DFB"/>
    <w:rsid w:val="201A0D42"/>
    <w:rsid w:val="201C77F4"/>
    <w:rsid w:val="20787E35"/>
    <w:rsid w:val="20BB39FC"/>
    <w:rsid w:val="20BB4EBD"/>
    <w:rsid w:val="20EB4A81"/>
    <w:rsid w:val="20FC3F71"/>
    <w:rsid w:val="210C1864"/>
    <w:rsid w:val="215329C2"/>
    <w:rsid w:val="21535882"/>
    <w:rsid w:val="21643CFE"/>
    <w:rsid w:val="219A39FB"/>
    <w:rsid w:val="21CE528C"/>
    <w:rsid w:val="21F56262"/>
    <w:rsid w:val="22393A7B"/>
    <w:rsid w:val="22437CDD"/>
    <w:rsid w:val="224D1A47"/>
    <w:rsid w:val="22690C66"/>
    <w:rsid w:val="228132D4"/>
    <w:rsid w:val="22AC7067"/>
    <w:rsid w:val="22BB5312"/>
    <w:rsid w:val="233C4EA2"/>
    <w:rsid w:val="235363B3"/>
    <w:rsid w:val="23554959"/>
    <w:rsid w:val="23BD77A3"/>
    <w:rsid w:val="23D728A0"/>
    <w:rsid w:val="24790F39"/>
    <w:rsid w:val="24894380"/>
    <w:rsid w:val="24A27407"/>
    <w:rsid w:val="254B0AA2"/>
    <w:rsid w:val="259E0CC6"/>
    <w:rsid w:val="25E94D26"/>
    <w:rsid w:val="26492CC4"/>
    <w:rsid w:val="264E116A"/>
    <w:rsid w:val="265457DE"/>
    <w:rsid w:val="26566232"/>
    <w:rsid w:val="26C84DF5"/>
    <w:rsid w:val="26E749E9"/>
    <w:rsid w:val="27016634"/>
    <w:rsid w:val="27862C13"/>
    <w:rsid w:val="278F0415"/>
    <w:rsid w:val="279E0627"/>
    <w:rsid w:val="27D514D4"/>
    <w:rsid w:val="27DC0A54"/>
    <w:rsid w:val="27FC079B"/>
    <w:rsid w:val="281B7DE6"/>
    <w:rsid w:val="283A1DD6"/>
    <w:rsid w:val="28553E10"/>
    <w:rsid w:val="285F5233"/>
    <w:rsid w:val="28684B1E"/>
    <w:rsid w:val="2873138C"/>
    <w:rsid w:val="28B221F6"/>
    <w:rsid w:val="291F61F9"/>
    <w:rsid w:val="29654077"/>
    <w:rsid w:val="29AC5B2F"/>
    <w:rsid w:val="29CF7DF1"/>
    <w:rsid w:val="29FD32DF"/>
    <w:rsid w:val="2A022633"/>
    <w:rsid w:val="2A0A1E73"/>
    <w:rsid w:val="2A110EBB"/>
    <w:rsid w:val="2A3F46F3"/>
    <w:rsid w:val="2B041066"/>
    <w:rsid w:val="2B5116A4"/>
    <w:rsid w:val="2B667765"/>
    <w:rsid w:val="2B717773"/>
    <w:rsid w:val="2BB5517B"/>
    <w:rsid w:val="2BCA05F5"/>
    <w:rsid w:val="2BD32421"/>
    <w:rsid w:val="2BF13ED3"/>
    <w:rsid w:val="2BFF2CDF"/>
    <w:rsid w:val="2C1652E5"/>
    <w:rsid w:val="2C482C0A"/>
    <w:rsid w:val="2C6D543A"/>
    <w:rsid w:val="2C7D4966"/>
    <w:rsid w:val="2C8045B1"/>
    <w:rsid w:val="2C8A6A0D"/>
    <w:rsid w:val="2C9376E1"/>
    <w:rsid w:val="2CA94AB0"/>
    <w:rsid w:val="2CC107F2"/>
    <w:rsid w:val="2D8D2C9B"/>
    <w:rsid w:val="2DA84238"/>
    <w:rsid w:val="2E0B548C"/>
    <w:rsid w:val="2E3652AC"/>
    <w:rsid w:val="2E4271FD"/>
    <w:rsid w:val="2E4C34CA"/>
    <w:rsid w:val="2E6F4F93"/>
    <w:rsid w:val="2EF213FD"/>
    <w:rsid w:val="2F1F5CFC"/>
    <w:rsid w:val="2FE54303"/>
    <w:rsid w:val="2FF6520B"/>
    <w:rsid w:val="30373592"/>
    <w:rsid w:val="30BB08CE"/>
    <w:rsid w:val="30CE093C"/>
    <w:rsid w:val="30D82FEF"/>
    <w:rsid w:val="30F87BB9"/>
    <w:rsid w:val="30F93D50"/>
    <w:rsid w:val="314F24DE"/>
    <w:rsid w:val="31834069"/>
    <w:rsid w:val="326F08EC"/>
    <w:rsid w:val="32930AE2"/>
    <w:rsid w:val="32A109D5"/>
    <w:rsid w:val="32AB6AB5"/>
    <w:rsid w:val="32C876A4"/>
    <w:rsid w:val="32EC3440"/>
    <w:rsid w:val="32F838DC"/>
    <w:rsid w:val="332F393F"/>
    <w:rsid w:val="33411E80"/>
    <w:rsid w:val="334962CB"/>
    <w:rsid w:val="3381083C"/>
    <w:rsid w:val="33876302"/>
    <w:rsid w:val="33956409"/>
    <w:rsid w:val="33A50BB4"/>
    <w:rsid w:val="33D501FC"/>
    <w:rsid w:val="33DE41C9"/>
    <w:rsid w:val="33FF2249"/>
    <w:rsid w:val="340A45D9"/>
    <w:rsid w:val="341F2490"/>
    <w:rsid w:val="345E07BA"/>
    <w:rsid w:val="34D4119B"/>
    <w:rsid w:val="34F458D7"/>
    <w:rsid w:val="35005E94"/>
    <w:rsid w:val="35191989"/>
    <w:rsid w:val="352F0AD2"/>
    <w:rsid w:val="358C1434"/>
    <w:rsid w:val="359F73FA"/>
    <w:rsid w:val="35A276A1"/>
    <w:rsid w:val="35C0732F"/>
    <w:rsid w:val="35D502CE"/>
    <w:rsid w:val="35F7653E"/>
    <w:rsid w:val="361D2A8C"/>
    <w:rsid w:val="36282F12"/>
    <w:rsid w:val="36B01D22"/>
    <w:rsid w:val="37000619"/>
    <w:rsid w:val="37417C15"/>
    <w:rsid w:val="37CF321E"/>
    <w:rsid w:val="37D6728E"/>
    <w:rsid w:val="37EB3E59"/>
    <w:rsid w:val="37F35BBA"/>
    <w:rsid w:val="37F44F2A"/>
    <w:rsid w:val="37F558D3"/>
    <w:rsid w:val="383212FF"/>
    <w:rsid w:val="384F75E4"/>
    <w:rsid w:val="387616E1"/>
    <w:rsid w:val="389948EE"/>
    <w:rsid w:val="389D242E"/>
    <w:rsid w:val="38C223AB"/>
    <w:rsid w:val="38EA58E2"/>
    <w:rsid w:val="38F1098C"/>
    <w:rsid w:val="38F56C58"/>
    <w:rsid w:val="39211CE8"/>
    <w:rsid w:val="395720D7"/>
    <w:rsid w:val="395F3E2A"/>
    <w:rsid w:val="39814DF2"/>
    <w:rsid w:val="3A306EEB"/>
    <w:rsid w:val="3A5D1E0C"/>
    <w:rsid w:val="3A8B670C"/>
    <w:rsid w:val="3A8C58E0"/>
    <w:rsid w:val="3A9E1CE6"/>
    <w:rsid w:val="3AA7644F"/>
    <w:rsid w:val="3B085F92"/>
    <w:rsid w:val="3B0E2AB6"/>
    <w:rsid w:val="3B7F4E52"/>
    <w:rsid w:val="3B867873"/>
    <w:rsid w:val="3B8F0F52"/>
    <w:rsid w:val="3BD67C2F"/>
    <w:rsid w:val="3C0975A0"/>
    <w:rsid w:val="3C8173F7"/>
    <w:rsid w:val="3C853F78"/>
    <w:rsid w:val="3CB41868"/>
    <w:rsid w:val="3CC332D9"/>
    <w:rsid w:val="3D1C6A41"/>
    <w:rsid w:val="3D523B6C"/>
    <w:rsid w:val="3DD804A4"/>
    <w:rsid w:val="3E0A3EE2"/>
    <w:rsid w:val="3E1C2310"/>
    <w:rsid w:val="3E2214F0"/>
    <w:rsid w:val="3E85664F"/>
    <w:rsid w:val="3E927D07"/>
    <w:rsid w:val="3E9411D8"/>
    <w:rsid w:val="3E984D56"/>
    <w:rsid w:val="3F3168F9"/>
    <w:rsid w:val="3F7608AE"/>
    <w:rsid w:val="404814EF"/>
    <w:rsid w:val="40664A21"/>
    <w:rsid w:val="4074518C"/>
    <w:rsid w:val="40D631B3"/>
    <w:rsid w:val="415A7C38"/>
    <w:rsid w:val="41617973"/>
    <w:rsid w:val="41987CEC"/>
    <w:rsid w:val="41E420D2"/>
    <w:rsid w:val="41F53679"/>
    <w:rsid w:val="41FB2769"/>
    <w:rsid w:val="4201746D"/>
    <w:rsid w:val="42090BCF"/>
    <w:rsid w:val="426A1F88"/>
    <w:rsid w:val="429E5939"/>
    <w:rsid w:val="42F729DA"/>
    <w:rsid w:val="43095E7A"/>
    <w:rsid w:val="43204498"/>
    <w:rsid w:val="433C41A2"/>
    <w:rsid w:val="438B6F91"/>
    <w:rsid w:val="43AC5419"/>
    <w:rsid w:val="43B25AE6"/>
    <w:rsid w:val="43CB02F2"/>
    <w:rsid w:val="43D01187"/>
    <w:rsid w:val="43E962D0"/>
    <w:rsid w:val="44171987"/>
    <w:rsid w:val="442C7B41"/>
    <w:rsid w:val="44805975"/>
    <w:rsid w:val="448D56D8"/>
    <w:rsid w:val="44A577F2"/>
    <w:rsid w:val="44B042CE"/>
    <w:rsid w:val="44BA3AE1"/>
    <w:rsid w:val="44E171D6"/>
    <w:rsid w:val="450C53B3"/>
    <w:rsid w:val="452F3FEC"/>
    <w:rsid w:val="459D5020"/>
    <w:rsid w:val="460C4D52"/>
    <w:rsid w:val="461236FC"/>
    <w:rsid w:val="46227129"/>
    <w:rsid w:val="46451E9F"/>
    <w:rsid w:val="46620533"/>
    <w:rsid w:val="46832F6F"/>
    <w:rsid w:val="4689576C"/>
    <w:rsid w:val="46BD43FF"/>
    <w:rsid w:val="46CB6B84"/>
    <w:rsid w:val="4731442C"/>
    <w:rsid w:val="474C52EC"/>
    <w:rsid w:val="476C26E2"/>
    <w:rsid w:val="47BC0267"/>
    <w:rsid w:val="47C54BA4"/>
    <w:rsid w:val="47E85545"/>
    <w:rsid w:val="47F63AB4"/>
    <w:rsid w:val="481E1E96"/>
    <w:rsid w:val="48D04F3E"/>
    <w:rsid w:val="48D176F7"/>
    <w:rsid w:val="48F13783"/>
    <w:rsid w:val="4903761E"/>
    <w:rsid w:val="49037F4E"/>
    <w:rsid w:val="495C5AC9"/>
    <w:rsid w:val="49623A81"/>
    <w:rsid w:val="4A217702"/>
    <w:rsid w:val="4A5E19C4"/>
    <w:rsid w:val="4A8B1BD7"/>
    <w:rsid w:val="4AEC6DA7"/>
    <w:rsid w:val="4B545282"/>
    <w:rsid w:val="4B755366"/>
    <w:rsid w:val="4B7FC03E"/>
    <w:rsid w:val="4B8817DC"/>
    <w:rsid w:val="4B901628"/>
    <w:rsid w:val="4BA34DF2"/>
    <w:rsid w:val="4BB05C69"/>
    <w:rsid w:val="4BB638ED"/>
    <w:rsid w:val="4C156231"/>
    <w:rsid w:val="4C174A9D"/>
    <w:rsid w:val="4C1D2FD3"/>
    <w:rsid w:val="4C5E351A"/>
    <w:rsid w:val="4C8139B2"/>
    <w:rsid w:val="4C871928"/>
    <w:rsid w:val="4C964F08"/>
    <w:rsid w:val="4CBA50F3"/>
    <w:rsid w:val="4CCE6EF9"/>
    <w:rsid w:val="4CDB5A3C"/>
    <w:rsid w:val="4D102FB5"/>
    <w:rsid w:val="4D2D05F8"/>
    <w:rsid w:val="4D4054E3"/>
    <w:rsid w:val="4D50742B"/>
    <w:rsid w:val="4D739F1D"/>
    <w:rsid w:val="4DF255FB"/>
    <w:rsid w:val="4DF474A8"/>
    <w:rsid w:val="4E651AC5"/>
    <w:rsid w:val="4E94257F"/>
    <w:rsid w:val="4EA72E9C"/>
    <w:rsid w:val="4ED65279"/>
    <w:rsid w:val="4EDE51DC"/>
    <w:rsid w:val="4EE86EFB"/>
    <w:rsid w:val="4F3E5FD3"/>
    <w:rsid w:val="4F5575B8"/>
    <w:rsid w:val="4F821782"/>
    <w:rsid w:val="4F9A44D3"/>
    <w:rsid w:val="4FF260E2"/>
    <w:rsid w:val="50243DC2"/>
    <w:rsid w:val="5029650D"/>
    <w:rsid w:val="503544F8"/>
    <w:rsid w:val="504E6E89"/>
    <w:rsid w:val="505A5D95"/>
    <w:rsid w:val="50A365D5"/>
    <w:rsid w:val="50AF5D81"/>
    <w:rsid w:val="50B24604"/>
    <w:rsid w:val="512951CE"/>
    <w:rsid w:val="513D513B"/>
    <w:rsid w:val="516E247B"/>
    <w:rsid w:val="51733512"/>
    <w:rsid w:val="51D11EDA"/>
    <w:rsid w:val="51EA481A"/>
    <w:rsid w:val="52111840"/>
    <w:rsid w:val="52350D7E"/>
    <w:rsid w:val="5248195A"/>
    <w:rsid w:val="52916210"/>
    <w:rsid w:val="529772B4"/>
    <w:rsid w:val="52A010A5"/>
    <w:rsid w:val="52B3023F"/>
    <w:rsid w:val="52DF0841"/>
    <w:rsid w:val="52ED2FF0"/>
    <w:rsid w:val="53186574"/>
    <w:rsid w:val="531A0348"/>
    <w:rsid w:val="536667DA"/>
    <w:rsid w:val="53D11F8B"/>
    <w:rsid w:val="53DA010E"/>
    <w:rsid w:val="540B75DC"/>
    <w:rsid w:val="540E2B6B"/>
    <w:rsid w:val="54202568"/>
    <w:rsid w:val="54341F22"/>
    <w:rsid w:val="545F2568"/>
    <w:rsid w:val="547C612F"/>
    <w:rsid w:val="54B802F8"/>
    <w:rsid w:val="54DF23A0"/>
    <w:rsid w:val="54E02BD5"/>
    <w:rsid w:val="54EC4461"/>
    <w:rsid w:val="54F64349"/>
    <w:rsid w:val="553931C3"/>
    <w:rsid w:val="55810352"/>
    <w:rsid w:val="55B3535F"/>
    <w:rsid w:val="55F05F9C"/>
    <w:rsid w:val="564C2081"/>
    <w:rsid w:val="56995663"/>
    <w:rsid w:val="56D17CA4"/>
    <w:rsid w:val="56FC53E4"/>
    <w:rsid w:val="571F76A6"/>
    <w:rsid w:val="57362D58"/>
    <w:rsid w:val="57555A0A"/>
    <w:rsid w:val="578E6F21"/>
    <w:rsid w:val="579B168F"/>
    <w:rsid w:val="57AD7071"/>
    <w:rsid w:val="57C71C02"/>
    <w:rsid w:val="57DD0FAC"/>
    <w:rsid w:val="582663B5"/>
    <w:rsid w:val="583C0190"/>
    <w:rsid w:val="58572D01"/>
    <w:rsid w:val="58725D81"/>
    <w:rsid w:val="58C47F8C"/>
    <w:rsid w:val="58CA633C"/>
    <w:rsid w:val="58DC0313"/>
    <w:rsid w:val="593C10AF"/>
    <w:rsid w:val="59952B48"/>
    <w:rsid w:val="5A1B27EA"/>
    <w:rsid w:val="5A3427E6"/>
    <w:rsid w:val="5A595806"/>
    <w:rsid w:val="5A6C6FBA"/>
    <w:rsid w:val="5A80381E"/>
    <w:rsid w:val="5A9C7748"/>
    <w:rsid w:val="5ACD74C1"/>
    <w:rsid w:val="5AE72602"/>
    <w:rsid w:val="5B241D3F"/>
    <w:rsid w:val="5B45216D"/>
    <w:rsid w:val="5B57329D"/>
    <w:rsid w:val="5B742C3F"/>
    <w:rsid w:val="5BCB7CE5"/>
    <w:rsid w:val="5C1067F5"/>
    <w:rsid w:val="5C9B4FAE"/>
    <w:rsid w:val="5CBF07FE"/>
    <w:rsid w:val="5CC264DF"/>
    <w:rsid w:val="5CC31440"/>
    <w:rsid w:val="5D232C6A"/>
    <w:rsid w:val="5D69694B"/>
    <w:rsid w:val="5D8871F5"/>
    <w:rsid w:val="5D8E0205"/>
    <w:rsid w:val="5DB547AC"/>
    <w:rsid w:val="5DCA4DF1"/>
    <w:rsid w:val="5DDD21AE"/>
    <w:rsid w:val="5DF248A3"/>
    <w:rsid w:val="5E396B1A"/>
    <w:rsid w:val="5E621883"/>
    <w:rsid w:val="5E6F7D04"/>
    <w:rsid w:val="5E8D4AE8"/>
    <w:rsid w:val="5F1342E3"/>
    <w:rsid w:val="5F1E3F74"/>
    <w:rsid w:val="5F343A1C"/>
    <w:rsid w:val="5F51199F"/>
    <w:rsid w:val="5F53015B"/>
    <w:rsid w:val="5F8202F3"/>
    <w:rsid w:val="5F8515AF"/>
    <w:rsid w:val="5F9B3FD1"/>
    <w:rsid w:val="5FA24C86"/>
    <w:rsid w:val="600F4D7E"/>
    <w:rsid w:val="60966775"/>
    <w:rsid w:val="60E33D00"/>
    <w:rsid w:val="610858BA"/>
    <w:rsid w:val="610D025C"/>
    <w:rsid w:val="6167312F"/>
    <w:rsid w:val="619D133D"/>
    <w:rsid w:val="61BB5089"/>
    <w:rsid w:val="61BD035D"/>
    <w:rsid w:val="61E13030"/>
    <w:rsid w:val="621F55F2"/>
    <w:rsid w:val="622E5072"/>
    <w:rsid w:val="624913A5"/>
    <w:rsid w:val="631D27E4"/>
    <w:rsid w:val="636B6F62"/>
    <w:rsid w:val="63986906"/>
    <w:rsid w:val="63AE1EC8"/>
    <w:rsid w:val="63BD71D2"/>
    <w:rsid w:val="63FF15C5"/>
    <w:rsid w:val="641A35C6"/>
    <w:rsid w:val="64206922"/>
    <w:rsid w:val="64895905"/>
    <w:rsid w:val="64965449"/>
    <w:rsid w:val="64C4733D"/>
    <w:rsid w:val="64CB4E74"/>
    <w:rsid w:val="64F85999"/>
    <w:rsid w:val="64FE66D5"/>
    <w:rsid w:val="65122D8E"/>
    <w:rsid w:val="65266A5A"/>
    <w:rsid w:val="65400FE0"/>
    <w:rsid w:val="656A5407"/>
    <w:rsid w:val="657F64CA"/>
    <w:rsid w:val="659447A2"/>
    <w:rsid w:val="65A03666"/>
    <w:rsid w:val="65A95ECD"/>
    <w:rsid w:val="65C17FAE"/>
    <w:rsid w:val="65DB41DB"/>
    <w:rsid w:val="65F14125"/>
    <w:rsid w:val="66CC18E2"/>
    <w:rsid w:val="66CD03A4"/>
    <w:rsid w:val="6712276E"/>
    <w:rsid w:val="674915F3"/>
    <w:rsid w:val="67754D1D"/>
    <w:rsid w:val="67DA1704"/>
    <w:rsid w:val="684730A2"/>
    <w:rsid w:val="687016FB"/>
    <w:rsid w:val="6876B64C"/>
    <w:rsid w:val="68D67EF7"/>
    <w:rsid w:val="68E54CE5"/>
    <w:rsid w:val="68F552A9"/>
    <w:rsid w:val="69082B8B"/>
    <w:rsid w:val="694677FB"/>
    <w:rsid w:val="696A6892"/>
    <w:rsid w:val="69905BCA"/>
    <w:rsid w:val="69A146BE"/>
    <w:rsid w:val="69CF1440"/>
    <w:rsid w:val="69D944F6"/>
    <w:rsid w:val="6A3B6AB3"/>
    <w:rsid w:val="6A816E66"/>
    <w:rsid w:val="6A9C7A7C"/>
    <w:rsid w:val="6AC902C4"/>
    <w:rsid w:val="6AE422C6"/>
    <w:rsid w:val="6B0F7E13"/>
    <w:rsid w:val="6B20278D"/>
    <w:rsid w:val="6B564BA9"/>
    <w:rsid w:val="6B6D514E"/>
    <w:rsid w:val="6B765C28"/>
    <w:rsid w:val="6B7D157F"/>
    <w:rsid w:val="6B926506"/>
    <w:rsid w:val="6B99284E"/>
    <w:rsid w:val="6BB206AF"/>
    <w:rsid w:val="6BCF3B98"/>
    <w:rsid w:val="6C025A88"/>
    <w:rsid w:val="6C5337C5"/>
    <w:rsid w:val="6C7F1077"/>
    <w:rsid w:val="6C8516B8"/>
    <w:rsid w:val="6C8B5F9C"/>
    <w:rsid w:val="6C8E7C48"/>
    <w:rsid w:val="6CB2610E"/>
    <w:rsid w:val="6CD27B25"/>
    <w:rsid w:val="6D117E40"/>
    <w:rsid w:val="6D313E69"/>
    <w:rsid w:val="6D596DB2"/>
    <w:rsid w:val="6D7F4D71"/>
    <w:rsid w:val="6DA63A95"/>
    <w:rsid w:val="6DE87536"/>
    <w:rsid w:val="6E0062F2"/>
    <w:rsid w:val="6E4A1EC9"/>
    <w:rsid w:val="6E6937DE"/>
    <w:rsid w:val="6EC34184"/>
    <w:rsid w:val="6F347726"/>
    <w:rsid w:val="6FDA73AD"/>
    <w:rsid w:val="700352EB"/>
    <w:rsid w:val="700E22AC"/>
    <w:rsid w:val="70494800"/>
    <w:rsid w:val="704A63D3"/>
    <w:rsid w:val="70770AEA"/>
    <w:rsid w:val="708F1332"/>
    <w:rsid w:val="70BF3A22"/>
    <w:rsid w:val="70D81DC5"/>
    <w:rsid w:val="70D83C5F"/>
    <w:rsid w:val="71197FAB"/>
    <w:rsid w:val="711D00A1"/>
    <w:rsid w:val="713E3073"/>
    <w:rsid w:val="713F78DE"/>
    <w:rsid w:val="71512845"/>
    <w:rsid w:val="71560DD5"/>
    <w:rsid w:val="71BE26E1"/>
    <w:rsid w:val="71E70143"/>
    <w:rsid w:val="726941FE"/>
    <w:rsid w:val="727F32B0"/>
    <w:rsid w:val="72DD1D77"/>
    <w:rsid w:val="72EC3CDC"/>
    <w:rsid w:val="73375446"/>
    <w:rsid w:val="7346073E"/>
    <w:rsid w:val="739748CA"/>
    <w:rsid w:val="73A24220"/>
    <w:rsid w:val="73C17A18"/>
    <w:rsid w:val="740828AE"/>
    <w:rsid w:val="74192B1A"/>
    <w:rsid w:val="742C3E0D"/>
    <w:rsid w:val="74993668"/>
    <w:rsid w:val="74F84E53"/>
    <w:rsid w:val="7522165E"/>
    <w:rsid w:val="752A6E12"/>
    <w:rsid w:val="752F20C6"/>
    <w:rsid w:val="7544268D"/>
    <w:rsid w:val="75FA73B3"/>
    <w:rsid w:val="76130DC3"/>
    <w:rsid w:val="76154754"/>
    <w:rsid w:val="7626124D"/>
    <w:rsid w:val="76283D5C"/>
    <w:rsid w:val="763E401A"/>
    <w:rsid w:val="76690654"/>
    <w:rsid w:val="768D6C8C"/>
    <w:rsid w:val="76964C4D"/>
    <w:rsid w:val="76C82A13"/>
    <w:rsid w:val="76EF4853"/>
    <w:rsid w:val="77286F9E"/>
    <w:rsid w:val="778B6351"/>
    <w:rsid w:val="77BF2045"/>
    <w:rsid w:val="77DA3CB5"/>
    <w:rsid w:val="77EF79A8"/>
    <w:rsid w:val="77FD3EE3"/>
    <w:rsid w:val="77FF59E1"/>
    <w:rsid w:val="78716977"/>
    <w:rsid w:val="789C7503"/>
    <w:rsid w:val="791B073E"/>
    <w:rsid w:val="794C459B"/>
    <w:rsid w:val="796F74E0"/>
    <w:rsid w:val="79851861"/>
    <w:rsid w:val="7A2101FB"/>
    <w:rsid w:val="7A2339BD"/>
    <w:rsid w:val="7A377443"/>
    <w:rsid w:val="7A4B0655"/>
    <w:rsid w:val="7A637111"/>
    <w:rsid w:val="7A952475"/>
    <w:rsid w:val="7AA7735F"/>
    <w:rsid w:val="7ACF3773"/>
    <w:rsid w:val="7AD5702C"/>
    <w:rsid w:val="7AFD4F5B"/>
    <w:rsid w:val="7B1148DB"/>
    <w:rsid w:val="7B163C59"/>
    <w:rsid w:val="7B42540E"/>
    <w:rsid w:val="7B8A2C17"/>
    <w:rsid w:val="7BD131A0"/>
    <w:rsid w:val="7BDD6A0C"/>
    <w:rsid w:val="7BEA0B27"/>
    <w:rsid w:val="7C02156D"/>
    <w:rsid w:val="7C2E3B19"/>
    <w:rsid w:val="7C7F44C9"/>
    <w:rsid w:val="7C871A75"/>
    <w:rsid w:val="7C9D754E"/>
    <w:rsid w:val="7CBE3AA2"/>
    <w:rsid w:val="7CC5219B"/>
    <w:rsid w:val="7CCC1325"/>
    <w:rsid w:val="7CE17E9E"/>
    <w:rsid w:val="7D5657DC"/>
    <w:rsid w:val="7D8B601E"/>
    <w:rsid w:val="7D92285A"/>
    <w:rsid w:val="7E333919"/>
    <w:rsid w:val="7E3711AE"/>
    <w:rsid w:val="7E3740BF"/>
    <w:rsid w:val="7E730E91"/>
    <w:rsid w:val="7ECC2030"/>
    <w:rsid w:val="7F427C3D"/>
    <w:rsid w:val="7F446D58"/>
    <w:rsid w:val="7F46116C"/>
    <w:rsid w:val="7F515D5D"/>
    <w:rsid w:val="7F5B0102"/>
    <w:rsid w:val="7F690890"/>
    <w:rsid w:val="7F6FD015"/>
    <w:rsid w:val="7F7514BF"/>
    <w:rsid w:val="7F9BB7E1"/>
    <w:rsid w:val="7FEB6A2A"/>
    <w:rsid w:val="7FF56A5D"/>
    <w:rsid w:val="BEFBFBE1"/>
    <w:rsid w:val="D9ED0936"/>
    <w:rsid w:val="DDEF03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unhideWhenUsed/>
    <w:qFormat/>
    <w:uiPriority w:val="9"/>
    <w:pPr>
      <w:keepNext/>
      <w:keepLines/>
      <w:spacing w:before="120" w:after="120"/>
      <w:outlineLvl w:val="2"/>
    </w:pPr>
    <w:rPr>
      <w:rFonts w:ascii="黑体" w:hAnsi="黑体" w:eastAsia="黑体"/>
      <w:bCs/>
      <w:szCs w:val="32"/>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9"/>
    <w:unhideWhenUsed/>
    <w:qFormat/>
    <w:uiPriority w:val="0"/>
    <w:pPr>
      <w:jc w:val="left"/>
    </w:pPr>
  </w:style>
  <w:style w:type="paragraph" w:styleId="4">
    <w:name w:val="Body Text"/>
    <w:basedOn w:val="1"/>
    <w:link w:val="28"/>
    <w:unhideWhenUsed/>
    <w:qFormat/>
    <w:uiPriority w:val="99"/>
    <w:pPr>
      <w:spacing w:after="120"/>
    </w:pPr>
  </w:style>
  <w:style w:type="paragraph" w:styleId="5">
    <w:name w:val="footer"/>
    <w:basedOn w:val="1"/>
    <w:link w:val="16"/>
    <w:unhideWhenUsed/>
    <w:qFormat/>
    <w:uiPriority w:val="99"/>
    <w:pPr>
      <w:tabs>
        <w:tab w:val="center" w:pos="4153"/>
        <w:tab w:val="right" w:pos="8306"/>
      </w:tabs>
      <w:snapToGrid w:val="0"/>
      <w:jc w:val="left"/>
    </w:pPr>
    <w:rPr>
      <w:sz w:val="18"/>
      <w:szCs w:val="18"/>
    </w:rPr>
  </w:style>
  <w:style w:type="paragraph" w:styleId="6">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widowControl/>
      <w:spacing w:before="136" w:after="68"/>
      <w:jc w:val="left"/>
    </w:pPr>
    <w:rPr>
      <w:rFonts w:ascii="Verdana" w:hAnsi="Verdana" w:eastAsia="宋体" w:cs="宋体"/>
      <w:color w:val="333333"/>
      <w:kern w:val="0"/>
      <w:sz w:val="16"/>
      <w:szCs w:val="16"/>
    </w:rPr>
  </w:style>
  <w:style w:type="paragraph" w:styleId="8">
    <w:name w:val="annotation subject"/>
    <w:basedOn w:val="3"/>
    <w:next w:val="3"/>
    <w:link w:val="20"/>
    <w:semiHidden/>
    <w:unhideWhenUsed/>
    <w:qFormat/>
    <w:uiPriority w:val="99"/>
    <w:rPr>
      <w:b/>
      <w:bCs/>
    </w:rPr>
  </w:style>
  <w:style w:type="paragraph" w:styleId="9">
    <w:name w:val="Body Text First Indent"/>
    <w:basedOn w:val="4"/>
    <w:link w:val="29"/>
    <w:semiHidden/>
    <w:unhideWhenUsed/>
    <w:qFormat/>
    <w:uiPriority w:val="99"/>
    <w:pPr>
      <w:ind w:firstLine="420" w:firstLineChars="100"/>
    </w:pPr>
  </w:style>
  <w:style w:type="table" w:styleId="11">
    <w:name w:val="Table Grid"/>
    <w:basedOn w:val="1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qFormat/>
    <w:uiPriority w:val="0"/>
    <w:rPr>
      <w:b/>
      <w:bCs/>
    </w:rPr>
  </w:style>
  <w:style w:type="character" w:styleId="14">
    <w:name w:val="annotation reference"/>
    <w:basedOn w:val="12"/>
    <w:unhideWhenUsed/>
    <w:qFormat/>
    <w:uiPriority w:val="0"/>
    <w:rPr>
      <w:sz w:val="21"/>
      <w:szCs w:val="21"/>
    </w:rPr>
  </w:style>
  <w:style w:type="character" w:customStyle="1" w:styleId="15">
    <w:name w:val="页眉 字符"/>
    <w:basedOn w:val="12"/>
    <w:link w:val="6"/>
    <w:qFormat/>
    <w:uiPriority w:val="99"/>
    <w:rPr>
      <w:sz w:val="18"/>
      <w:szCs w:val="18"/>
    </w:rPr>
  </w:style>
  <w:style w:type="character" w:customStyle="1" w:styleId="16">
    <w:name w:val="页脚 字符"/>
    <w:basedOn w:val="12"/>
    <w:link w:val="5"/>
    <w:qFormat/>
    <w:uiPriority w:val="99"/>
    <w:rPr>
      <w:sz w:val="18"/>
      <w:szCs w:val="18"/>
    </w:rPr>
  </w:style>
  <w:style w:type="paragraph" w:styleId="17">
    <w:name w:val="List Paragraph"/>
    <w:basedOn w:val="1"/>
    <w:qFormat/>
    <w:uiPriority w:val="34"/>
    <w:pPr>
      <w:ind w:firstLine="420" w:firstLineChars="200"/>
    </w:pPr>
  </w:style>
  <w:style w:type="paragraph" w:customStyle="1" w:styleId="18">
    <w:name w:val="段落正文"/>
    <w:basedOn w:val="1"/>
    <w:qFormat/>
    <w:uiPriority w:val="0"/>
    <w:pPr>
      <w:ind w:firstLine="420" w:firstLineChars="200"/>
    </w:pPr>
  </w:style>
  <w:style w:type="character" w:customStyle="1" w:styleId="19">
    <w:name w:val="批注文字 字符"/>
    <w:basedOn w:val="12"/>
    <w:link w:val="3"/>
    <w:qFormat/>
    <w:uiPriority w:val="0"/>
    <w:rPr>
      <w:kern w:val="2"/>
      <w:sz w:val="21"/>
      <w:szCs w:val="22"/>
    </w:rPr>
  </w:style>
  <w:style w:type="character" w:customStyle="1" w:styleId="20">
    <w:name w:val="批注主题 字符"/>
    <w:basedOn w:val="19"/>
    <w:link w:val="8"/>
    <w:semiHidden/>
    <w:qFormat/>
    <w:uiPriority w:val="99"/>
    <w:rPr>
      <w:b/>
      <w:bCs/>
      <w:kern w:val="2"/>
      <w:sz w:val="21"/>
      <w:szCs w:val="22"/>
    </w:rPr>
  </w:style>
  <w:style w:type="paragraph" w:customStyle="1" w:styleId="21">
    <w:name w:val="文"/>
    <w:basedOn w:val="1"/>
    <w:link w:val="22"/>
    <w:qFormat/>
    <w:uiPriority w:val="0"/>
    <w:pPr>
      <w:spacing w:line="360" w:lineRule="auto"/>
      <w:ind w:firstLine="480"/>
    </w:pPr>
    <w:rPr>
      <w:rFonts w:ascii="宋体" w:hAnsi="宋体" w:eastAsia="宋体" w:cs="Times New Roman"/>
      <w:sz w:val="24"/>
    </w:rPr>
  </w:style>
  <w:style w:type="character" w:customStyle="1" w:styleId="22">
    <w:name w:val="文 字符"/>
    <w:basedOn w:val="12"/>
    <w:link w:val="21"/>
    <w:qFormat/>
    <w:uiPriority w:val="0"/>
    <w:rPr>
      <w:rFonts w:ascii="宋体" w:hAnsi="宋体" w:eastAsia="宋体" w:cs="Times New Roman"/>
      <w:kern w:val="2"/>
      <w:sz w:val="24"/>
      <w:szCs w:val="22"/>
    </w:rPr>
  </w:style>
  <w:style w:type="paragraph" w:customStyle="1" w:styleId="23">
    <w:name w:val="_Style 18"/>
    <w:basedOn w:val="1"/>
    <w:next w:val="17"/>
    <w:qFormat/>
    <w:uiPriority w:val="99"/>
    <w:pPr>
      <w:spacing w:line="400" w:lineRule="exact"/>
      <w:ind w:left="420" w:firstLine="420" w:firstLineChars="200"/>
    </w:pPr>
    <w:rPr>
      <w:rFonts w:ascii="Times New Roman" w:hAnsi="Times New Roman" w:eastAsia="宋体" w:cs="Times New Roman"/>
      <w:szCs w:val="24"/>
    </w:rPr>
  </w:style>
  <w:style w:type="character" w:customStyle="1" w:styleId="24">
    <w:name w:val="批注文字 Char"/>
    <w:qFormat/>
    <w:uiPriority w:val="0"/>
    <w:rPr>
      <w:kern w:val="2"/>
      <w:sz w:val="21"/>
      <w:szCs w:val="24"/>
    </w:rPr>
  </w:style>
  <w:style w:type="paragraph" w:customStyle="1" w:styleId="25">
    <w:name w:val="Revision"/>
    <w:hidden/>
    <w:unhideWhenUsed/>
    <w:qFormat/>
    <w:uiPriority w:val="99"/>
    <w:rPr>
      <w:rFonts w:asciiTheme="minorHAnsi" w:hAnsiTheme="minorHAnsi" w:eastAsiaTheme="minorEastAsia" w:cstheme="minorBidi"/>
      <w:kern w:val="2"/>
      <w:sz w:val="21"/>
      <w:szCs w:val="22"/>
      <w:lang w:val="en-US" w:eastAsia="zh-CN" w:bidi="ar-SA"/>
    </w:rPr>
  </w:style>
  <w:style w:type="paragraph" w:customStyle="1" w:styleId="26">
    <w:name w:val="pf0"/>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27">
    <w:name w:val="cf01"/>
    <w:basedOn w:val="12"/>
    <w:qFormat/>
    <w:uiPriority w:val="0"/>
    <w:rPr>
      <w:rFonts w:hint="eastAsia" w:ascii="Microsoft YaHei UI" w:hAnsi="Microsoft YaHei UI" w:eastAsia="Microsoft YaHei UI"/>
      <w:sz w:val="18"/>
      <w:szCs w:val="18"/>
    </w:rPr>
  </w:style>
  <w:style w:type="character" w:customStyle="1" w:styleId="28">
    <w:name w:val="正文文本 字符"/>
    <w:basedOn w:val="12"/>
    <w:link w:val="4"/>
    <w:qFormat/>
    <w:uiPriority w:val="99"/>
    <w:rPr>
      <w:rFonts w:asciiTheme="minorHAnsi" w:hAnsiTheme="minorHAnsi" w:eastAsiaTheme="minorEastAsia" w:cstheme="minorBidi"/>
      <w:kern w:val="2"/>
      <w:sz w:val="21"/>
      <w:szCs w:val="22"/>
    </w:rPr>
  </w:style>
  <w:style w:type="character" w:customStyle="1" w:styleId="29">
    <w:name w:val="正文文本首行缩进 字符"/>
    <w:basedOn w:val="28"/>
    <w:link w:val="9"/>
    <w:semiHidden/>
    <w:qFormat/>
    <w:uiPriority w:val="99"/>
    <w:rPr>
      <w:rFonts w:asciiTheme="minorHAnsi" w:hAnsiTheme="minorHAnsi" w:eastAsiaTheme="minorEastAsia" w:cstheme="minorBidi"/>
      <w:kern w:val="2"/>
      <w:sz w:val="21"/>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7051</Words>
  <Characters>7232</Characters>
  <Lines>87</Lines>
  <Paragraphs>24</Paragraphs>
  <TotalTime>8</TotalTime>
  <ScaleCrop>false</ScaleCrop>
  <LinksUpToDate>false</LinksUpToDate>
  <CharactersWithSpaces>7253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2024-08-23T10:22:00Z</dcterms:created>
  <dc:creator>tops Yue</dc:creator>
  <cp:lastModifiedBy>方小锐</cp:lastModifiedBy>
  <dcterms:modified xsi:type="dcterms:W3CDTF">2025-03-27T08:20:13Z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E25F6E0CCA9A4070975B572C2FD6103F_13</vt:lpwstr>
  </property>
  <property fmtid="{D5CDD505-2E9C-101B-9397-08002B2CF9AE}" pid="4" name="KSOTemplateDocerSaveRecord">
    <vt:lpwstr>eyJoZGlkIjoiOTJlZjYzMzVkODA0ODNjODE3OTkzMjQxNzUxOGQwYzQiLCJ1c2VySWQiOiI0NDAwMzgwNDgifQ==</vt:lpwstr>
  </property>
</Properties>
</file>