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rPr>
          <w:rFonts w:hint="eastAsia" w:ascii="等线" w:hAnsi="等线" w:eastAsia="等线"/>
          <w:b/>
          <w:sz w:val="32"/>
          <w:szCs w:val="32"/>
        </w:rPr>
      </w:pPr>
      <w:bookmarkStart w:id="0" w:name="OLE_LINK1"/>
      <w:bookmarkStart w:id="1" w:name="_Hlk91836797"/>
      <w:r>
        <w:rPr>
          <w:rFonts w:hint="eastAsia" w:ascii="等线" w:hAnsi="等线" w:eastAsia="等线"/>
          <w:b/>
          <w:sz w:val="32"/>
          <w:szCs w:val="32"/>
        </w:rPr>
        <w:t>产品名称: 生物显微镜</w:t>
      </w:r>
    </w:p>
    <w:p>
      <w:pPr>
        <w:autoSpaceDE w:val="0"/>
        <w:autoSpaceDN w:val="0"/>
        <w:jc w:val="left"/>
        <w:rPr>
          <w:rFonts w:hint="eastAsia" w:ascii="宋体" w:hAnsi="宋体" w:eastAsia="宋体"/>
          <w:sz w:val="24"/>
          <w:szCs w:val="24"/>
        </w:rPr>
      </w:pPr>
      <w:r>
        <w:rPr>
          <w:rFonts w:hint="eastAsia" w:ascii="宋体" w:hAnsi="宋体" w:eastAsia="宋体"/>
          <w:sz w:val="24"/>
          <w:szCs w:val="24"/>
        </w:rPr>
        <w:t>1、观察筒：铰链式三目观察筒， 30°倾斜。铰链组可360°旋转，在标准60mm瞳距时，通过旋转双目筒，可将眼点高度提升30mm以上</w:t>
      </w:r>
    </w:p>
    <w:p>
      <w:pPr>
        <w:autoSpaceDE w:val="0"/>
        <w:autoSpaceDN w:val="0"/>
        <w:jc w:val="left"/>
        <w:rPr>
          <w:rFonts w:hint="eastAsia" w:ascii="宋体" w:hAnsi="宋体" w:eastAsia="宋体"/>
          <w:sz w:val="24"/>
          <w:szCs w:val="24"/>
        </w:rPr>
      </w:pPr>
      <w:r>
        <w:rPr>
          <w:rFonts w:hint="eastAsia" w:ascii="宋体" w:hAnsi="宋体" w:eastAsia="宋体"/>
          <w:sz w:val="24"/>
          <w:szCs w:val="24"/>
        </w:rPr>
        <w:t>2、目镜：带视度补偿、平场目镜，PL10X/≥22mm</w:t>
      </w:r>
    </w:p>
    <w:p>
      <w:pPr>
        <w:autoSpaceDE w:val="0"/>
        <w:autoSpaceDN w:val="0"/>
        <w:jc w:val="left"/>
        <w:rPr>
          <w:rFonts w:hint="eastAsia" w:ascii="宋体" w:hAnsi="宋体" w:eastAsia="宋体"/>
          <w:sz w:val="24"/>
          <w:szCs w:val="24"/>
        </w:rPr>
      </w:pPr>
      <w:r>
        <w:rPr>
          <w:rFonts w:hint="eastAsia" w:ascii="宋体" w:hAnsi="宋体" w:eastAsia="宋体"/>
          <w:sz w:val="24"/>
          <w:szCs w:val="24"/>
        </w:rPr>
        <w:t>3、物镜转换器：内定位内倾式伍孔转换器</w:t>
      </w:r>
    </w:p>
    <w:p>
      <w:pPr>
        <w:autoSpaceDE w:val="0"/>
        <w:autoSpaceDN w:val="0"/>
        <w:jc w:val="left"/>
        <w:rPr>
          <w:rFonts w:hint="eastAsia" w:ascii="宋体" w:hAnsi="宋体" w:eastAsia="宋体"/>
          <w:sz w:val="24"/>
          <w:szCs w:val="24"/>
        </w:rPr>
      </w:pPr>
      <w:bookmarkStart w:id="2" w:name="_Hlk128124044"/>
      <w:r>
        <w:rPr>
          <w:rFonts w:hint="eastAsia" w:ascii="宋体" w:hAnsi="宋体" w:eastAsia="宋体"/>
          <w:sz w:val="24"/>
          <w:szCs w:val="24"/>
        </w:rPr>
        <w:t>4、调焦机构：粗微调同轴，载物台上下行程≥30mm，带随机可调式平台上限位装置，全金属齿轮齿条调焦机构，微调精度0.002mm。</w:t>
      </w:r>
    </w:p>
    <w:bookmarkEnd w:id="2"/>
    <w:p>
      <w:pPr>
        <w:autoSpaceDE w:val="0"/>
        <w:autoSpaceDN w:val="0"/>
        <w:jc w:val="left"/>
        <w:rPr>
          <w:rFonts w:hint="eastAsia" w:ascii="宋体" w:hAnsi="宋体" w:eastAsia="宋体"/>
          <w:color w:val="000000"/>
          <w:sz w:val="24"/>
          <w:szCs w:val="24"/>
          <w:shd w:val="clear" w:color="auto" w:fill="FFFFFF"/>
        </w:rPr>
      </w:pPr>
      <w:r>
        <w:rPr>
          <w:rFonts w:hint="eastAsia" w:ascii="宋体" w:hAnsi="宋体" w:eastAsia="宋体"/>
          <w:color w:val="000000"/>
          <w:sz w:val="24"/>
          <w:szCs w:val="24"/>
          <w:shd w:val="clear" w:color="auto" w:fill="FFFFFF"/>
        </w:rPr>
        <w:t>聚光镜：数值孔径：N.A.1.25，齿轮齿条升降，带可变孔径光栏，带暗场、相衬附件接口</w:t>
      </w:r>
    </w:p>
    <w:p>
      <w:pPr>
        <w:widowControl/>
        <w:jc w:val="left"/>
        <w:rPr>
          <w:rFonts w:hint="eastAsia" w:ascii="宋体" w:hAnsi="宋体" w:eastAsia="宋体"/>
          <w:sz w:val="24"/>
          <w:szCs w:val="24"/>
        </w:rPr>
      </w:pPr>
      <w:r>
        <w:rPr>
          <w:rFonts w:hint="eastAsia" w:ascii="宋体" w:hAnsi="宋体" w:eastAsia="宋体"/>
          <w:sz w:val="24"/>
          <w:szCs w:val="24"/>
        </w:rPr>
        <w:t>5、</w:t>
      </w:r>
      <w:r>
        <w:rPr>
          <w:rFonts w:hint="eastAsia" w:ascii="宋体" w:hAnsi="宋体" w:eastAsia="宋体"/>
          <w:color w:val="000000"/>
          <w:sz w:val="24"/>
          <w:szCs w:val="24"/>
        </w:rPr>
        <w:t>载物台：双层机械移动平台，低手位X、Y方向同轴调节，线轨传动，X方向无齿条伸出。载物台面积≥210X170mm，移动范围≥78mmX50mm，片夹可同时夹持两块切片，方便对比观察。载物台侧向受5N水平方向作用力的最大位移（以检测报告中数据为准）≤0.01mm， 载物台侧向受5N水平方向作用力的不重复性（以检测报告中数据为准）≤0.002mm</w:t>
      </w:r>
      <w:r>
        <w:rPr>
          <w:rFonts w:hint="eastAsia" w:ascii="宋体" w:hAnsi="宋体" w:eastAsia="宋体"/>
          <w:bCs/>
          <w:kern w:val="0"/>
          <w:sz w:val="24"/>
          <w:szCs w:val="24"/>
        </w:rPr>
        <w:t xml:space="preserve"> </w:t>
      </w:r>
    </w:p>
    <w:p>
      <w:pPr>
        <w:widowControl/>
        <w:jc w:val="left"/>
        <w:rPr>
          <w:rFonts w:hint="eastAsia" w:ascii="宋体" w:hAnsi="宋体" w:eastAsia="宋体"/>
          <w:bCs/>
          <w:kern w:val="0"/>
          <w:sz w:val="24"/>
          <w:szCs w:val="24"/>
        </w:rPr>
      </w:pPr>
      <w:bookmarkStart w:id="3" w:name="_Hlk91836351"/>
      <w:bookmarkEnd w:id="3"/>
      <w:bookmarkStart w:id="4" w:name="_Hlk128119396"/>
      <w:bookmarkEnd w:id="4"/>
      <w:r>
        <w:rPr>
          <w:rFonts w:hint="eastAsia" w:ascii="宋体" w:hAnsi="宋体" w:eastAsia="宋体"/>
          <w:bCs/>
          <w:kern w:val="0"/>
          <w:sz w:val="24"/>
          <w:szCs w:val="24"/>
        </w:rPr>
        <w:t>6、无限远平场半复消色差荧光物镜：</w:t>
      </w:r>
      <w:r>
        <w:rPr>
          <w:rFonts w:hint="eastAsia" w:ascii="宋体" w:hAnsi="宋体" w:eastAsia="宋体"/>
          <w:sz w:val="24"/>
          <w:szCs w:val="24"/>
        </w:rPr>
        <w:t>4X：N.A.</w:t>
      </w:r>
      <w:r>
        <w:rPr>
          <w:rFonts w:hint="eastAsia" w:ascii="宋体" w:hAnsi="宋体" w:eastAsia="宋体"/>
          <w:kern w:val="0"/>
          <w:sz w:val="24"/>
          <w:szCs w:val="24"/>
        </w:rPr>
        <w:t>≥</w:t>
      </w:r>
      <w:r>
        <w:rPr>
          <w:rFonts w:hint="eastAsia" w:ascii="宋体" w:hAnsi="宋体" w:eastAsia="宋体"/>
          <w:sz w:val="24"/>
          <w:szCs w:val="24"/>
        </w:rPr>
        <w:t>0.13</w:t>
      </w:r>
      <w:r>
        <w:rPr>
          <w:rFonts w:hint="eastAsia" w:ascii="宋体" w:hAnsi="宋体" w:eastAsia="宋体"/>
          <w:bCs/>
          <w:kern w:val="0"/>
          <w:sz w:val="24"/>
          <w:szCs w:val="24"/>
        </w:rPr>
        <w:t>，10X：N.A.≥0.30，20X：N.A.≥0.50，40X：N.A.≥0.75</w:t>
      </w:r>
    </w:p>
    <w:p>
      <w:pPr>
        <w:rPr>
          <w:rFonts w:hint="eastAsia" w:ascii="宋体" w:hAnsi="宋体" w:eastAsia="宋体"/>
          <w:sz w:val="24"/>
          <w:szCs w:val="24"/>
        </w:rPr>
      </w:pPr>
      <w:r>
        <w:rPr>
          <w:rFonts w:hint="eastAsia" w:ascii="宋体" w:hAnsi="宋体" w:eastAsia="宋体"/>
          <w:sz w:val="24"/>
          <w:szCs w:val="24"/>
        </w:rPr>
        <w:t>7</w:t>
      </w:r>
      <w:r>
        <w:rPr>
          <w:rFonts w:hint="eastAsia" w:ascii="宋体" w:hAnsi="宋体" w:eastAsia="宋体"/>
          <w:color w:val="000000"/>
          <w:sz w:val="24"/>
          <w:szCs w:val="24"/>
        </w:rPr>
        <w:t>、照明系统：宽电压输入；大功率高亮度3W LED，带电源指示灯，防止人未关灯，避免安全隐患。</w:t>
      </w:r>
    </w:p>
    <w:p>
      <w:pPr>
        <w:rPr>
          <w:rFonts w:hint="eastAsia" w:ascii="宋体" w:hAnsi="宋体" w:eastAsia="宋体"/>
          <w:bCs/>
          <w:kern w:val="0"/>
          <w:sz w:val="24"/>
          <w:szCs w:val="24"/>
        </w:rPr>
      </w:pPr>
      <w:r>
        <w:rPr>
          <w:rFonts w:hint="eastAsia" w:ascii="宋体" w:hAnsi="宋体" w:eastAsia="宋体"/>
          <w:bCs/>
          <w:kern w:val="0"/>
          <w:sz w:val="24"/>
          <w:szCs w:val="24"/>
        </w:rPr>
        <w:t>8、荧光装置：</w:t>
      </w:r>
      <w:r>
        <w:rPr>
          <w:rFonts w:hint="eastAsia" w:ascii="宋体" w:hAnsi="宋体" w:eastAsia="宋体"/>
          <w:bCs/>
          <w:sz w:val="24"/>
          <w:szCs w:val="24"/>
        </w:rPr>
        <w:t>365nm LED 模块组，光源亮度连续可调，明场观察与荧光观察采用一键式切换</w:t>
      </w:r>
      <w:r>
        <w:rPr>
          <w:rFonts w:hint="eastAsia" w:ascii="宋体" w:hAnsi="宋体" w:eastAsia="宋体"/>
          <w:bCs/>
          <w:sz w:val="24"/>
          <w:szCs w:val="24"/>
          <w:lang w:eastAsia="zh-CN"/>
        </w:rPr>
        <w:t>。</w:t>
      </w:r>
    </w:p>
    <w:p>
      <w:pPr>
        <w:rPr>
          <w:rFonts w:hint="eastAsia" w:ascii="宋体" w:hAnsi="宋体" w:eastAsia="宋体"/>
          <w:sz w:val="24"/>
          <w:szCs w:val="24"/>
        </w:rPr>
      </w:pPr>
      <w:r>
        <w:rPr>
          <w:rFonts w:hint="eastAsia" w:ascii="宋体" w:hAnsi="宋体" w:eastAsia="宋体"/>
          <w:sz w:val="24"/>
          <w:szCs w:val="24"/>
        </w:rPr>
        <w:t>9</w:t>
      </w:r>
      <w:r>
        <w:rPr>
          <w:rFonts w:hint="eastAsia" w:ascii="宋体" w:hAnsi="宋体" w:eastAsia="宋体"/>
          <w:color w:val="000000"/>
          <w:sz w:val="24"/>
          <w:szCs w:val="24"/>
        </w:rPr>
        <w:t>、智能感应装置：具备ECO智能感应装置，在连续15min-30min无人操作时，自动关闭电源进入待机状态，再次回来可智能开启，节能降耗，更具人性化。</w:t>
      </w:r>
    </w:p>
    <w:p>
      <w:pPr>
        <w:rPr>
          <w:rFonts w:hint="eastAsia" w:ascii="宋体" w:hAnsi="宋体" w:eastAsia="宋体"/>
          <w:sz w:val="24"/>
          <w:szCs w:val="24"/>
        </w:rPr>
      </w:pPr>
      <w:r>
        <w:rPr>
          <w:rFonts w:hint="eastAsia" w:ascii="宋体" w:hAnsi="宋体" w:eastAsia="宋体"/>
          <w:sz w:val="24"/>
          <w:szCs w:val="24"/>
        </w:rPr>
        <w:t>10</w:t>
      </w:r>
      <w:r>
        <w:rPr>
          <w:rFonts w:hint="eastAsia" w:ascii="宋体" w:hAnsi="宋体" w:eastAsia="宋体"/>
          <w:color w:val="000000"/>
          <w:sz w:val="24"/>
          <w:szCs w:val="24"/>
        </w:rPr>
        <w:t>、机身带搬运手柄，方便便于搬运；机身带收纳仓，便于收纳电源线和充电装置。</w:t>
      </w:r>
    </w:p>
    <w:p>
      <w:pPr>
        <w:jc w:val="left"/>
        <w:rPr>
          <w:rFonts w:hint="eastAsia" w:ascii="宋体" w:hAnsi="宋体" w:eastAsia="宋体"/>
          <w:sz w:val="24"/>
          <w:szCs w:val="24"/>
        </w:rPr>
      </w:pPr>
      <w:r>
        <w:rPr>
          <w:rFonts w:hint="eastAsia" w:ascii="宋体" w:hAnsi="宋体" w:eastAsia="宋体"/>
          <w:sz w:val="24"/>
          <w:szCs w:val="24"/>
        </w:rPr>
        <w:t>11、</w:t>
      </w:r>
      <w:r>
        <w:rPr>
          <w:rFonts w:hint="eastAsia" w:ascii="宋体" w:hAnsi="宋体" w:eastAsia="宋体"/>
          <w:color w:val="000000"/>
          <w:sz w:val="24"/>
          <w:szCs w:val="24"/>
        </w:rPr>
        <w:t>摄像系统：230万像素相机，Sony IMX185、</w:t>
      </w:r>
      <w:r>
        <w:rPr>
          <w:rFonts w:hint="eastAsia" w:ascii="宋体" w:hAnsi="宋体" w:eastAsia="宋体"/>
          <w:color w:val="000000"/>
          <w:sz w:val="24"/>
          <w:szCs w:val="24"/>
        </w:rPr>
        <w:fldChar w:fldCharType="begin"/>
      </w:r>
      <w:r>
        <w:rPr>
          <w:rFonts w:hint="eastAsia" w:ascii="宋体" w:hAnsi="宋体" w:eastAsia="宋体"/>
          <w:color w:val="000000"/>
          <w:sz w:val="24"/>
          <w:szCs w:val="24"/>
        </w:rPr>
        <w:instrText xml:space="preserve"> HYPERLINK "mailto:帧率38fps@2.3MP，USB3.0" </w:instrText>
      </w:r>
      <w:r>
        <w:rPr>
          <w:rFonts w:hint="eastAsia" w:ascii="宋体" w:hAnsi="宋体" w:eastAsia="宋体"/>
          <w:color w:val="000000"/>
          <w:sz w:val="24"/>
          <w:szCs w:val="24"/>
        </w:rPr>
        <w:fldChar w:fldCharType="separate"/>
      </w:r>
      <w:r>
        <w:rPr>
          <w:rStyle w:val="17"/>
          <w:rFonts w:hint="eastAsia" w:ascii="宋体" w:hAnsi="宋体" w:eastAsia="宋体"/>
          <w:sz w:val="24"/>
          <w:szCs w:val="24"/>
        </w:rPr>
        <w:t>帧率38fps@2.3MP，USB3.0</w:t>
      </w:r>
      <w:r>
        <w:rPr>
          <w:rFonts w:hint="eastAsia" w:ascii="宋体" w:hAnsi="宋体" w:eastAsia="宋体"/>
          <w:color w:val="000000"/>
          <w:sz w:val="24"/>
          <w:szCs w:val="24"/>
        </w:rPr>
        <w:fldChar w:fldCharType="end"/>
      </w:r>
      <w:r>
        <w:rPr>
          <w:rFonts w:hint="eastAsia" w:ascii="宋体" w:hAnsi="宋体" w:eastAsia="宋体"/>
          <w:color w:val="000000"/>
          <w:sz w:val="24"/>
          <w:szCs w:val="24"/>
        </w:rPr>
        <w:t xml:space="preserve"> 含真菌荧光软件</w:t>
      </w:r>
      <w:r>
        <w:rPr>
          <w:rFonts w:hint="eastAsia" w:ascii="宋体" w:hAnsi="宋体" w:eastAsia="宋体"/>
          <w:color w:val="000000"/>
          <w:sz w:val="24"/>
          <w:szCs w:val="24"/>
          <w:lang w:eastAsia="zh-CN"/>
        </w:rPr>
        <w:t>，</w:t>
      </w:r>
      <w:r>
        <w:rPr>
          <w:rFonts w:hint="eastAsia" w:ascii="宋体" w:hAnsi="宋体" w:eastAsia="宋体"/>
          <w:color w:val="000000"/>
          <w:sz w:val="24"/>
          <w:szCs w:val="24"/>
        </w:rPr>
        <w:t>为保证医疗资质、数据及图像</w:t>
      </w:r>
      <w:r>
        <w:rPr>
          <w:rFonts w:hint="eastAsia" w:ascii="宋体" w:hAnsi="宋体" w:eastAsia="宋体"/>
          <w:color w:val="000000"/>
          <w:sz w:val="24"/>
          <w:szCs w:val="24"/>
          <w:lang w:eastAsia="zh-CN"/>
        </w:rPr>
        <w:t>的</w:t>
      </w:r>
      <w:r>
        <w:rPr>
          <w:rFonts w:hint="eastAsia" w:ascii="宋体" w:hAnsi="宋体" w:eastAsia="宋体"/>
          <w:color w:val="000000"/>
          <w:sz w:val="24"/>
          <w:szCs w:val="24"/>
        </w:rPr>
        <w:t>统一性</w:t>
      </w:r>
      <w:r>
        <w:rPr>
          <w:rFonts w:hint="eastAsia" w:ascii="宋体" w:hAnsi="宋体" w:eastAsia="宋体"/>
          <w:color w:val="000000"/>
          <w:sz w:val="24"/>
          <w:szCs w:val="24"/>
          <w:lang w:eastAsia="zh-CN"/>
        </w:rPr>
        <w:t>、完整性，</w:t>
      </w:r>
      <w:r>
        <w:rPr>
          <w:rFonts w:hint="eastAsia" w:ascii="宋体" w:hAnsi="宋体" w:eastAsia="宋体"/>
          <w:color w:val="000000"/>
          <w:sz w:val="24"/>
          <w:szCs w:val="24"/>
        </w:rPr>
        <w:t>软件、摄像头、显微镜需同一品牌</w:t>
      </w:r>
      <w:r>
        <w:rPr>
          <w:rFonts w:hint="eastAsia" w:ascii="宋体" w:hAnsi="宋体" w:eastAsia="宋体"/>
          <w:color w:val="000000"/>
          <w:sz w:val="24"/>
          <w:szCs w:val="24"/>
          <w:lang w:eastAsia="zh-CN"/>
        </w:rPr>
        <w:t>。</w:t>
      </w:r>
    </w:p>
    <w:p>
      <w:pPr>
        <w:jc w:val="left"/>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12、</w:t>
      </w:r>
      <w:r>
        <w:rPr>
          <w:rFonts w:hint="eastAsia" w:ascii="宋体" w:hAnsi="宋体" w:eastAsia="宋体"/>
          <w:sz w:val="24"/>
          <w:szCs w:val="24"/>
        </w:rPr>
        <w:t>品牌电脑I5处理器，8G内存条22寸显示器</w:t>
      </w:r>
      <w:r>
        <w:rPr>
          <w:rFonts w:hint="eastAsia" w:ascii="宋体" w:hAnsi="宋体" w:eastAsia="宋体"/>
          <w:sz w:val="24"/>
          <w:szCs w:val="24"/>
          <w:lang w:eastAsia="zh-CN"/>
        </w:rPr>
        <w:t>。</w:t>
      </w:r>
    </w:p>
    <w:p>
      <w:pPr>
        <w:jc w:val="left"/>
        <w:rPr>
          <w:rFonts w:hint="eastAsia" w:ascii="宋体" w:hAnsi="宋体" w:eastAsia="宋体"/>
          <w:bCs/>
          <w:sz w:val="24"/>
          <w:szCs w:val="24"/>
          <w:lang w:val="en-US" w:eastAsia="zh-CN"/>
        </w:rPr>
      </w:pPr>
      <w:r>
        <w:rPr>
          <w:rFonts w:hint="eastAsia" w:ascii="宋体" w:hAnsi="宋体" w:eastAsia="宋体"/>
          <w:bCs/>
          <w:sz w:val="24"/>
          <w:szCs w:val="24"/>
          <w:lang w:val="en-US" w:eastAsia="zh-CN"/>
        </w:rPr>
        <w:t>13</w:t>
      </w:r>
      <w:r>
        <w:rPr>
          <w:rFonts w:hint="eastAsia" w:ascii="宋体" w:hAnsi="宋体" w:eastAsia="宋体"/>
          <w:bCs/>
          <w:sz w:val="24"/>
          <w:szCs w:val="24"/>
        </w:rPr>
        <w:t>、质控检测指标（以省级以上检测机构出具产品检测报告内容为准，检测报告信息现场鉴定）。</w:t>
      </w:r>
    </w:p>
    <w:p>
      <w:pPr>
        <w:jc w:val="left"/>
        <w:rPr>
          <w:rFonts w:hint="eastAsia" w:ascii="宋体" w:hAnsi="宋体" w:eastAsia="宋体"/>
          <w:bCs/>
          <w:sz w:val="24"/>
          <w:szCs w:val="24"/>
          <w:lang w:val="en-US" w:eastAsia="zh-CN"/>
        </w:rPr>
      </w:pPr>
      <w:r>
        <w:rPr>
          <w:rFonts w:hint="eastAsia" w:ascii="宋体" w:hAnsi="宋体" w:eastAsia="宋体"/>
          <w:bCs/>
          <w:sz w:val="24"/>
          <w:szCs w:val="24"/>
          <w:lang w:val="en-US" w:eastAsia="zh-CN"/>
        </w:rPr>
        <w:t>13</w:t>
      </w:r>
      <w:r>
        <w:rPr>
          <w:rFonts w:hint="eastAsia" w:ascii="宋体" w:hAnsi="宋体" w:eastAsia="宋体"/>
          <w:bCs/>
          <w:sz w:val="24"/>
          <w:szCs w:val="24"/>
        </w:rPr>
        <w:t>.1、10X物镜成像清晰圆直径≥17.8mm</w:t>
      </w:r>
    </w:p>
    <w:p>
      <w:pPr>
        <w:jc w:val="left"/>
        <w:rPr>
          <w:rFonts w:hint="eastAsia" w:ascii="宋体" w:hAnsi="宋体" w:eastAsia="宋体"/>
          <w:bCs/>
          <w:sz w:val="24"/>
          <w:szCs w:val="24"/>
          <w:lang w:val="en-US" w:eastAsia="zh-CN"/>
        </w:rPr>
      </w:pPr>
      <w:r>
        <w:rPr>
          <w:rFonts w:hint="eastAsia" w:ascii="宋体" w:hAnsi="宋体" w:eastAsia="宋体"/>
          <w:bCs/>
          <w:sz w:val="24"/>
          <w:szCs w:val="24"/>
          <w:lang w:val="en-US" w:eastAsia="zh-CN"/>
        </w:rPr>
        <w:t>13</w:t>
      </w:r>
      <w:r>
        <w:rPr>
          <w:rFonts w:hint="eastAsia" w:ascii="宋体" w:hAnsi="宋体" w:eastAsia="宋体"/>
          <w:bCs/>
          <w:sz w:val="24"/>
          <w:szCs w:val="24"/>
        </w:rPr>
        <w:t>.2、40X物镜成像清晰圆直径≥18.9mm</w:t>
      </w:r>
    </w:p>
    <w:p>
      <w:pPr>
        <w:jc w:val="left"/>
        <w:rPr>
          <w:rFonts w:hint="eastAsia" w:ascii="宋体" w:hAnsi="宋体" w:eastAsia="宋体"/>
          <w:bCs/>
          <w:sz w:val="24"/>
          <w:szCs w:val="24"/>
          <w:lang w:val="en-US" w:eastAsia="zh-CN"/>
        </w:rPr>
      </w:pPr>
      <w:r>
        <w:rPr>
          <w:rFonts w:hint="eastAsia" w:ascii="宋体" w:hAnsi="宋体" w:eastAsia="宋体"/>
          <w:bCs/>
          <w:sz w:val="24"/>
          <w:szCs w:val="24"/>
          <w:lang w:val="en-US" w:eastAsia="zh-CN"/>
        </w:rPr>
        <w:t>13</w:t>
      </w:r>
      <w:r>
        <w:rPr>
          <w:rFonts w:hint="eastAsia" w:ascii="宋体" w:hAnsi="宋体" w:eastAsia="宋体"/>
          <w:bCs/>
          <w:sz w:val="24"/>
          <w:szCs w:val="24"/>
        </w:rPr>
        <w:t>.3、100X物镜成像清晰圆直径≥18.7mm</w:t>
      </w:r>
    </w:p>
    <w:p>
      <w:pPr>
        <w:jc w:val="left"/>
        <w:rPr>
          <w:rFonts w:hint="eastAsia" w:ascii="宋体" w:hAnsi="宋体" w:eastAsia="宋体"/>
          <w:bCs/>
          <w:sz w:val="24"/>
          <w:szCs w:val="24"/>
          <w:lang w:val="en-US" w:eastAsia="zh-CN"/>
        </w:rPr>
      </w:pPr>
      <w:r>
        <w:rPr>
          <w:rFonts w:hint="eastAsia" w:ascii="宋体" w:hAnsi="宋体" w:eastAsia="宋体"/>
          <w:bCs/>
          <w:sz w:val="24"/>
          <w:szCs w:val="24"/>
          <w:lang w:val="en-US" w:eastAsia="zh-CN"/>
        </w:rPr>
        <w:t>13</w:t>
      </w:r>
      <w:r>
        <w:rPr>
          <w:rFonts w:hint="eastAsia" w:ascii="宋体" w:hAnsi="宋体" w:eastAsia="宋体"/>
          <w:bCs/>
          <w:sz w:val="24"/>
          <w:szCs w:val="24"/>
        </w:rPr>
        <w:t>.4、物镜齐焦：10→40X，不超过±0.006mm，40→100X，不超过±0.005mm。</w:t>
      </w:r>
    </w:p>
    <w:p>
      <w:pPr>
        <w:jc w:val="left"/>
        <w:rPr>
          <w:rFonts w:hint="eastAsia" w:ascii="宋体" w:hAnsi="宋体" w:eastAsia="宋体"/>
          <w:bCs/>
          <w:sz w:val="24"/>
          <w:szCs w:val="24"/>
          <w:lang w:val="en-US" w:eastAsia="zh-CN"/>
        </w:rPr>
      </w:pPr>
      <w:r>
        <w:rPr>
          <w:rFonts w:hint="eastAsia" w:ascii="宋体" w:hAnsi="宋体" w:eastAsia="宋体"/>
          <w:bCs/>
          <w:sz w:val="24"/>
          <w:szCs w:val="24"/>
          <w:lang w:val="en-US" w:eastAsia="zh-CN"/>
        </w:rPr>
        <w:t>13</w:t>
      </w:r>
      <w:r>
        <w:rPr>
          <w:rFonts w:hint="eastAsia" w:ascii="宋体" w:hAnsi="宋体" w:eastAsia="宋体"/>
          <w:bCs/>
          <w:sz w:val="24"/>
          <w:szCs w:val="24"/>
        </w:rPr>
        <w:t>.5、转换器定位稳定性≤0.003mm</w:t>
      </w:r>
    </w:p>
    <w:p>
      <w:pPr>
        <w:jc w:val="left"/>
        <w:rPr>
          <w:rFonts w:hint="eastAsia" w:ascii="宋体" w:hAnsi="宋体" w:eastAsia="宋体"/>
          <w:bCs/>
          <w:sz w:val="24"/>
          <w:szCs w:val="24"/>
          <w:lang w:val="en-US" w:eastAsia="zh-CN"/>
        </w:rPr>
      </w:pPr>
      <w:r>
        <w:rPr>
          <w:rFonts w:hint="eastAsia" w:ascii="宋体" w:hAnsi="宋体" w:eastAsia="宋体"/>
          <w:bCs/>
          <w:sz w:val="24"/>
          <w:szCs w:val="24"/>
          <w:lang w:val="en-US" w:eastAsia="zh-CN"/>
        </w:rPr>
        <w:t>13</w:t>
      </w:r>
      <w:r>
        <w:rPr>
          <w:rFonts w:hint="eastAsia" w:ascii="宋体" w:hAnsi="宋体" w:eastAsia="宋体"/>
          <w:bCs/>
          <w:sz w:val="24"/>
          <w:szCs w:val="24"/>
        </w:rPr>
        <w:t>.6、显微镜物镜放大率准确度误差范围不超过±0.85%</w:t>
      </w:r>
    </w:p>
    <w:p>
      <w:pPr>
        <w:jc w:val="left"/>
        <w:rPr>
          <w:rFonts w:hint="eastAsia" w:ascii="宋体" w:hAnsi="宋体" w:eastAsia="宋体"/>
          <w:bCs/>
          <w:sz w:val="24"/>
          <w:szCs w:val="24"/>
          <w:lang w:val="en-US" w:eastAsia="zh-CN"/>
        </w:rPr>
      </w:pPr>
      <w:r>
        <w:rPr>
          <w:rFonts w:hint="eastAsia" w:ascii="宋体" w:hAnsi="宋体" w:eastAsia="宋体"/>
          <w:bCs/>
          <w:sz w:val="24"/>
          <w:szCs w:val="24"/>
          <w:lang w:val="en-US" w:eastAsia="zh-CN"/>
        </w:rPr>
        <w:t>13</w:t>
      </w:r>
      <w:r>
        <w:rPr>
          <w:rFonts w:hint="eastAsia" w:ascii="宋体" w:hAnsi="宋体" w:eastAsia="宋体"/>
          <w:bCs/>
          <w:sz w:val="24"/>
          <w:szCs w:val="24"/>
        </w:rPr>
        <w:t>.7、显微镜目镜放大率准确度不超过±0.5%</w:t>
      </w:r>
    </w:p>
    <w:p>
      <w:pPr>
        <w:jc w:val="left"/>
        <w:rPr>
          <w:rFonts w:hint="eastAsia" w:ascii="宋体" w:hAnsi="宋体" w:eastAsia="宋体"/>
          <w:bCs/>
          <w:sz w:val="24"/>
          <w:szCs w:val="24"/>
          <w:lang w:val="en-US" w:eastAsia="zh-CN"/>
        </w:rPr>
      </w:pPr>
      <w:r>
        <w:rPr>
          <w:rFonts w:hint="eastAsia" w:ascii="宋体" w:hAnsi="宋体" w:eastAsia="宋体"/>
          <w:bCs/>
          <w:sz w:val="24"/>
          <w:szCs w:val="24"/>
          <w:lang w:val="en-US" w:eastAsia="zh-CN"/>
        </w:rPr>
        <w:t>13</w:t>
      </w:r>
      <w:r>
        <w:rPr>
          <w:rFonts w:hint="eastAsia" w:ascii="宋体" w:hAnsi="宋体" w:eastAsia="宋体"/>
          <w:bCs/>
          <w:sz w:val="24"/>
          <w:szCs w:val="24"/>
        </w:rPr>
        <w:t>.8、双目系统左右视场中心偏差上下≤0.03mm，左右外侧≤0.01mm，左右内侧≤0.02mm。</w:t>
      </w:r>
    </w:p>
    <w:p>
      <w:pPr>
        <w:jc w:val="left"/>
        <w:rPr>
          <w:rFonts w:hint="eastAsia" w:ascii="宋体" w:hAnsi="宋体" w:eastAsia="宋体"/>
          <w:sz w:val="24"/>
          <w:lang w:val="en-US" w:eastAsia="zh-CN"/>
        </w:rPr>
      </w:pPr>
      <w:r>
        <w:rPr>
          <w:rFonts w:hint="eastAsia" w:ascii="宋体" w:hAnsi="宋体" w:eastAsia="宋体"/>
          <w:bCs/>
          <w:sz w:val="24"/>
          <w:szCs w:val="24"/>
          <w:lang w:val="en-US" w:eastAsia="zh-CN"/>
        </w:rPr>
        <w:t>13</w:t>
      </w:r>
      <w:r>
        <w:rPr>
          <w:rFonts w:hint="eastAsia" w:ascii="宋体" w:hAnsi="宋体" w:eastAsia="宋体"/>
          <w:bCs/>
          <w:sz w:val="24"/>
          <w:szCs w:val="24"/>
        </w:rPr>
        <w:t>.9、零视度时，左右系统的目镜端面位置差≤0.06mm。</w:t>
      </w:r>
    </w:p>
    <w:bookmarkEnd w:id="0"/>
    <w:bookmarkEnd w:id="1"/>
    <w:p>
      <w:pPr>
        <w:jc w:val="left"/>
        <w:rPr>
          <w:rFonts w:hint="eastAsia" w:ascii="宋体" w:hAnsi="宋体" w:eastAsia="宋体"/>
          <w:bCs/>
          <w:sz w:val="24"/>
          <w:szCs w:val="24"/>
          <w:lang w:val="en-US" w:eastAsia="zh-CN"/>
        </w:rPr>
      </w:pPr>
      <w:r>
        <w:rPr>
          <w:rFonts w:hint="eastAsia" w:ascii="宋体" w:hAnsi="宋体" w:eastAsia="宋体"/>
          <w:sz w:val="24"/>
          <w:lang w:val="en-US" w:eastAsia="zh-CN"/>
        </w:rPr>
        <w:t>14、产品具有医教资质</w:t>
      </w:r>
    </w:p>
    <w:p>
      <w:pPr>
        <w:jc w:val="left"/>
        <w:rPr>
          <w:rFonts w:hint="eastAsia" w:ascii="宋体" w:hAnsi="宋体" w:eastAsia="宋体"/>
          <w:bCs/>
          <w:sz w:val="24"/>
          <w:szCs w:val="24"/>
          <w:lang w:eastAsia="zh-CN"/>
        </w:rPr>
      </w:pPr>
      <w:r>
        <w:rPr>
          <w:rFonts w:hint="eastAsia" w:ascii="宋体" w:hAnsi="宋体" w:eastAsia="宋体"/>
          <w:bCs/>
          <w:sz w:val="24"/>
          <w:szCs w:val="24"/>
          <w:lang w:eastAsia="zh-CN"/>
        </w:rPr>
        <w:t>售后服务及相关备件要求</w:t>
      </w:r>
    </w:p>
    <w:p>
      <w:pPr>
        <w:jc w:val="left"/>
        <w:rPr>
          <w:rFonts w:hint="eastAsia" w:ascii="宋体" w:hAnsi="宋体" w:eastAsia="宋体"/>
          <w:bCs/>
          <w:sz w:val="24"/>
          <w:szCs w:val="24"/>
          <w:lang w:eastAsia="zh-CN"/>
        </w:rPr>
      </w:pPr>
      <w:r>
        <w:rPr>
          <w:rFonts w:hint="eastAsia" w:ascii="宋体" w:hAnsi="宋体" w:eastAsia="宋体"/>
          <w:bCs/>
          <w:sz w:val="24"/>
          <w:szCs w:val="24"/>
          <w:lang w:eastAsia="zh-CN"/>
        </w:rPr>
        <w:t>1、生产厂家在中国境内有相应的零配件保税库，存入所有必须的备件，保证必要时可以及时供应；在疆内有维修机构或分公司及专业技术人员（提供营业执照及技术人员名单、社保、资质）</w:t>
      </w:r>
    </w:p>
    <w:p>
      <w:pPr>
        <w:jc w:val="left"/>
        <w:rPr>
          <w:rFonts w:hint="eastAsia" w:ascii="宋体" w:hAnsi="宋体" w:eastAsia="宋体"/>
          <w:bCs/>
          <w:sz w:val="24"/>
          <w:szCs w:val="24"/>
          <w:lang w:eastAsia="zh-CN"/>
        </w:rPr>
      </w:pPr>
      <w:r>
        <w:rPr>
          <w:rFonts w:hint="eastAsia" w:ascii="宋体" w:hAnsi="宋体" w:eastAsia="宋体"/>
          <w:bCs/>
          <w:sz w:val="24"/>
          <w:szCs w:val="24"/>
          <w:lang w:eastAsia="zh-CN"/>
        </w:rPr>
        <w:t>2、提供全套的操作手册及维修手册、光盘等，如有密码，则密码开放，免费现场培</w:t>
      </w:r>
      <w:bookmarkStart w:id="5" w:name="_GoBack"/>
      <w:bookmarkEnd w:id="5"/>
      <w:r>
        <w:rPr>
          <w:rFonts w:hint="eastAsia" w:ascii="宋体" w:hAnsi="宋体" w:eastAsia="宋体"/>
          <w:bCs/>
          <w:sz w:val="24"/>
          <w:szCs w:val="24"/>
          <w:lang w:eastAsia="zh-CN"/>
        </w:rPr>
        <w:t>训操作及维修人员；</w:t>
      </w:r>
    </w:p>
    <w:p>
      <w:pPr>
        <w:jc w:val="left"/>
        <w:rPr>
          <w:rFonts w:hint="eastAsia" w:ascii="宋体" w:hAnsi="宋体" w:eastAsia="宋体"/>
          <w:bCs/>
          <w:sz w:val="24"/>
          <w:szCs w:val="24"/>
          <w:lang w:eastAsia="zh-CN"/>
        </w:rPr>
      </w:pPr>
      <w:r>
        <w:rPr>
          <w:rFonts w:hint="eastAsia" w:ascii="宋体" w:hAnsi="宋体" w:eastAsia="宋体"/>
          <w:bCs/>
          <w:sz w:val="24"/>
          <w:szCs w:val="24"/>
          <w:lang w:eastAsia="zh-CN"/>
        </w:rPr>
        <w:t>3、合同设备保质保用期，不得少于</w:t>
      </w:r>
      <w:r>
        <w:rPr>
          <w:rFonts w:hint="eastAsia" w:ascii="宋体" w:hAnsi="宋体"/>
          <w:bCs/>
          <w:sz w:val="24"/>
          <w:szCs w:val="24"/>
          <w:lang w:val="en-US" w:eastAsia="zh-CN"/>
        </w:rPr>
        <w:t>2</w:t>
      </w:r>
      <w:r>
        <w:rPr>
          <w:rFonts w:hint="eastAsia" w:ascii="宋体" w:hAnsi="宋体" w:eastAsia="宋体"/>
          <w:bCs/>
          <w:sz w:val="24"/>
          <w:szCs w:val="24"/>
          <w:lang w:eastAsia="zh-CN"/>
        </w:rPr>
        <w:t>年（用户单位验收合格之日起计算）。</w:t>
      </w:r>
    </w:p>
    <w:p>
      <w:pPr>
        <w:jc w:val="left"/>
        <w:rPr>
          <w:rFonts w:hint="eastAsia" w:ascii="宋体" w:hAnsi="宋体" w:eastAsia="宋体"/>
          <w:bCs/>
          <w:sz w:val="24"/>
          <w:szCs w:val="24"/>
          <w:lang w:eastAsia="zh-CN"/>
        </w:rPr>
      </w:pPr>
      <w:r>
        <w:rPr>
          <w:rFonts w:hint="eastAsia" w:ascii="宋体" w:hAnsi="宋体" w:eastAsia="宋体"/>
          <w:bCs/>
          <w:sz w:val="24"/>
          <w:szCs w:val="24"/>
          <w:lang w:eastAsia="zh-CN"/>
        </w:rPr>
        <w:t>4、质保期内设备使用期间非采购单位的人为原因而出现产品质量及安装问题，由中标人负责包修、包换或包退，发生的维修、保养、及易损件费用由中标人承担；维修响应时间小于2小时，工程师24小时之内抵达现场进行维修；特殊情况下，经院方同意可适当延长时间，但不超过48小时抵达现场（48小时内无法修复的，免费提供相应配置的备用样机，保证正常的工作）。</w:t>
      </w:r>
    </w:p>
    <w:p>
      <w:pPr>
        <w:jc w:val="left"/>
        <w:rPr>
          <w:rFonts w:hint="eastAsia" w:ascii="宋体" w:hAnsi="宋体" w:eastAsia="宋体"/>
          <w:bCs/>
          <w:sz w:val="24"/>
          <w:szCs w:val="24"/>
          <w:lang w:eastAsia="zh-CN"/>
        </w:rPr>
      </w:pPr>
      <w:r>
        <w:rPr>
          <w:rFonts w:hint="eastAsia" w:ascii="宋体" w:hAnsi="宋体" w:eastAsia="宋体"/>
          <w:bCs/>
          <w:sz w:val="24"/>
          <w:szCs w:val="24"/>
          <w:lang w:eastAsia="zh-CN"/>
        </w:rPr>
        <w:t>5、质保期内设备整机每半年提供一次免费上门维护、保养服务；</w:t>
      </w:r>
    </w:p>
    <w:p>
      <w:pPr>
        <w:jc w:val="left"/>
        <w:rPr>
          <w:rFonts w:hint="eastAsia" w:ascii="宋体" w:hAnsi="宋体" w:eastAsia="宋体"/>
          <w:bCs/>
          <w:sz w:val="24"/>
          <w:szCs w:val="24"/>
          <w:lang w:eastAsia="zh-CN"/>
        </w:rPr>
      </w:pPr>
      <w:r>
        <w:rPr>
          <w:rFonts w:hint="eastAsia" w:ascii="宋体" w:hAnsi="宋体" w:eastAsia="宋体"/>
          <w:bCs/>
          <w:sz w:val="24"/>
          <w:szCs w:val="24"/>
          <w:lang w:eastAsia="zh-CN"/>
        </w:rPr>
        <w:t>6、厂家提供专业人员现场操作和培训，保证使用人员正常操作设备的各种功能工程师须提供持培训合格证明为招标人提供维修服务；</w:t>
      </w:r>
    </w:p>
    <w:p>
      <w:pPr>
        <w:jc w:val="left"/>
        <w:rPr>
          <w:rFonts w:hint="eastAsia" w:ascii="宋体" w:hAnsi="宋体" w:eastAsia="宋体"/>
          <w:bCs/>
          <w:sz w:val="24"/>
          <w:szCs w:val="24"/>
          <w:lang w:eastAsia="zh-CN"/>
        </w:rPr>
      </w:pPr>
      <w:r>
        <w:rPr>
          <w:rFonts w:hint="eastAsia" w:ascii="宋体" w:hAnsi="宋体" w:eastAsia="宋体"/>
          <w:bCs/>
          <w:sz w:val="24"/>
          <w:szCs w:val="24"/>
          <w:lang w:eastAsia="zh-CN"/>
        </w:rPr>
        <w:t>7、提供保修期后无偿技术支持，设备软件系统保修期后能提供免费的升级维护。</w:t>
      </w:r>
    </w:p>
    <w:p>
      <w:pPr>
        <w:jc w:val="left"/>
        <w:rPr>
          <w:rFonts w:hint="eastAsia" w:ascii="宋体" w:hAnsi="宋体" w:eastAsia="宋体"/>
          <w:bCs/>
          <w:sz w:val="24"/>
          <w:szCs w:val="24"/>
          <w:lang w:eastAsia="zh-CN"/>
        </w:rPr>
      </w:pPr>
      <w:r>
        <w:rPr>
          <w:rFonts w:hint="eastAsia" w:ascii="宋体" w:hAnsi="宋体" w:eastAsia="宋体"/>
          <w:bCs/>
          <w:sz w:val="24"/>
          <w:szCs w:val="24"/>
          <w:lang w:eastAsia="zh-CN"/>
        </w:rPr>
        <w:t>8、提供正规的备品备件价格表。</w:t>
      </w:r>
    </w:p>
    <w:p>
      <w:pPr>
        <w:jc w:val="left"/>
        <w:rPr>
          <w:rFonts w:hint="eastAsia" w:ascii="宋体" w:hAnsi="宋体" w:eastAsia="宋体"/>
          <w:bCs/>
          <w:sz w:val="24"/>
          <w:szCs w:val="24"/>
          <w:lang w:eastAsia="zh-CN"/>
        </w:rPr>
      </w:pPr>
      <w:r>
        <w:rPr>
          <w:rFonts w:hint="eastAsia" w:ascii="宋体" w:hAnsi="宋体" w:eastAsia="宋体"/>
          <w:bCs/>
          <w:sz w:val="24"/>
          <w:szCs w:val="24"/>
          <w:lang w:eastAsia="zh-CN"/>
        </w:rPr>
        <w:t>9、保修期后的维修费用，先修后付款，零备件的购买，先交货后付款。</w:t>
      </w:r>
    </w:p>
    <w:p>
      <w:pPr>
        <w:jc w:val="left"/>
        <w:rPr>
          <w:rFonts w:hint="eastAsia" w:ascii="宋体" w:hAnsi="宋体" w:eastAsia="宋体"/>
          <w:bCs/>
          <w:sz w:val="24"/>
          <w:szCs w:val="24"/>
          <w:lang w:eastAsia="zh-CN"/>
        </w:rPr>
      </w:pPr>
      <w:r>
        <w:rPr>
          <w:rFonts w:hint="eastAsia" w:ascii="宋体" w:hAnsi="宋体" w:eastAsia="宋体"/>
          <w:bCs/>
          <w:sz w:val="24"/>
          <w:szCs w:val="24"/>
          <w:lang w:eastAsia="zh-CN"/>
        </w:rPr>
        <w:t>10、 提供相应的售后服务承诺（需要设备生产企业协助的部分，须由该生产企业做出相应的服务承诺及相关技术资料的白皮书）。</w:t>
      </w:r>
    </w:p>
    <w:p>
      <w:pPr>
        <w:jc w:val="left"/>
        <w:rPr>
          <w:rFonts w:hint="eastAsia" w:ascii="宋体" w:hAnsi="宋体" w:eastAsia="宋体"/>
          <w:bCs/>
          <w:sz w:val="24"/>
          <w:szCs w:val="24"/>
          <w:lang w:eastAsia="zh-CN"/>
        </w:rPr>
      </w:pPr>
      <w:r>
        <w:rPr>
          <w:rFonts w:hint="eastAsia" w:ascii="宋体" w:hAnsi="宋体" w:eastAsia="宋体"/>
          <w:bCs/>
          <w:sz w:val="24"/>
          <w:szCs w:val="24"/>
          <w:lang w:eastAsia="zh-CN"/>
        </w:rPr>
        <w:t>11、采购的设备需与我院的PACS服务器开设端口进行连接使用，连接产生相关费用由中标方自行承担；</w:t>
      </w:r>
    </w:p>
    <w:sectPr>
      <w:footerReference r:id="rId3" w:type="default"/>
      <w:pgSz w:w="11906" w:h="16838"/>
      <w:pgMar w:top="1440" w:right="1133" w:bottom="1440" w:left="127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1025"/>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snapToGrid w:val="0"/>
                            <w:rPr>
                              <w:rFonts w:hint="eastAsia"/>
                              <w:sz w:val="18"/>
                            </w:rPr>
                          </w:pPr>
                        </w:p>
                        <w:p/>
                      </w:txbxContent>
                    </wps:txbx>
                    <wps:bodyPr rot="0" vert="horz" wrap="square" lIns="91440" tIns="45720" rIns="91440" bIns="45720" anchor="t" anchorCtr="0"/>
                  </wps:wsp>
                </a:graphicData>
              </a:graphic>
            </wp:anchor>
          </w:drawing>
        </mc:Choice>
        <mc:Fallback>
          <w:pict>
            <v:rect id="_x0000_s1025"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KUGV4LoBAACGAwAADgAAAAAAAAABACAAAAAiAQAAZHJzL2Uyb0RvYy54bWxQSwUGAAAA&#10;AAYABgBZAQAATgUAAAAA&#10;">
              <v:fill on="f" focussize="0,0"/>
              <v:stroke on="f"/>
              <v:imagedata o:title=""/>
              <o:lock v:ext="edit" aspectratio="f"/>
              <v:textbox>
                <w:txbxContent>
                  <w:p>
                    <w:pPr>
                      <w:snapToGrid w:val="0"/>
                      <w:rPr>
                        <w:rFonts w:hint="eastAsia"/>
                        <w:sz w:val="18"/>
                      </w:rPr>
                    </w:pPr>
                  </w:p>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isplayHorizontalDrawingGridEvery w:val="1"/>
  <w:displayVerticalDrawingGridEvery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NThjMDQwZjkzZTFiMjUyMTZiOGNmYzc3ZDdkY2YifQ=="/>
  </w:docVars>
  <w:rsids>
    <w:rsidRoot w:val="00000000"/>
    <w:rsid w:val="254D3D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uiPriority w:val="0"/>
    <w:pPr>
      <w:keepNext/>
      <w:keepLines/>
      <w:spacing w:before="340" w:beforeAutospacing="0" w:after="330" w:afterAutospacing="0" w:line="576" w:lineRule="auto"/>
      <w:outlineLvl w:val="0"/>
    </w:pPr>
    <w:rPr>
      <w:b/>
      <w:kern w:val="44"/>
      <w:sz w:val="44"/>
    </w:rPr>
  </w:style>
  <w:style w:type="character" w:customStyle="1" w:styleId="5">
    <w:name w:val="默认段落字体1"/>
    <w:link w:val="1"/>
    <w:uiPriority w:val="0"/>
  </w:style>
  <w:style w:type="table" w:customStyle="1" w:styleId="6">
    <w:name w:val="普通表格1"/>
    <w:qFormat/>
    <w:uiPriority w:val="0"/>
  </w:style>
  <w:style w:type="paragraph" w:customStyle="1" w:styleId="7">
    <w:name w:val="页脚1"/>
    <w:basedOn w:val="1"/>
    <w:link w:val="8"/>
    <w:qFormat/>
    <w:uiPriority w:val="0"/>
    <w:pPr>
      <w:tabs>
        <w:tab w:val="center" w:pos="4153"/>
        <w:tab w:val="right" w:pos="8306"/>
      </w:tabs>
      <w:snapToGrid w:val="0"/>
      <w:jc w:val="left"/>
    </w:pPr>
    <w:rPr>
      <w:sz w:val="18"/>
      <w:szCs w:val="18"/>
    </w:rPr>
  </w:style>
  <w:style w:type="character" w:customStyle="1" w:styleId="8">
    <w:name w:val="页脚 Char"/>
    <w:link w:val="7"/>
    <w:semiHidden/>
    <w:uiPriority w:val="0"/>
    <w:rPr>
      <w:kern w:val="2"/>
      <w:sz w:val="18"/>
      <w:szCs w:val="18"/>
    </w:rPr>
  </w:style>
  <w:style w:type="paragraph" w:customStyle="1" w:styleId="9">
    <w:name w:val="页眉1"/>
    <w:basedOn w:val="1"/>
    <w:link w:val="10"/>
    <w:qFormat/>
    <w:uiPriority w:val="0"/>
    <w:pPr>
      <w:pBdr>
        <w:bottom w:val="single" w:color="000000" w:sz="6" w:space="1"/>
      </w:pBdr>
      <w:tabs>
        <w:tab w:val="center" w:pos="4153"/>
        <w:tab w:val="right" w:pos="8306"/>
      </w:tabs>
      <w:snapToGrid w:val="0"/>
      <w:jc w:val="center"/>
    </w:pPr>
    <w:rPr>
      <w:sz w:val="18"/>
      <w:szCs w:val="18"/>
    </w:rPr>
  </w:style>
  <w:style w:type="character" w:customStyle="1" w:styleId="10">
    <w:name w:val="页眉 Char"/>
    <w:link w:val="9"/>
    <w:semiHidden/>
    <w:uiPriority w:val="0"/>
    <w:rPr>
      <w:kern w:val="2"/>
      <w:sz w:val="18"/>
      <w:szCs w:val="18"/>
    </w:rPr>
  </w:style>
  <w:style w:type="paragraph" w:customStyle="1" w:styleId="11">
    <w:name w:val="目录 11"/>
    <w:basedOn w:val="1"/>
    <w:uiPriority w:val="0"/>
  </w:style>
  <w:style w:type="character" w:customStyle="1" w:styleId="12">
    <w:name w:val="已访问的超链接1"/>
    <w:link w:val="1"/>
    <w:uiPriority w:val="0"/>
    <w:rPr>
      <w:color w:val="333333"/>
      <w:sz w:val="18"/>
      <w:szCs w:val="18"/>
      <w:u w:val="none"/>
    </w:rPr>
  </w:style>
  <w:style w:type="character" w:customStyle="1" w:styleId="13">
    <w:name w:val="HTML 定义1"/>
    <w:link w:val="1"/>
    <w:uiPriority w:val="0"/>
  </w:style>
  <w:style w:type="character" w:customStyle="1" w:styleId="14">
    <w:name w:val="HTML 打字机1"/>
    <w:link w:val="1"/>
    <w:uiPriority w:val="0"/>
    <w:rPr>
      <w:rFonts w:ascii="Courier New" w:hAnsi="Courier New"/>
      <w:sz w:val="24"/>
      <w:szCs w:val="24"/>
    </w:rPr>
  </w:style>
  <w:style w:type="character" w:customStyle="1" w:styleId="15">
    <w:name w:val="HTML 缩写1"/>
    <w:basedOn w:val="5"/>
    <w:link w:val="1"/>
    <w:qFormat/>
    <w:uiPriority w:val="0"/>
  </w:style>
  <w:style w:type="character" w:customStyle="1" w:styleId="16">
    <w:name w:val="HTML 变量1"/>
    <w:link w:val="1"/>
    <w:uiPriority w:val="0"/>
  </w:style>
  <w:style w:type="character" w:customStyle="1" w:styleId="17">
    <w:name w:val="超链接1"/>
    <w:link w:val="1"/>
    <w:uiPriority w:val="0"/>
    <w:rPr>
      <w:color w:val="333333"/>
      <w:sz w:val="18"/>
      <w:szCs w:val="18"/>
      <w:u w:val="none"/>
    </w:rPr>
  </w:style>
  <w:style w:type="character" w:customStyle="1" w:styleId="18">
    <w:name w:val="HTML 代码1"/>
    <w:link w:val="1"/>
    <w:qFormat/>
    <w:uiPriority w:val="0"/>
    <w:rPr>
      <w:rFonts w:ascii="Courier New" w:hAnsi="Courier New"/>
      <w:sz w:val="24"/>
      <w:szCs w:val="24"/>
    </w:rPr>
  </w:style>
  <w:style w:type="character" w:customStyle="1" w:styleId="19">
    <w:name w:val="HTML 引文1"/>
    <w:link w:val="1"/>
    <w:uiPriority w:val="0"/>
  </w:style>
  <w:style w:type="character" w:customStyle="1" w:styleId="20">
    <w:name w:val="HTML 键盘1"/>
    <w:link w:val="1"/>
    <w:uiPriority w:val="0"/>
    <w:rPr>
      <w:rFonts w:ascii="Courier New" w:hAnsi="Courier New"/>
      <w:sz w:val="24"/>
      <w:szCs w:val="24"/>
    </w:rPr>
  </w:style>
  <w:style w:type="character" w:customStyle="1" w:styleId="21">
    <w:name w:val="HTML 样本1"/>
    <w:link w:val="1"/>
    <w:qFormat/>
    <w:uiPriority w:val="0"/>
    <w:rPr>
      <w:rFonts w:ascii="Courier New" w:hAnsi="Courier New"/>
      <w:sz w:val="24"/>
      <w:szCs w:val="24"/>
    </w:rPr>
  </w:style>
  <w:style w:type="character" w:customStyle="1" w:styleId="22">
    <w:name w:val="spic1"/>
    <w:basedOn w:val="5"/>
    <w:link w:val="1"/>
    <w:uiPriority w:val="0"/>
  </w:style>
  <w:style w:type="character" w:customStyle="1" w:styleId="23">
    <w:name w:val="parasearch_title"/>
    <w:link w:val="1"/>
    <w:uiPriority w:val="0"/>
    <w:rPr>
      <w:vanish/>
    </w:rPr>
  </w:style>
  <w:style w:type="character" w:customStyle="1" w:styleId="24">
    <w:name w:val="font11"/>
    <w:link w:val="1"/>
    <w:qFormat/>
    <w:uiPriority w:val="0"/>
    <w:rPr>
      <w:rFonts w:ascii="Arial" w:hAnsi="Arial"/>
      <w:color w:val="000000"/>
      <w:sz w:val="20"/>
      <w:szCs w:val="20"/>
      <w:u w:val="none"/>
    </w:rPr>
  </w:style>
  <w:style w:type="character" w:customStyle="1" w:styleId="25">
    <w:name w:val="name"/>
    <w:link w:val="1"/>
    <w:uiPriority w:val="0"/>
    <w:rPr>
      <w:shd w:val="clear" w:color="auto" w:fill="DDDDDD"/>
    </w:rPr>
  </w:style>
  <w:style w:type="character" w:customStyle="1" w:styleId="26">
    <w:name w:val="info_select"/>
    <w:basedOn w:val="5"/>
    <w:link w:val="1"/>
    <w:qFormat/>
    <w:uiPriority w:val="0"/>
  </w:style>
  <w:style w:type="character" w:customStyle="1" w:styleId="27">
    <w:name w:val="info_title"/>
    <w:basedOn w:val="5"/>
    <w:link w:val="1"/>
    <w:uiPriority w:val="0"/>
  </w:style>
  <w:style w:type="character" w:customStyle="1" w:styleId="28">
    <w:name w:val="font01"/>
    <w:link w:val="1"/>
    <w:uiPriority w:val="0"/>
    <w:rPr>
      <w:rFonts w:hint="eastAsia" w:ascii="宋体" w:hAnsi="宋体" w:eastAsia="宋体"/>
      <w:color w:val="000000"/>
      <w:sz w:val="20"/>
      <w:szCs w:val="20"/>
      <w:u w:val="none"/>
    </w:rPr>
  </w:style>
  <w:style w:type="character" w:customStyle="1" w:styleId="29">
    <w:name w:val="info_title1"/>
    <w:basedOn w:val="5"/>
    <w:link w:val="1"/>
    <w:qFormat/>
    <w:uiPriority w:val="0"/>
  </w:style>
  <w:style w:type="character" w:customStyle="1" w:styleId="30">
    <w:name w:val="font31"/>
    <w:link w:val="1"/>
    <w:uiPriority w:val="0"/>
    <w:rPr>
      <w:rFonts w:hint="eastAsia" w:ascii="宋体" w:hAnsi="宋体" w:eastAsia="宋体"/>
      <w:color w:val="000000"/>
      <w:sz w:val="20"/>
      <w:szCs w:val="20"/>
      <w:u w:val="none"/>
    </w:rPr>
  </w:style>
  <w:style w:type="character" w:customStyle="1" w:styleId="31">
    <w:name w:val="spic"/>
    <w:basedOn w:val="5"/>
    <w:link w:val="1"/>
    <w:uiPriority w:val="0"/>
  </w:style>
  <w:style w:type="character" w:customStyle="1" w:styleId="32">
    <w:name w:val="未处理的提及"/>
    <w:link w:val="1"/>
    <w:qFormat/>
    <w:uiPriority w:val="0"/>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1490</Words>
  <Characters>1746</Characters>
  <Lines>0</Lines>
  <Paragraphs>0</Paragraphs>
  <TotalTime>0</TotalTime>
  <ScaleCrop>false</ScaleCrop>
  <LinksUpToDate>false</LinksUpToDate>
  <CharactersWithSpaces>1756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2024-08-12T03:18:16Z</dcterms:created>
  <dc:creator>洪阳</dc:creator>
  <cp:lastModifiedBy>洪阳</cp:lastModifiedBy>
  <dcterms:modified xsi:type="dcterms:W3CDTF">2024-08-12T03:19:18Z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FCF5C436F93D449E8795A764279AE6FC_12</vt:lpwstr>
  </property>
</Properties>
</file>