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宋体" w:hAnsi="宋体" w:eastAsia="宋体" w:cs="方正正粗黑简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方正正粗黑简体"/>
          <w:b/>
          <w:color w:val="auto"/>
          <w:sz w:val="24"/>
          <w:szCs w:val="24"/>
        </w:rPr>
        <w:t>经皮黄疸仪</w:t>
      </w:r>
      <w:r>
        <w:rPr>
          <w:rFonts w:hint="eastAsia" w:ascii="宋体" w:hAnsi="宋体" w:eastAsia="宋体" w:cs="方正正粗黑简体"/>
          <w:b/>
          <w:color w:val="auto"/>
          <w:sz w:val="24"/>
          <w:szCs w:val="24"/>
          <w:lang w:eastAsia="zh-CN"/>
        </w:rPr>
        <w:t>技术</w:t>
      </w:r>
      <w:r>
        <w:rPr>
          <w:rFonts w:hint="eastAsia" w:ascii="宋体" w:hAnsi="宋体" w:eastAsia="宋体" w:cs="方正正粗黑简体"/>
          <w:b/>
          <w:color w:val="auto"/>
          <w:sz w:val="24"/>
          <w:szCs w:val="24"/>
          <w:lang w:val="en-US" w:eastAsia="zh-CN"/>
        </w:rPr>
        <w:t>参数</w:t>
      </w:r>
    </w:p>
    <w:p>
      <w:pPr>
        <w:spacing w:line="400" w:lineRule="exact"/>
        <w:rPr>
          <w:rFonts w:ascii="宋体" w:hAnsi="宋体" w:eastAsia="宋体" w:cs="方正正粗黑简体"/>
          <w:b/>
          <w:color w:val="0000FF"/>
          <w:sz w:val="24"/>
          <w:szCs w:val="24"/>
        </w:rPr>
      </w:pPr>
    </w:p>
    <w:p>
      <w:pPr>
        <w:spacing w:line="400" w:lineRule="exact"/>
        <w:rPr>
          <w:rFonts w:ascii="宋体" w:hAnsi="宋体" w:eastAsia="宋体" w:cs="Arial"/>
          <w:b/>
          <w:szCs w:val="21"/>
        </w:rPr>
      </w:pPr>
      <w:r>
        <w:rPr>
          <w:rFonts w:hint="eastAsia" w:ascii="宋体" w:hAnsi="宋体" w:eastAsia="宋体" w:cs="Arial"/>
          <w:b/>
          <w:szCs w:val="21"/>
        </w:rPr>
        <w:t>技术参数：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</w:rPr>
        <w:t>底座输出：8.4V/1A；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</w:rPr>
        <w:t>光源: 氙闪光灯；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★</w:t>
      </w:r>
      <w:r>
        <w:rPr>
          <w:rFonts w:hint="eastAsia" w:ascii="宋体" w:hAnsi="宋体" w:eastAsia="宋体" w:cs="微软雅黑"/>
          <w:szCs w:val="21"/>
        </w:rPr>
        <w:t>光源寿命：不低于150000次；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</w:rPr>
        <w:t>其他：底座内置检查屏；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</w:rPr>
        <w:t>最大显示值：≥25.0 mg/dL (425μmol/L)；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</w:rPr>
        <w:t>准确度：± 1.5 mg/dL （±25.5μmol/L）；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</w:rPr>
        <w:t>重复性：≤3%；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</w:rPr>
        <w:t>信息提示：低电压提示；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</w:rPr>
        <w:t>检查屏(</w:t>
      </w:r>
      <w:r>
        <w:rPr>
          <w:rFonts w:ascii="宋体" w:hAnsi="宋体" w:eastAsia="宋体" w:cs="微软雅黑"/>
          <w:szCs w:val="21"/>
        </w:rPr>
        <w:t>波长为550nm和461nm光谱的透过率之比为</w:t>
      </w:r>
      <w:r>
        <w:rPr>
          <w:rFonts w:hint="eastAsia" w:ascii="宋体" w:hAnsi="宋体" w:eastAsia="宋体" w:cs="微软雅黑"/>
          <w:szCs w:val="21"/>
        </w:rPr>
        <w:t>)：</w:t>
      </w:r>
      <w:r>
        <w:rPr>
          <w:rFonts w:ascii="宋体" w:hAnsi="宋体" w:eastAsia="宋体" w:cs="微软雅黑"/>
          <w:szCs w:val="21"/>
        </w:rPr>
        <w:t>预定值为“0”的检查屏为0.1</w:t>
      </w:r>
      <w:r>
        <w:rPr>
          <w:rFonts w:hint="eastAsia" w:ascii="宋体" w:hAnsi="宋体" w:eastAsia="宋体" w:cs="微软雅黑"/>
          <w:szCs w:val="21"/>
        </w:rPr>
        <w:t>，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ascii="宋体" w:hAnsi="宋体" w:eastAsia="宋体" w:cs="微软雅黑"/>
          <w:szCs w:val="21"/>
        </w:rPr>
        <w:t>定值为“20”的检查屏为5±0.5</w:t>
      </w:r>
      <w:r>
        <w:rPr>
          <w:rFonts w:hint="eastAsia" w:ascii="宋体" w:hAnsi="宋体" w:eastAsia="宋体" w:cs="微软雅黑"/>
          <w:szCs w:val="21"/>
        </w:rPr>
        <w:t>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ascii="宋体" w:hAnsi="宋体" w:eastAsia="宋体" w:cs="微软雅黑"/>
          <w:szCs w:val="21"/>
        </w:rPr>
        <w:t>平均测量功能</w:t>
      </w:r>
      <w:r>
        <w:rPr>
          <w:rFonts w:hint="eastAsia" w:ascii="宋体" w:hAnsi="宋体" w:eastAsia="宋体" w:cs="微软雅黑"/>
          <w:szCs w:val="21"/>
        </w:rPr>
        <w:t>：</w:t>
      </w:r>
      <w:r>
        <w:rPr>
          <w:rFonts w:ascii="宋体" w:hAnsi="宋体" w:eastAsia="宋体" w:cs="微软雅黑"/>
          <w:szCs w:val="21"/>
        </w:rPr>
        <w:t>可设置1～5次平均测量方式</w:t>
      </w:r>
      <w:r>
        <w:rPr>
          <w:rFonts w:hint="eastAsia" w:ascii="宋体" w:hAnsi="宋体" w:eastAsia="宋体" w:cs="微软雅黑"/>
          <w:szCs w:val="21"/>
        </w:rPr>
        <w:t>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ascii="宋体" w:hAnsi="宋体" w:eastAsia="宋体" w:cs="微软雅黑"/>
          <w:szCs w:val="21"/>
        </w:rPr>
        <w:t>时间设置</w:t>
      </w:r>
      <w:r>
        <w:rPr>
          <w:rFonts w:hint="eastAsia" w:ascii="宋体" w:hAnsi="宋体" w:eastAsia="宋体" w:cs="微软雅黑"/>
          <w:szCs w:val="21"/>
        </w:rPr>
        <w:t>：</w:t>
      </w:r>
      <w:r>
        <w:rPr>
          <w:rFonts w:ascii="宋体" w:hAnsi="宋体" w:eastAsia="宋体" w:cs="微软雅黑"/>
          <w:szCs w:val="21"/>
        </w:rPr>
        <w:t>可实现时间日期的修改</w:t>
      </w:r>
      <w:r>
        <w:rPr>
          <w:rFonts w:hint="eastAsia" w:ascii="宋体" w:hAnsi="宋体" w:eastAsia="宋体" w:cs="微软雅黑"/>
          <w:szCs w:val="21"/>
        </w:rPr>
        <w:t>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ascii="宋体" w:hAnsi="宋体" w:eastAsia="宋体" w:cs="微软雅黑"/>
          <w:szCs w:val="21"/>
        </w:rPr>
        <w:t>声音设置</w:t>
      </w:r>
      <w:r>
        <w:rPr>
          <w:rFonts w:hint="eastAsia" w:ascii="宋体" w:hAnsi="宋体" w:eastAsia="宋体" w:cs="微软雅黑"/>
          <w:szCs w:val="21"/>
        </w:rPr>
        <w:t>：</w:t>
      </w:r>
      <w:r>
        <w:rPr>
          <w:rFonts w:ascii="宋体" w:hAnsi="宋体" w:eastAsia="宋体" w:cs="微软雅黑"/>
          <w:szCs w:val="21"/>
        </w:rPr>
        <w:t>触摸屏按键音可设置为开/关</w:t>
      </w:r>
      <w:r>
        <w:rPr>
          <w:rFonts w:hint="eastAsia" w:ascii="宋体" w:hAnsi="宋体" w:eastAsia="宋体" w:cs="微软雅黑"/>
          <w:szCs w:val="21"/>
        </w:rPr>
        <w:t>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hint="eastAsia" w:ascii="宋体" w:hAnsi="宋体" w:eastAsia="宋体" w:cs="微软雅黑"/>
          <w:szCs w:val="21"/>
          <w:lang w:val="en-US" w:eastAsia="zh-CN"/>
        </w:rPr>
        <w:t>★</w:t>
      </w:r>
      <w:r>
        <w:rPr>
          <w:rFonts w:ascii="宋体" w:hAnsi="宋体" w:eastAsia="宋体" w:cs="微软雅黑"/>
          <w:szCs w:val="21"/>
        </w:rPr>
        <w:t>亮度调节</w:t>
      </w:r>
      <w:r>
        <w:rPr>
          <w:rFonts w:hint="eastAsia" w:ascii="宋体" w:hAnsi="宋体" w:eastAsia="宋体" w:cs="微软雅黑"/>
          <w:szCs w:val="21"/>
        </w:rPr>
        <w:t>：</w:t>
      </w:r>
      <w:r>
        <w:rPr>
          <w:rFonts w:ascii="宋体" w:hAnsi="宋体" w:eastAsia="宋体" w:cs="微软雅黑"/>
          <w:szCs w:val="21"/>
        </w:rPr>
        <w:t>屏幕亮度</w:t>
      </w:r>
      <w:r>
        <w:rPr>
          <w:rFonts w:hint="eastAsia" w:ascii="宋体" w:hAnsi="宋体" w:eastAsia="宋体" w:cs="微软雅黑"/>
          <w:szCs w:val="21"/>
          <w:lang w:eastAsia="zh-CN"/>
        </w:rPr>
        <w:t>高于或等于</w:t>
      </w:r>
      <w:r>
        <w:rPr>
          <w:rFonts w:ascii="宋体" w:hAnsi="宋体" w:eastAsia="宋体" w:cs="微软雅黑"/>
          <w:szCs w:val="21"/>
        </w:rPr>
        <w:t>5级调节</w:t>
      </w:r>
      <w:r>
        <w:rPr>
          <w:rFonts w:hint="eastAsia" w:ascii="宋体" w:hAnsi="宋体" w:eastAsia="宋体" w:cs="微软雅黑"/>
          <w:szCs w:val="21"/>
        </w:rPr>
        <w:t>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ascii="宋体" w:hAnsi="宋体" w:eastAsia="宋体" w:cs="微软雅黑"/>
          <w:szCs w:val="21"/>
        </w:rPr>
        <w:t>测量单位</w:t>
      </w:r>
      <w:r>
        <w:rPr>
          <w:rFonts w:hint="eastAsia" w:ascii="宋体" w:hAnsi="宋体" w:eastAsia="宋体" w:cs="微软雅黑"/>
          <w:szCs w:val="21"/>
        </w:rPr>
        <w:t>：</w:t>
      </w:r>
      <w:r>
        <w:rPr>
          <w:rFonts w:ascii="宋体" w:hAnsi="宋体" w:eastAsia="宋体" w:cs="微软雅黑"/>
          <w:szCs w:val="21"/>
        </w:rPr>
        <w:t>测量单位可在mg/dL和</w:t>
      </w:r>
      <w:r>
        <w:rPr>
          <w:rFonts w:hint="eastAsia" w:ascii="宋体" w:hAnsi="宋体" w:eastAsia="宋体" w:cs="微软雅黑"/>
          <w:szCs w:val="21"/>
        </w:rPr>
        <w:t>μ</w:t>
      </w:r>
      <w:r>
        <w:rPr>
          <w:rFonts w:ascii="宋体" w:hAnsi="宋体" w:eastAsia="宋体" w:cs="微软雅黑"/>
          <w:szCs w:val="21"/>
        </w:rPr>
        <w:t>mol/L间切换</w:t>
      </w:r>
      <w:r>
        <w:rPr>
          <w:rFonts w:hint="eastAsia" w:ascii="宋体" w:hAnsi="宋体" w:eastAsia="宋体" w:cs="微软雅黑"/>
          <w:szCs w:val="21"/>
        </w:rPr>
        <w:t>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ascii="宋体" w:hAnsi="宋体" w:eastAsia="宋体" w:cs="微软雅黑"/>
          <w:szCs w:val="21"/>
        </w:rPr>
        <w:t>屏幕保护</w:t>
      </w:r>
      <w:r>
        <w:rPr>
          <w:rFonts w:hint="eastAsia" w:ascii="宋体" w:hAnsi="宋体" w:eastAsia="宋体" w:cs="微软雅黑"/>
          <w:szCs w:val="21"/>
        </w:rPr>
        <w:t>：</w:t>
      </w:r>
      <w:r>
        <w:rPr>
          <w:rFonts w:ascii="宋体" w:hAnsi="宋体" w:eastAsia="宋体" w:cs="微软雅黑"/>
          <w:szCs w:val="21"/>
        </w:rPr>
        <w:t>屏幕保护时间可设置为1分钟或5分钟</w:t>
      </w:r>
      <w:r>
        <w:rPr>
          <w:rFonts w:hint="eastAsia" w:ascii="宋体" w:hAnsi="宋体" w:eastAsia="宋体" w:cs="微软雅黑"/>
          <w:szCs w:val="21"/>
        </w:rPr>
        <w:t>；</w:t>
      </w:r>
    </w:p>
    <w:p>
      <w:pPr>
        <w:numPr>
          <w:ilvl w:val="0"/>
          <w:numId w:val="2"/>
        </w:numPr>
        <w:spacing w:line="400" w:lineRule="exact"/>
        <w:ind w:left="425" w:leftChars="0" w:hanging="425" w:firstLineChars="0"/>
        <w:rPr>
          <w:rFonts w:ascii="宋体" w:hAnsi="宋体" w:eastAsia="宋体" w:cs="微软雅黑"/>
          <w:szCs w:val="21"/>
        </w:rPr>
      </w:pPr>
      <w:r>
        <w:rPr>
          <w:rFonts w:ascii="宋体" w:hAnsi="宋体" w:eastAsia="宋体" w:cs="微软雅黑"/>
          <w:szCs w:val="21"/>
        </w:rPr>
        <w:t>历史数据保存</w:t>
      </w:r>
      <w:r>
        <w:rPr>
          <w:rFonts w:hint="eastAsia" w:ascii="宋体" w:hAnsi="宋体" w:eastAsia="宋体" w:cs="微软雅黑"/>
          <w:szCs w:val="21"/>
        </w:rPr>
        <w:t>：</w:t>
      </w:r>
      <w:r>
        <w:rPr>
          <w:rFonts w:ascii="宋体" w:hAnsi="宋体" w:eastAsia="宋体" w:cs="微软雅黑"/>
          <w:szCs w:val="21"/>
        </w:rPr>
        <w:t>可保存护士ID号、婴儿ID号、测量结果、测量时间、测量是进行优先权，蓝光完成标志的标记</w:t>
      </w:r>
      <w:r>
        <w:rPr>
          <w:rFonts w:hint="eastAsia" w:ascii="宋体" w:hAnsi="宋体" w:eastAsia="宋体" w:cs="微软雅黑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TW"/>
        </w:rPr>
        <w:t>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售后服务及相关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生产厂家在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国内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有相应的零配件库，存入所有必须的备件，保证必要时可以及时供应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在疆内有维修机构或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伊犁地区有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分公司及专业技术人员（提供营业执照及技术人员名单、社保、资质）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提供全套的操作手册及维修手册、光盘等，如有密码，则密码开放，免费现场培训操作及维修人员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合同设备保质保用期，不得少于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3年（用户单位验收合格之日起计算）。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质保期内设备使用期间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非采购单位的人为原因而出现产品质量及安装问题，由中标人负责包修、包换或包退，发生的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维修、保养、及易损件费用由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标人承担；维修响应时间小于2小时，工程师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小时之内抵达现场进行维修；特殊情况下，经院方同意可适当延长时间，但不超过48小时抵达现场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48小时内无法修复的，免费提供相应配置的备用样机，保证正常的工作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质保期内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设备整机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每半年提供一次免费上门维护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保养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6、厂家提供专业人员现场操作和培训，保证使用人员正常操作设备的各种功能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工程师须提供持培训合格证明为招标人提供维修服务；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7、提供保修期后无偿技术支持，设备软件系统保修期后能提供免费的升级维护。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8、提供正规的常规使用的备品备件价格表。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9、保修期后的维修费用，先修设备恢复运行正常后付款，零备件的购买，先交货保障正常运行后付。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 提供相应的售后服务承诺（需要设备生产企业协助的部分，须由该生产企业做出相应的服务承诺）。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打“★”号条款为实质性条款，若有任何一条负偏离或不满足则导致投标无效。</w:t>
      </w:r>
    </w:p>
    <w:p>
      <w:pPr>
        <w:numPr>
          <w:numId w:val="0"/>
        </w:numPr>
        <w:spacing w:line="400" w:lineRule="exact"/>
        <w:ind w:leftChars="0"/>
        <w:rPr>
          <w:rFonts w:ascii="宋体" w:hAnsi="宋体" w:eastAsia="宋体" w:cs="微软雅黑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正粗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2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1">
    <w:nsid w:val="7B90F568"/>
    <w:multiLevelType w:val="singleLevel"/>
    <w:tmpl w:val="7B90F5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5YWI3OGM2NjVlZWM4YmU4MzU5MWE4MDA1ZDQ2NzAifQ=="/>
  </w:docVars>
  <w:rsids>
    <w:rsidRoot w:val="00984939"/>
    <w:rsid w:val="001365C6"/>
    <w:rsid w:val="001D0FF3"/>
    <w:rsid w:val="001E39B2"/>
    <w:rsid w:val="003963F1"/>
    <w:rsid w:val="004B215B"/>
    <w:rsid w:val="004B5610"/>
    <w:rsid w:val="00511E19"/>
    <w:rsid w:val="005A7C40"/>
    <w:rsid w:val="00666C91"/>
    <w:rsid w:val="00807CEF"/>
    <w:rsid w:val="00984939"/>
    <w:rsid w:val="009E69DD"/>
    <w:rsid w:val="00AC4D92"/>
    <w:rsid w:val="00C12A6D"/>
    <w:rsid w:val="00C15FB7"/>
    <w:rsid w:val="00DD29F3"/>
    <w:rsid w:val="00F41795"/>
    <w:rsid w:val="00F94317"/>
    <w:rsid w:val="00FF72E7"/>
    <w:rsid w:val="3FDB7045"/>
    <w:rsid w:val="587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3"/>
    <w:basedOn w:val="1"/>
    <w:qFormat/>
    <w:uiPriority w:val="0"/>
    <w:pPr>
      <w:numPr>
        <w:ilvl w:val="0"/>
        <w:numId w:val="1"/>
      </w:numPr>
      <w:ind w:left="0" w:leftChars="0" w:firstLine="0" w:firstLineChars="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305</Words>
  <Characters>373</Characters>
  <Lines>3</Lines>
  <Paragraphs>1</Paragraphs>
  <TotalTime>9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2020-12-14T08:20:00Z</dcterms:created>
  <dc:creator>辛贝蒂</dc:creator>
  <cp:lastModifiedBy>心纯净，行之美</cp:lastModifiedBy>
  <dcterms:modified xsi:type="dcterms:W3CDTF">2024-05-21T05:39:38Z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8D16635BEFF34D7C96CD9AF8A5827DB5_12</vt:lpwstr>
  </property>
</Properties>
</file>