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849C3">
      <w:r>
        <w:rPr>
          <w:rFonts w:hint="eastAsia"/>
        </w:rPr>
        <w:t>1、完成项目招标工程量清单编制及控制价编制 2、</w:t>
      </w:r>
      <w:r>
        <w:rPr>
          <w:rFonts w:hint="eastAsia"/>
          <w:lang w:val="en-US" w:eastAsia="zh-CN"/>
        </w:rPr>
        <w:t>上传</w:t>
      </w:r>
      <w:r>
        <w:rPr>
          <w:rFonts w:hint="eastAsia"/>
        </w:rPr>
        <w:t>踏勘现场</w:t>
      </w:r>
      <w:r>
        <w:rPr>
          <w:rFonts w:hint="eastAsia"/>
          <w:lang w:val="en-US" w:eastAsia="zh-CN"/>
        </w:rPr>
        <w:t>签到表</w:t>
      </w:r>
      <w:r>
        <w:rPr>
          <w:rFonts w:hint="eastAsia"/>
        </w:rPr>
        <w:t>3、为避免低价低质恶性竞争，请各投标人实事求是的合理报价，如有违反市场价格规律超低价恶意谋取中标后，又不能按招标人要求提供合格服务者，一律按无效标处理;4、付款方式以最终合同签订为准。如无法满足此项</w:t>
      </w:r>
      <w:bookmarkStart w:id="0" w:name="_GoBack"/>
      <w:bookmarkEnd w:id="0"/>
      <w:r>
        <w:rPr>
          <w:rFonts w:hint="eastAsia"/>
        </w:rPr>
        <w:t>要求，请勿报价否则按无效投标处理按业主方要求执行。5、服务周期1周，供应商2小时内响应，24小时待命。6、符合《中华人民共和国政府采购法》第十二条的规定上传营业执照。7、上传营业执照;8、水利造价师并有相关的办公场所;9、报价清单;10、上传资料真实性及报价合理性承诺书。10、公司类似业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2025-02-13T02:07:38Z</dcterms:created>
  <dc:creator>Administrator</dc:creator>
  <cp:lastModifiedBy>Lig·</cp:lastModifiedBy>
  <dcterms:modified xsi:type="dcterms:W3CDTF">2025-02-13T02:09:58Z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eyJoZGlkIjoiMjE1MjA2OThlYWIyYjYxZjQ0MDdlMzFkZWQwNGI3OWUiLCJ1c2VySWQiOiIxMDMxNzQ0NjY1In0=</vt:lpwstr>
  </property>
  <property fmtid="{D5CDD505-2E9C-101B-9397-08002B2CF9AE}" pid="4" name="ICV">
    <vt:lpwstr>FB62BFC77DC2460DB0DF8E381CBEA5D6_12</vt:lpwstr>
  </property>
</Properties>
</file>