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sz w:val="44"/>
          <w:szCs w:val="44"/>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和田地区传染病专科医院</w:t>
      </w:r>
    </w:p>
    <w:p>
      <w:pPr>
        <w:pStyle w:val="3"/>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关于放射科CT门维修采购项目</w:t>
      </w:r>
      <w:r>
        <w:rPr>
          <w:rFonts w:hint="eastAsia" w:ascii="黑体" w:hAnsi="黑体" w:eastAsia="黑体" w:cs="黑体"/>
          <w:sz w:val="44"/>
          <w:szCs w:val="44"/>
        </w:rPr>
        <w:t>询价采购公告</w:t>
      </w:r>
    </w:p>
    <w:p>
      <w:pPr>
        <w:jc w:val="center"/>
        <w:rPr>
          <w:rFonts w:hint="eastAsia" w:eastAsia="黑体"/>
          <w:lang w:val="en-US" w:eastAsia="zh-CN"/>
        </w:rPr>
      </w:pPr>
      <w:r>
        <w:rPr>
          <w:rFonts w:hint="eastAsia" w:ascii="黑体" w:hAnsi="黑体" w:eastAsia="黑体" w:cs="黑体"/>
          <w:sz w:val="44"/>
          <w:szCs w:val="44"/>
          <w:lang w:val="en-US" w:eastAsia="zh-CN"/>
        </w:rPr>
        <w:t>（第1次）</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312" w:lineRule="auto"/>
        <w:ind w:left="0" w:right="0"/>
        <w:textAlignment w:val="auto"/>
        <w:rPr>
          <w:rFonts w:hint="eastAsia" w:ascii="宋体" w:hAnsi="宋体" w:eastAsia="宋体" w:cs="宋体"/>
          <w:sz w:val="32"/>
          <w:szCs w:val="32"/>
          <w:lang w:val="en-US" w:eastAsia="zh-CN"/>
        </w:rPr>
      </w:pPr>
      <w:r>
        <w:rPr>
          <w:rFonts w:hint="eastAsia" w:ascii="宋体" w:hAnsi="宋体" w:eastAsia="宋体" w:cs="宋体"/>
          <w:sz w:val="44"/>
          <w:szCs w:val="44"/>
        </w:rPr>
        <w:t> </w:t>
      </w:r>
      <w:r>
        <w:rPr>
          <w:rFonts w:hint="eastAsia" w:ascii="宋体" w:hAnsi="宋体" w:eastAsia="宋体" w:cs="宋体"/>
          <w:sz w:val="32"/>
          <w:szCs w:val="32"/>
          <w:lang w:val="en-US" w:eastAsia="zh-CN"/>
        </w:rPr>
        <w:t xml:space="preserve">                               </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黑体" w:hAnsi="黑体" w:eastAsia="黑体" w:cs="黑体"/>
          <w:sz w:val="32"/>
          <w:szCs w:val="32"/>
        </w:rPr>
      </w:pPr>
      <w:r>
        <w:rPr>
          <w:rStyle w:val="13"/>
          <w:rFonts w:hint="eastAsia" w:ascii="黑体" w:hAnsi="黑体" w:eastAsia="黑体" w:cs="黑体"/>
          <w:sz w:val="32"/>
          <w:szCs w:val="32"/>
        </w:rPr>
        <w:t>一、项目基本情况</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和田地区传染病专科医院放射科CT门维修采购项目的潜在供应商应在中国政府采购网新疆分网（政府采购云平台）进行在线报价。</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项目编号：</w:t>
      </w:r>
      <w:r>
        <w:rPr>
          <w:rFonts w:hint="eastAsia" w:ascii="仿宋" w:hAnsi="仿宋" w:eastAsia="仿宋" w:cs="仿宋"/>
          <w:sz w:val="32"/>
          <w:szCs w:val="32"/>
          <w:lang w:val="en-US" w:eastAsia="zh-CN"/>
        </w:rPr>
        <w:t>crbyy-CTM202501</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项</w:t>
      </w:r>
      <w:r>
        <w:rPr>
          <w:rFonts w:hint="eastAsia" w:ascii="仿宋" w:hAnsi="仿宋" w:eastAsia="仿宋" w:cs="仿宋"/>
          <w:color w:val="auto"/>
          <w:sz w:val="32"/>
          <w:szCs w:val="32"/>
        </w:rPr>
        <w:t>目名称：</w:t>
      </w:r>
      <w:r>
        <w:rPr>
          <w:rFonts w:hint="eastAsia" w:ascii="仿宋" w:hAnsi="仿宋" w:eastAsia="仿宋" w:cs="仿宋"/>
          <w:sz w:val="32"/>
          <w:szCs w:val="32"/>
          <w:lang w:val="en-US" w:eastAsia="zh-CN"/>
        </w:rPr>
        <w:t>和田地区传染病专科医院放射科CT门维修采购项目</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采购方式：</w:t>
      </w:r>
      <w:r>
        <w:rPr>
          <w:rFonts w:hint="eastAsia" w:ascii="仿宋" w:hAnsi="仿宋" w:eastAsia="仿宋" w:cs="仿宋"/>
          <w:color w:val="auto"/>
          <w:sz w:val="32"/>
          <w:szCs w:val="32"/>
          <w:lang w:val="en-US" w:eastAsia="zh-CN"/>
        </w:rPr>
        <w:t>在线</w:t>
      </w:r>
      <w:r>
        <w:rPr>
          <w:rFonts w:hint="eastAsia" w:ascii="仿宋" w:hAnsi="仿宋" w:eastAsia="仿宋" w:cs="仿宋"/>
          <w:color w:val="auto"/>
          <w:sz w:val="32"/>
          <w:szCs w:val="32"/>
        </w:rPr>
        <w:t>询价</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rPr>
        <w:t>预算金额（元）：</w:t>
      </w:r>
      <w:r>
        <w:rPr>
          <w:rFonts w:hint="eastAsia" w:ascii="仿宋" w:hAnsi="仿宋" w:eastAsia="仿宋" w:cs="仿宋"/>
          <w:color w:val="auto"/>
          <w:sz w:val="32"/>
          <w:szCs w:val="32"/>
          <w:u w:val="single"/>
          <w:lang w:val="en-US" w:eastAsia="zh-CN"/>
        </w:rPr>
        <w:t>12100</w:t>
      </w:r>
      <w:r>
        <w:rPr>
          <w:rFonts w:hint="eastAsia" w:ascii="仿宋" w:hAnsi="仿宋" w:eastAsia="仿宋" w:cs="仿宋"/>
          <w:color w:val="auto"/>
          <w:sz w:val="32"/>
          <w:szCs w:val="32"/>
          <w:lang w:val="en-US" w:eastAsia="zh-CN"/>
        </w:rPr>
        <w:t>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壹万贰仟壹佰元）</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u w:val="single"/>
        </w:rPr>
        <w:t>最高限价（元）：</w:t>
      </w:r>
      <w:r>
        <w:rPr>
          <w:rFonts w:hint="eastAsia" w:ascii="仿宋" w:hAnsi="仿宋" w:eastAsia="仿宋" w:cs="仿宋"/>
          <w:color w:val="auto"/>
          <w:sz w:val="32"/>
          <w:szCs w:val="32"/>
          <w:u w:val="single"/>
          <w:lang w:val="en-US" w:eastAsia="zh-CN"/>
        </w:rPr>
        <w:t>12100</w:t>
      </w:r>
      <w:r>
        <w:rPr>
          <w:rFonts w:hint="eastAsia" w:ascii="仿宋" w:hAnsi="仿宋" w:eastAsia="仿宋" w:cs="仿宋"/>
          <w:color w:val="auto"/>
          <w:sz w:val="32"/>
          <w:szCs w:val="32"/>
          <w:lang w:val="en-US" w:eastAsia="zh-CN"/>
        </w:rPr>
        <w:t>元（壹万贰仟壹佰元）</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数量:</w:t>
      </w:r>
      <w:r>
        <w:rPr>
          <w:rFonts w:hint="eastAsia" w:ascii="仿宋" w:hAnsi="仿宋" w:eastAsia="仿宋" w:cs="仿宋"/>
          <w:sz w:val="32"/>
          <w:szCs w:val="32"/>
          <w:lang w:val="en-US" w:eastAsia="zh-CN"/>
        </w:rPr>
        <w:t>详见清单</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简要规格描述：CT门及相关配套设施维修维护</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备注：具体内容详见商务要求</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合同履约期限：一年。</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本项目（不）接受联合体投标。</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黑体" w:hAnsi="黑体" w:eastAsia="黑体" w:cs="黑体"/>
          <w:sz w:val="32"/>
          <w:szCs w:val="32"/>
        </w:rPr>
      </w:pPr>
      <w:r>
        <w:rPr>
          <w:rStyle w:val="13"/>
          <w:rFonts w:hint="eastAsia" w:ascii="黑体" w:hAnsi="黑体" w:eastAsia="黑体" w:cs="黑体"/>
          <w:sz w:val="32"/>
          <w:szCs w:val="32"/>
        </w:rPr>
        <w:t>二、申请人的资格要求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（1）具有有效的营业执照且符合国家法律法规要求的资质要求；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lang w:val="en-US" w:eastAsia="zh-CN" w:bidi="ar"/>
        </w:rPr>
        <w:t>（2）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加本次政府采购活动（截屏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lang w:val="en-US" w:eastAsia="zh-CN" w:bidi="ar"/>
        </w:rPr>
        <w:t>（3）提供2023年度或2024年度财务审计机构出具的财务审计报告或提供银行出具的近一个月的资信证明；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lang w:val="en-US" w:eastAsia="zh-CN" w:bidi="ar"/>
        </w:rPr>
        <w:t>（4）提供2024年税务机关出具近三个月的完税证明（新成立不足3个月的公司按实际发生提供，零申报的需提供依法报税资料），注：以完税证明税款所属日期为准，代缴税的完税证明不作为税务缴费凭证（如社保缴税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lang w:val="en-US" w:eastAsia="zh-CN" w:bidi="ar"/>
        </w:rPr>
        <w:t>（5）提供《法定代表人身份证明书》或《法定代表人授权委托书》；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lang w:val="en-US" w:eastAsia="zh-CN" w:bidi="ar"/>
        </w:rPr>
        <w:t>（6）提供本单位缴纳的近三个月社保缴纳证明（单位社保缴费凭证，2024年9月份后成立的公司按实际发生提供）；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（7）本项目专门面向中小企业采购，提供有效的中小企业声明函；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lang w:val="en-US" w:eastAsia="zh-CN" w:bidi="ar"/>
        </w:rPr>
        <w:t>（8）</w:t>
      </w:r>
      <w:r>
        <w:rPr>
          <w:rFonts w:hint="eastAsia" w:ascii="仿宋" w:hAnsi="仿宋" w:eastAsia="仿宋" w:cs="仿宋"/>
          <w:color w:val="auto"/>
          <w:kern w:val="0"/>
          <w:sz w:val="32"/>
          <w:szCs w:val="32"/>
          <w:highlight w:val="none"/>
          <w:lang w:val="en-US" w:eastAsia="zh-CN" w:bidi="ar"/>
        </w:rPr>
        <w:t>提供履行合同所必需的设备和专业技术能力的书面声明；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（9）提供参加政府采购活动前三年内在经营活动中没有重大违法记录的书面声明。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（10）所有资料每页必须加盖公章。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 w:hAnsi="仿宋" w:eastAsia="仿宋" w:cs="仿宋"/>
          <w:color w:val="auto"/>
          <w:kern w:val="0"/>
          <w:sz w:val="32"/>
          <w:szCs w:val="32"/>
          <w:lang w:val="en-US" w:eastAsia="zh-CN" w:bidi="ar"/>
        </w:rPr>
        <w:t>（11）现场踏勘证明。</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仿宋" w:hAnsi="仿宋" w:eastAsia="仿宋" w:cs="仿宋"/>
          <w:sz w:val="32"/>
          <w:szCs w:val="32"/>
        </w:rPr>
      </w:pPr>
      <w:r>
        <w:rPr>
          <w:rStyle w:val="13"/>
          <w:rFonts w:hint="eastAsia" w:ascii="仿宋" w:hAnsi="仿宋" w:eastAsia="仿宋" w:cs="仿宋"/>
          <w:sz w:val="32"/>
          <w:szCs w:val="32"/>
        </w:rPr>
        <w:t>三、</w:t>
      </w:r>
      <w:r>
        <w:rPr>
          <w:rStyle w:val="13"/>
          <w:rFonts w:hint="eastAsia" w:ascii="仿宋" w:hAnsi="仿宋" w:eastAsia="仿宋" w:cs="仿宋"/>
          <w:sz w:val="32"/>
          <w:szCs w:val="32"/>
          <w:lang w:val="en-US" w:eastAsia="zh-CN"/>
        </w:rPr>
        <w:t>响应文件的制作</w:t>
      </w:r>
      <w:r>
        <w:rPr>
          <w:rStyle w:val="13"/>
          <w:rFonts w:hint="eastAsia" w:ascii="仿宋" w:hAnsi="仿宋" w:eastAsia="仿宋" w:cs="仿宋"/>
          <w:sz w:val="32"/>
          <w:szCs w:val="32"/>
        </w:rPr>
        <w:t> </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1.投标商将投标内容密封至档案袋内，注明产品信息、资信证明、营业许可证、法人授权书、投标报价一览表（具体内容以第二条、申请人的资格要求）准备。</w:t>
      </w:r>
    </w:p>
    <w:p>
      <w:pPr>
        <w:pStyle w:val="11"/>
        <w:keepNext w:val="0"/>
        <w:keepLines w:val="0"/>
        <w:pageBreakBefore w:val="0"/>
        <w:widowControl/>
        <w:kinsoku/>
        <w:wordWrap/>
        <w:overflowPunct/>
        <w:topLinePunct w:val="0"/>
        <w:autoSpaceDE/>
        <w:autoSpaceDN/>
        <w:bidi w:val="0"/>
        <w:adjustRightInd/>
        <w:snapToGrid w:val="0"/>
        <w:spacing w:before="75" w:beforeAutospacing="0" w:after="75"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报价一览表必须上传至政采云平台且与平台报价一致，其余资料投标商按照第二条、申请人的资格要求，将投标内容密封至档案袋内邮寄（送达）至采购人，所有报价需保持一致（政采云平台报价、上传资料报价、邮寄资料报价等），否则予以废标处理。 </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开标方式：不见面开标</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报名截止时间：公告发布之日起三日（具体时间以政采云平台报名关闭时间为准）</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黑体" w:hAnsi="黑体" w:eastAsia="黑体" w:cs="黑体"/>
          <w:sz w:val="32"/>
          <w:szCs w:val="32"/>
          <w:lang w:val="en-US" w:eastAsia="zh-CN"/>
        </w:rPr>
      </w:pPr>
      <w:r>
        <w:rPr>
          <w:rStyle w:val="13"/>
          <w:rFonts w:hint="eastAsia" w:ascii="黑体" w:hAnsi="黑体" w:eastAsia="黑体" w:cs="黑体"/>
          <w:sz w:val="32"/>
          <w:szCs w:val="32"/>
          <w:lang w:val="en-US" w:eastAsia="zh-CN"/>
        </w:rPr>
        <w:t xml:space="preserve">四、响应文件开启 </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自公告发布之日起10日内潜在供应商通过邮寄（送达）等方式将所有资料按要求送至采购人处，如不按时送达或快递原因未按时到达等原因导致无法进行资格审查，按照废标处理，所产生的各类损失由潜在供应商自行承担。</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采购人不接受前往快递点取件或其它取件方式及垫付邮寄费用。</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开启日期：</w:t>
      </w:r>
      <w:r>
        <w:rPr>
          <w:rFonts w:hint="eastAsia" w:ascii="仿宋" w:hAnsi="仿宋" w:eastAsia="仿宋" w:cs="仿宋"/>
          <w:sz w:val="32"/>
          <w:szCs w:val="32"/>
          <w:lang w:val="en-US" w:eastAsia="zh-CN"/>
        </w:rPr>
        <w:t>潜在供应商投标文件收集截止日，五个工作日内。</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黑体" w:hAnsi="黑体" w:eastAsia="黑体" w:cs="黑体"/>
          <w:sz w:val="32"/>
          <w:szCs w:val="32"/>
          <w:lang w:val="en-US" w:eastAsia="zh-CN"/>
        </w:rPr>
      </w:pPr>
      <w:r>
        <w:rPr>
          <w:rStyle w:val="13"/>
          <w:rFonts w:hint="eastAsia" w:ascii="黑体" w:hAnsi="黑体" w:eastAsia="黑体" w:cs="黑体"/>
          <w:sz w:val="32"/>
          <w:szCs w:val="32"/>
          <w:lang w:val="en-US" w:eastAsia="zh-CN"/>
        </w:rPr>
        <w:t>五、公告期限</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公告发布之日起三日（具体时间以政采云平台报名关闭时间为准）</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560" w:lineRule="exact"/>
        <w:ind w:left="319" w:leftChars="152" w:right="0" w:rightChars="0" w:firstLine="318" w:firstLineChars="99"/>
        <w:textAlignment w:val="auto"/>
        <w:rPr>
          <w:rStyle w:val="13"/>
          <w:rFonts w:hint="eastAsia" w:ascii="黑体" w:hAnsi="黑体" w:eastAsia="黑体" w:cs="黑体"/>
          <w:sz w:val="32"/>
          <w:szCs w:val="32"/>
          <w:lang w:val="en-US" w:eastAsia="zh-CN"/>
        </w:rPr>
      </w:pPr>
      <w:r>
        <w:rPr>
          <w:rStyle w:val="13"/>
          <w:rFonts w:hint="eastAsia" w:ascii="黑体" w:hAnsi="黑体" w:eastAsia="黑体" w:cs="黑体"/>
          <w:sz w:val="32"/>
          <w:szCs w:val="32"/>
          <w:lang w:val="en-US" w:eastAsia="zh-CN"/>
        </w:rPr>
        <w:t>六、现场踏勘时间</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val="0"/>
        <w:spacing w:before="75" w:beforeAutospacing="0" w:after="75" w:afterAutospacing="0" w:line="560" w:lineRule="exact"/>
        <w:ind w:right="0" w:rightChars="0" w:firstLine="640" w:firstLineChars="200"/>
        <w:textAlignment w:val="auto"/>
        <w:rPr>
          <w:rStyle w:val="13"/>
          <w:rFonts w:hint="default" w:ascii="黑体" w:hAnsi="黑体" w:eastAsia="黑体" w:cs="黑体"/>
          <w:sz w:val="32"/>
          <w:szCs w:val="32"/>
          <w:lang w:val="en-US" w:eastAsia="zh-CN"/>
        </w:rPr>
      </w:pPr>
      <w:r>
        <w:rPr>
          <w:rFonts w:hint="eastAsia" w:ascii="仿宋" w:hAnsi="仿宋" w:eastAsia="仿宋" w:cs="仿宋"/>
          <w:sz w:val="32"/>
          <w:szCs w:val="32"/>
          <w:lang w:val="en-US" w:eastAsia="zh-CN"/>
        </w:rPr>
        <w:t>受专业能力影响，为保障潜在供应商合法利益，此项目须进行现场踏勘，拟定于2025年1月14日下午16:30进行现场踏勘，踏勘完毕后由我院出具现场探勘证明，</w:t>
      </w:r>
      <w:bookmarkStart w:id="0" w:name="_GoBack"/>
      <w:bookmarkEnd w:id="0"/>
      <w:r>
        <w:rPr>
          <w:rFonts w:hint="eastAsia" w:ascii="仿宋" w:hAnsi="仿宋" w:eastAsia="仿宋" w:cs="仿宋"/>
          <w:sz w:val="32"/>
          <w:szCs w:val="32"/>
          <w:lang w:val="en-US" w:eastAsia="zh-CN"/>
        </w:rPr>
        <w:t>未参加现场踏勘或迟到人员不得参加现场踏勘及投标。现场踏勘法人参加的需携带营业执照复印件（加盖公章）、法人身份证原件及复印件（加盖公章），委托代理人参加的需携带营业执照复印件（加盖公章），法人授权委托书（原件）、代理人身份证原件及复印件（加盖公章）；</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仿宋" w:hAnsi="仿宋" w:eastAsia="仿宋" w:cs="仿宋"/>
          <w:sz w:val="32"/>
          <w:szCs w:val="32"/>
          <w:lang w:val="en-US" w:eastAsia="zh-CN"/>
        </w:rPr>
      </w:pPr>
      <w:r>
        <w:rPr>
          <w:rStyle w:val="13"/>
          <w:rFonts w:hint="eastAsia" w:ascii="黑体" w:hAnsi="黑体" w:eastAsia="黑体" w:cs="黑体"/>
          <w:sz w:val="32"/>
          <w:szCs w:val="32"/>
          <w:lang w:val="en-US" w:eastAsia="zh-CN"/>
        </w:rPr>
        <w:t>七、其他补充事宜</w:t>
      </w:r>
    </w:p>
    <w:p>
      <w:pPr>
        <w:pStyle w:val="11"/>
        <w:keepNext w:val="0"/>
        <w:keepLines w:val="0"/>
        <w:pageBreakBefore w:val="0"/>
        <w:widowControl/>
        <w:kinsoku/>
        <w:wordWrap/>
        <w:overflowPunct/>
        <w:topLinePunct w:val="0"/>
        <w:autoSpaceDE/>
        <w:autoSpaceDN/>
        <w:bidi w:val="0"/>
        <w:adjustRightInd/>
        <w:snapToGrid w:val="0"/>
        <w:spacing w:before="75" w:beforeAutospacing="0" w:after="75"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1、报价</w:t>
      </w:r>
      <w:r>
        <w:rPr>
          <w:rFonts w:hint="eastAsia" w:ascii="仿宋" w:hAnsi="仿宋" w:eastAsia="仿宋" w:cs="仿宋"/>
          <w:sz w:val="32"/>
          <w:szCs w:val="32"/>
          <w:lang w:val="zh-CN" w:eastAsia="zh-CN"/>
        </w:rPr>
        <w:t>包括与</w:t>
      </w:r>
      <w:r>
        <w:rPr>
          <w:rFonts w:hint="eastAsia" w:ascii="仿宋" w:hAnsi="仿宋" w:eastAsia="仿宋" w:cs="仿宋"/>
          <w:sz w:val="32"/>
          <w:szCs w:val="32"/>
          <w:lang w:val="en-US" w:eastAsia="zh-CN"/>
        </w:rPr>
        <w:t>此次项目有关的所有费用(</w:t>
      </w:r>
      <w:r>
        <w:rPr>
          <w:rFonts w:hint="eastAsia" w:ascii="仿宋" w:hAnsi="仿宋" w:eastAsia="仿宋" w:cs="仿宋"/>
          <w:sz w:val="32"/>
          <w:szCs w:val="32"/>
          <w:lang w:val="zh-CN" w:eastAsia="zh-CN"/>
        </w:rPr>
        <w:t>含人工</w:t>
      </w:r>
      <w:r>
        <w:rPr>
          <w:rFonts w:hint="eastAsia" w:ascii="仿宋" w:hAnsi="仿宋" w:eastAsia="仿宋" w:cs="仿宋"/>
          <w:sz w:val="32"/>
          <w:szCs w:val="32"/>
          <w:lang w:val="en-US" w:eastAsia="zh-CN"/>
        </w:rPr>
        <w:t>费、运输费、税金、安装费、辅材费、吊顶拆除恢复费用等）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、付款方式：</w:t>
      </w:r>
      <w:r>
        <w:rPr>
          <w:rFonts w:hint="eastAsia" w:ascii="仿宋" w:hAnsi="仿宋" w:eastAsia="仿宋" w:cs="仿宋"/>
          <w:b w:val="0"/>
          <w:color w:val="auto"/>
          <w:kern w:val="2"/>
          <w:sz w:val="32"/>
          <w:szCs w:val="32"/>
          <w:lang w:val="en-US" w:eastAsia="zh-CN" w:bidi="ar-SA"/>
        </w:rPr>
        <w:t>按要求完成全部采购项目内容，经采购人验收合格后，中标商</w:t>
      </w:r>
      <w:r>
        <w:rPr>
          <w:rFonts w:hint="eastAsia" w:ascii="仿宋" w:hAnsi="仿宋" w:eastAsia="仿宋" w:cs="仿宋"/>
          <w:color w:val="auto"/>
          <w:sz w:val="32"/>
          <w:szCs w:val="32"/>
          <w:lang w:val="en-US" w:eastAsia="zh-CN"/>
        </w:rPr>
        <w:t>应先行提供符合采购人财务要求的全额发票，</w:t>
      </w:r>
      <w:r>
        <w:rPr>
          <w:rFonts w:hint="eastAsia" w:ascii="仿宋" w:hAnsi="仿宋" w:eastAsia="仿宋" w:cs="仿宋"/>
          <w:b w:val="0"/>
          <w:color w:val="auto"/>
          <w:kern w:val="2"/>
          <w:sz w:val="32"/>
          <w:szCs w:val="32"/>
          <w:lang w:val="en-US" w:eastAsia="zh-CN" w:bidi="ar-SA"/>
        </w:rPr>
        <w:t>按采购人付款流程进行支付，如采购人遇到资金困难或其它原因导致不能及时支付的，不承担违约责任</w:t>
      </w:r>
      <w:r>
        <w:rPr>
          <w:rFonts w:hint="eastAsia" w:ascii="仿宋" w:hAnsi="仿宋" w:eastAsia="仿宋" w:cs="仿宋"/>
          <w:b w:val="0"/>
          <w:color w:val="000000"/>
          <w:kern w:val="2"/>
          <w:sz w:val="32"/>
          <w:szCs w:val="32"/>
          <w:lang w:val="en-US" w:eastAsia="zh-CN" w:bidi="ar-SA"/>
        </w:rPr>
        <w:t>及其它经济补偿。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3、履约保证金事宜：中标后，中标人向采购人缴纳中标价的3%作为履约保证金，自采购人验收合格之日起，履约保证金转为工程质保金，质保期壹年。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lang w:val="en-US"/>
        </w:rPr>
      </w:pPr>
      <w:r>
        <w:rPr>
          <w:rFonts w:hint="eastAsia" w:ascii="仿宋" w:hAnsi="仿宋" w:eastAsia="仿宋" w:cs="仿宋"/>
          <w:sz w:val="32"/>
          <w:szCs w:val="32"/>
          <w:lang w:val="en-US" w:eastAsia="zh-CN"/>
        </w:rPr>
        <w:t>自合同签订之日起30内中标企业完成全部维修并经采购人验收合格。如未完成采购项目所有内容，延期一天采购人扣除百分之一履约保证金，（扣除的履约保证金中标人应予7日内补齐，否则采购人将与中标企业解除约定且对已施工内容不予任何经济补偿，所产生的各类损失由中标人自行承担）延期超过3天，且10天内完成全部采购内容，采购人将扣除中标价10%违约金，超过11天，采购人将与中标企业解除约定且对已施工内容不予任何经济补偿，所产生的各类损失由中标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4、详见商务要求</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default" w:ascii="黑体" w:hAnsi="黑体" w:eastAsia="黑体" w:cs="黑体"/>
          <w:sz w:val="32"/>
          <w:szCs w:val="32"/>
          <w:lang w:val="en-US" w:eastAsia="zh-CN"/>
        </w:rPr>
      </w:pPr>
      <w:r>
        <w:rPr>
          <w:rStyle w:val="13"/>
          <w:rFonts w:hint="eastAsia" w:ascii="黑体" w:hAnsi="黑体" w:eastAsia="黑体" w:cs="黑体"/>
          <w:sz w:val="32"/>
          <w:szCs w:val="32"/>
          <w:lang w:val="en-US" w:eastAsia="zh-CN"/>
        </w:rPr>
        <w:t>八、询价人通讯地址</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名 称：新疆和田地区传染病专科医院</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 址：和田市玉龙喀什镇玉龙喀什路30号</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联系方式：孙晓东   18609039258</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黑体" w:hAnsi="黑体" w:eastAsia="黑体" w:cs="黑体"/>
          <w:sz w:val="32"/>
          <w:szCs w:val="32"/>
          <w:lang w:val="en-US" w:eastAsia="zh-CN"/>
        </w:rPr>
      </w:pPr>
      <w:r>
        <w:rPr>
          <w:rStyle w:val="13"/>
          <w:rFonts w:hint="eastAsia" w:ascii="黑体" w:hAnsi="黑体" w:eastAsia="黑体" w:cs="黑体"/>
          <w:sz w:val="32"/>
          <w:szCs w:val="32"/>
          <w:lang w:val="en-US" w:eastAsia="zh-CN"/>
        </w:rPr>
        <w:t>九、对本次采购提出询问，请按以下方式联系</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1.询价人信息</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名 称：新疆和田地区传染病专科医院</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 址：和田市玉龙喀什镇玉龙喀什路30号</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联系方式：刘耿   13565533118</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2.投诉举报电话：15894096562   13565526887</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因存在地域差异，请潜在供应商按照采购人所在地法定工作时间咨询。</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sz w:val="32"/>
          <w:szCs w:val="32"/>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新疆和田地区传染病专科医院</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2025年1月13日</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20" w:lineRule="exact"/>
        <w:ind w:left="0" w:right="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rPr>
          <w:rFonts w:hint="eastAsia"/>
        </w:rPr>
      </w:pPr>
      <w:r>
        <w:rPr>
          <w:rStyle w:val="17"/>
          <w:rFonts w:hint="eastAsia" w:ascii="宋体" w:hAnsi="宋体" w:eastAsia="宋体" w:cs="宋体"/>
          <w:b/>
          <w:bCs/>
          <w:kern w:val="44"/>
          <w:sz w:val="24"/>
          <w:szCs w:val="24"/>
          <w:lang w:val="en-US" w:eastAsia="zh-CN" w:bidi="ar-SA"/>
        </w:rPr>
        <w:t xml:space="preserve"> </w:t>
      </w:r>
    </w:p>
    <w:p>
      <w:pPr>
        <w:numPr>
          <w:ilvl w:val="0"/>
          <w:numId w:val="0"/>
        </w:num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开标一览表</w:t>
      </w:r>
    </w:p>
    <w:tbl>
      <w:tblPr>
        <w:tblStyle w:val="16"/>
        <w:tblpPr w:leftFromText="180" w:rightFromText="180" w:vertAnchor="text" w:horzAnchor="page" w:tblpXSpec="center" w:tblpY="625"/>
        <w:tblOverlap w:val="never"/>
        <w:tblW w:w="1001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8"/>
        <w:gridCol w:w="2449"/>
        <w:gridCol w:w="664"/>
        <w:gridCol w:w="5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8" w:hRule="atLeast"/>
          <w:jc w:val="center"/>
        </w:trPr>
        <w:tc>
          <w:tcPr>
            <w:tcW w:w="938" w:type="dxa"/>
            <w:vAlign w:val="center"/>
          </w:tcPr>
          <w:p>
            <w:pPr>
              <w:pStyle w:val="18"/>
              <w:spacing w:before="173"/>
              <w:ind w:left="183" w:right="174"/>
              <w:jc w:val="center"/>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序号</w:t>
            </w:r>
          </w:p>
        </w:tc>
        <w:tc>
          <w:tcPr>
            <w:tcW w:w="3113" w:type="dxa"/>
            <w:gridSpan w:val="2"/>
            <w:vAlign w:val="center"/>
          </w:tcPr>
          <w:p>
            <w:pPr>
              <w:pStyle w:val="18"/>
              <w:spacing w:before="173"/>
              <w:ind w:left="365" w:right="353"/>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项目名称</w:t>
            </w:r>
          </w:p>
        </w:tc>
        <w:tc>
          <w:tcPr>
            <w:tcW w:w="5968" w:type="dxa"/>
            <w:vAlign w:val="center"/>
          </w:tcPr>
          <w:p>
            <w:pPr>
              <w:pStyle w:val="18"/>
              <w:spacing w:before="173"/>
              <w:jc w:val="center"/>
              <w:rPr>
                <w:rFonts w:hint="eastAsia" w:ascii="宋体" w:hAnsi="宋体" w:eastAsia="宋体" w:cs="宋体"/>
                <w:b w:val="0"/>
                <w:bCs/>
                <w:color w:val="auto"/>
                <w:sz w:val="24"/>
                <w:szCs w:val="24"/>
                <w:highlight w:val="none"/>
                <w:lang w:eastAsia="zh-CN"/>
              </w:rPr>
            </w:pPr>
            <w:r>
              <w:rPr>
                <w:rFonts w:hint="eastAsia" w:ascii="仿宋" w:hAnsi="仿宋" w:eastAsia="仿宋" w:cs="仿宋"/>
                <w:sz w:val="32"/>
                <w:szCs w:val="32"/>
                <w:lang w:val="en-US" w:eastAsia="zh-CN"/>
              </w:rPr>
              <w:t>和田地区传染病专科医院暖气片安装及水泵房维护改造采购项目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5" w:hRule="atLeast"/>
          <w:jc w:val="center"/>
        </w:trPr>
        <w:tc>
          <w:tcPr>
            <w:tcW w:w="938" w:type="dxa"/>
            <w:tcBorders>
              <w:bottom w:val="single" w:color="auto" w:sz="4" w:space="0"/>
            </w:tcBorders>
            <w:vAlign w:val="center"/>
          </w:tcPr>
          <w:p>
            <w:pPr>
              <w:pStyle w:val="18"/>
              <w:spacing w:before="171"/>
              <w:ind w:left="9"/>
              <w:jc w:val="center"/>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w w:val="100"/>
                <w:sz w:val="24"/>
                <w:szCs w:val="24"/>
                <w:highlight w:val="none"/>
                <w:shd w:val="clear" w:color="auto" w:fill="auto"/>
              </w:rPr>
              <w:t>1</w:t>
            </w:r>
          </w:p>
        </w:tc>
        <w:tc>
          <w:tcPr>
            <w:tcW w:w="3113" w:type="dxa"/>
            <w:gridSpan w:val="2"/>
            <w:tcBorders>
              <w:bottom w:val="single" w:color="auto" w:sz="4" w:space="0"/>
            </w:tcBorders>
            <w:vAlign w:val="center"/>
          </w:tcPr>
          <w:p>
            <w:pPr>
              <w:pStyle w:val="18"/>
              <w:spacing w:before="171"/>
              <w:ind w:left="363" w:right="353"/>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被询价</w:t>
            </w:r>
            <w:r>
              <w:rPr>
                <w:rFonts w:hint="eastAsia" w:ascii="宋体" w:hAnsi="宋体" w:eastAsia="宋体" w:cs="宋体"/>
                <w:b w:val="0"/>
                <w:bCs/>
                <w:color w:val="auto"/>
                <w:sz w:val="24"/>
                <w:szCs w:val="24"/>
                <w:highlight w:val="none"/>
                <w:lang w:eastAsia="zh-CN"/>
              </w:rPr>
              <w:t>单位名称</w:t>
            </w:r>
          </w:p>
        </w:tc>
        <w:tc>
          <w:tcPr>
            <w:tcW w:w="5968" w:type="dxa"/>
            <w:tcBorders>
              <w:bottom w:val="single" w:color="auto" w:sz="4" w:space="0"/>
            </w:tcBorders>
            <w:vAlign w:val="center"/>
          </w:tcPr>
          <w:p>
            <w:pPr>
              <w:pStyle w:val="18"/>
              <w:jc w:val="center"/>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0" w:hRule="atLeast"/>
          <w:jc w:val="center"/>
        </w:trPr>
        <w:tc>
          <w:tcPr>
            <w:tcW w:w="938" w:type="dxa"/>
            <w:tcBorders>
              <w:top w:val="single" w:color="auto" w:sz="4" w:space="0"/>
              <w:bottom w:val="single" w:color="auto" w:sz="4" w:space="0"/>
            </w:tcBorders>
            <w:vAlign w:val="center"/>
          </w:tcPr>
          <w:p>
            <w:pPr>
              <w:pStyle w:val="18"/>
              <w:spacing w:before="171"/>
              <w:ind w:left="9"/>
              <w:jc w:val="center"/>
              <w:rPr>
                <w:rFonts w:hint="eastAsia" w:ascii="宋体" w:hAnsi="宋体" w:eastAsia="宋体" w:cs="宋体"/>
                <w:b w:val="0"/>
                <w:bCs/>
                <w:color w:val="auto"/>
                <w:w w:val="100"/>
                <w:sz w:val="24"/>
                <w:szCs w:val="24"/>
                <w:highlight w:val="none"/>
                <w:shd w:val="clear" w:color="auto" w:fill="auto"/>
                <w:lang w:val="en-US" w:eastAsia="zh-CN"/>
              </w:rPr>
            </w:pPr>
            <w:r>
              <w:rPr>
                <w:rFonts w:hint="eastAsia" w:ascii="宋体" w:hAnsi="宋体" w:eastAsia="宋体" w:cs="宋体"/>
                <w:b w:val="0"/>
                <w:bCs/>
                <w:color w:val="auto"/>
                <w:w w:val="100"/>
                <w:sz w:val="24"/>
                <w:szCs w:val="24"/>
                <w:highlight w:val="none"/>
                <w:shd w:val="clear" w:color="auto" w:fill="auto"/>
                <w:lang w:val="en-US" w:eastAsia="zh-CN"/>
              </w:rPr>
              <w:t>2</w:t>
            </w:r>
          </w:p>
        </w:tc>
        <w:tc>
          <w:tcPr>
            <w:tcW w:w="3113" w:type="dxa"/>
            <w:gridSpan w:val="2"/>
            <w:tcBorders>
              <w:top w:val="single" w:color="auto" w:sz="4" w:space="0"/>
              <w:bottom w:val="single" w:color="auto" w:sz="4" w:space="0"/>
            </w:tcBorders>
            <w:vAlign w:val="center"/>
          </w:tcPr>
          <w:p>
            <w:pPr>
              <w:pStyle w:val="18"/>
              <w:spacing w:before="171"/>
              <w:ind w:left="363" w:right="353"/>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采购内容</w:t>
            </w:r>
          </w:p>
        </w:tc>
        <w:tc>
          <w:tcPr>
            <w:tcW w:w="5968" w:type="dxa"/>
            <w:tcBorders>
              <w:top w:val="single" w:color="auto" w:sz="4" w:space="0"/>
              <w:bottom w:val="single" w:color="auto" w:sz="4" w:space="0"/>
            </w:tcBorders>
            <w:vAlign w:val="center"/>
          </w:tcPr>
          <w:p>
            <w:pPr>
              <w:pStyle w:val="18"/>
              <w:spacing w:line="360" w:lineRule="auto"/>
              <w:jc w:val="center"/>
              <w:rPr>
                <w:rFonts w:hint="default" w:ascii="宋体" w:hAnsi="宋体" w:eastAsia="宋体" w:cs="宋体"/>
                <w:b w:val="0"/>
                <w:bCs/>
                <w:color w:val="auto"/>
                <w:sz w:val="24"/>
                <w:szCs w:val="24"/>
                <w:highlight w:val="none"/>
                <w:lang w:val="en-US" w:eastAsia="zh-CN"/>
              </w:rPr>
            </w:pPr>
            <w:r>
              <w:rPr>
                <w:rFonts w:hint="eastAsia" w:ascii="仿宋" w:hAnsi="仿宋" w:eastAsia="仿宋" w:cs="仿宋"/>
                <w:sz w:val="32"/>
                <w:szCs w:val="32"/>
                <w:lang w:val="en-US" w:eastAsia="zh-CN"/>
              </w:rPr>
              <w:t>暖气片安装及水泵房维护改造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1" w:hRule="atLeast"/>
          <w:jc w:val="center"/>
        </w:trPr>
        <w:tc>
          <w:tcPr>
            <w:tcW w:w="938" w:type="dxa"/>
            <w:tcBorders>
              <w:top w:val="single" w:color="auto" w:sz="4" w:space="0"/>
            </w:tcBorders>
            <w:vAlign w:val="center"/>
          </w:tcPr>
          <w:p>
            <w:pPr>
              <w:pStyle w:val="18"/>
              <w:spacing w:before="171"/>
              <w:ind w:left="9"/>
              <w:jc w:val="center"/>
              <w:rPr>
                <w:rFonts w:hint="eastAsia" w:ascii="宋体" w:hAnsi="宋体" w:eastAsia="宋体" w:cs="宋体"/>
                <w:b w:val="0"/>
                <w:bCs/>
                <w:color w:val="auto"/>
                <w:w w:val="100"/>
                <w:sz w:val="24"/>
                <w:szCs w:val="24"/>
                <w:highlight w:val="none"/>
                <w:shd w:val="clear" w:color="auto" w:fill="auto"/>
                <w:lang w:val="en-US" w:eastAsia="zh-CN"/>
              </w:rPr>
            </w:pPr>
            <w:r>
              <w:rPr>
                <w:rFonts w:hint="eastAsia" w:ascii="宋体" w:hAnsi="宋体" w:eastAsia="宋体" w:cs="宋体"/>
                <w:b w:val="0"/>
                <w:bCs/>
                <w:color w:val="auto"/>
                <w:w w:val="100"/>
                <w:sz w:val="24"/>
                <w:szCs w:val="24"/>
                <w:highlight w:val="none"/>
                <w:shd w:val="clear" w:color="auto" w:fill="auto"/>
                <w:lang w:val="en-US" w:eastAsia="zh-CN"/>
              </w:rPr>
              <w:t>3</w:t>
            </w:r>
          </w:p>
        </w:tc>
        <w:tc>
          <w:tcPr>
            <w:tcW w:w="3113" w:type="dxa"/>
            <w:gridSpan w:val="2"/>
            <w:tcBorders>
              <w:top w:val="single" w:color="auto" w:sz="4" w:space="0"/>
            </w:tcBorders>
            <w:vAlign w:val="center"/>
          </w:tcPr>
          <w:p>
            <w:pPr>
              <w:pStyle w:val="18"/>
              <w:spacing w:before="171"/>
              <w:ind w:left="363" w:right="353"/>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合同履行期限</w:t>
            </w:r>
          </w:p>
        </w:tc>
        <w:tc>
          <w:tcPr>
            <w:tcW w:w="5968" w:type="dxa"/>
            <w:tcBorders>
              <w:top w:val="single" w:color="auto" w:sz="4" w:space="0"/>
            </w:tcBorders>
            <w:vAlign w:val="center"/>
          </w:tcPr>
          <w:p>
            <w:pPr>
              <w:pStyle w:val="18"/>
              <w:jc w:val="center"/>
              <w:rPr>
                <w:rFonts w:hint="default" w:ascii="宋体" w:hAnsi="宋体" w:eastAsia="宋体" w:cs="宋体"/>
                <w:b w:val="0"/>
                <w:bCs/>
                <w:color w:val="auto"/>
                <w:sz w:val="24"/>
                <w:szCs w:val="24"/>
                <w:highlight w:val="none"/>
                <w:lang w:val="en-US" w:eastAsia="zh-CN"/>
              </w:rPr>
            </w:pPr>
            <w:r>
              <w:rPr>
                <w:rFonts w:hint="eastAsia" w:eastAsia="宋体" w:cs="宋体"/>
                <w:b w:val="0"/>
                <w:bCs/>
                <w:color w:val="auto"/>
                <w:sz w:val="24"/>
                <w:szCs w:val="24"/>
                <w:highlight w:val="none"/>
                <w:lang w:val="en-US" w:eastAsia="zh-CN"/>
              </w:rPr>
              <w:t>以合同签订为准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4" w:hRule="atLeast"/>
          <w:jc w:val="center"/>
        </w:trPr>
        <w:tc>
          <w:tcPr>
            <w:tcW w:w="938" w:type="dxa"/>
            <w:vMerge w:val="restart"/>
            <w:tcBorders>
              <w:right w:val="single" w:color="auto" w:sz="4" w:space="0"/>
            </w:tcBorders>
            <w:vAlign w:val="center"/>
          </w:tcPr>
          <w:p>
            <w:pPr>
              <w:pStyle w:val="18"/>
              <w:ind w:firstLine="480" w:firstLineChars="200"/>
              <w:jc w:val="both"/>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4</w:t>
            </w:r>
          </w:p>
        </w:tc>
        <w:tc>
          <w:tcPr>
            <w:tcW w:w="2449" w:type="dxa"/>
            <w:vMerge w:val="restart"/>
            <w:tcBorders>
              <w:left w:val="single" w:color="auto" w:sz="4" w:space="0"/>
            </w:tcBorders>
            <w:vAlign w:val="center"/>
          </w:tcPr>
          <w:p>
            <w:pPr>
              <w:spacing w:line="30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投标总价（人民币）</w:t>
            </w:r>
          </w:p>
        </w:tc>
        <w:tc>
          <w:tcPr>
            <w:tcW w:w="664" w:type="dxa"/>
            <w:tcBorders>
              <w:left w:val="single" w:color="auto" w:sz="4" w:space="0"/>
            </w:tcBorders>
            <w:vAlign w:val="center"/>
          </w:tcPr>
          <w:p>
            <w:pPr>
              <w:pStyle w:val="18"/>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小写</w:t>
            </w:r>
          </w:p>
        </w:tc>
        <w:tc>
          <w:tcPr>
            <w:tcW w:w="5968" w:type="dxa"/>
            <w:tcBorders>
              <w:bottom w:val="single" w:color="auto" w:sz="4" w:space="0"/>
            </w:tcBorders>
            <w:vAlign w:val="center"/>
          </w:tcPr>
          <w:p>
            <w:pPr>
              <w:pStyle w:val="18"/>
              <w:jc w:val="left"/>
              <w:rPr>
                <w:rFonts w:hint="eastAsia" w:ascii="宋体" w:hAnsi="宋体" w:eastAsia="宋体" w:cs="宋体"/>
                <w:b w:val="0"/>
                <w:bCs/>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6" w:hRule="atLeast"/>
          <w:jc w:val="center"/>
        </w:trPr>
        <w:tc>
          <w:tcPr>
            <w:tcW w:w="938" w:type="dxa"/>
            <w:vMerge w:val="continue"/>
            <w:tcBorders>
              <w:right w:val="single" w:color="auto" w:sz="4" w:space="0"/>
            </w:tcBorders>
            <w:vAlign w:val="center"/>
          </w:tcPr>
          <w:p>
            <w:pPr>
              <w:pStyle w:val="18"/>
              <w:ind w:left="590"/>
              <w:jc w:val="center"/>
              <w:rPr>
                <w:rFonts w:hint="eastAsia" w:ascii="宋体" w:hAnsi="宋体" w:eastAsia="宋体" w:cs="宋体"/>
                <w:b w:val="0"/>
                <w:bCs/>
                <w:color w:val="auto"/>
                <w:sz w:val="24"/>
                <w:szCs w:val="24"/>
                <w:highlight w:val="none"/>
                <w:shd w:val="clear" w:color="auto" w:fill="auto"/>
              </w:rPr>
            </w:pPr>
          </w:p>
        </w:tc>
        <w:tc>
          <w:tcPr>
            <w:tcW w:w="2449" w:type="dxa"/>
            <w:vMerge w:val="continue"/>
            <w:tcBorders>
              <w:left w:val="single" w:color="auto" w:sz="4" w:space="0"/>
            </w:tcBorders>
            <w:vAlign w:val="center"/>
          </w:tcPr>
          <w:p>
            <w:pPr>
              <w:pStyle w:val="18"/>
              <w:ind w:left="590"/>
              <w:jc w:val="center"/>
              <w:rPr>
                <w:rFonts w:hint="eastAsia" w:ascii="宋体" w:hAnsi="宋体" w:eastAsia="宋体" w:cs="宋体"/>
                <w:b w:val="0"/>
                <w:bCs/>
                <w:color w:val="auto"/>
                <w:sz w:val="24"/>
                <w:szCs w:val="24"/>
                <w:highlight w:val="none"/>
              </w:rPr>
            </w:pPr>
          </w:p>
        </w:tc>
        <w:tc>
          <w:tcPr>
            <w:tcW w:w="664" w:type="dxa"/>
            <w:tcBorders>
              <w:left w:val="single" w:color="auto" w:sz="4" w:space="0"/>
            </w:tcBorders>
            <w:vAlign w:val="center"/>
          </w:tcPr>
          <w:p>
            <w:pPr>
              <w:pStyle w:val="18"/>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大写</w:t>
            </w:r>
          </w:p>
        </w:tc>
        <w:tc>
          <w:tcPr>
            <w:tcW w:w="5968" w:type="dxa"/>
            <w:tcBorders>
              <w:top w:val="single" w:color="auto" w:sz="4" w:space="0"/>
            </w:tcBorders>
            <w:vAlign w:val="center"/>
          </w:tcPr>
          <w:p>
            <w:pPr>
              <w:pStyle w:val="18"/>
              <w:jc w:val="left"/>
              <w:rPr>
                <w:rFonts w:hint="eastAsia" w:ascii="宋体" w:hAnsi="宋体" w:eastAsia="宋体" w:cs="宋体"/>
                <w:b w:val="0"/>
                <w:bCs/>
                <w:color w:val="auto"/>
                <w:sz w:val="24"/>
                <w:szCs w:val="24"/>
                <w:highlight w:val="none"/>
                <w:lang w:eastAsia="zh-CN"/>
              </w:rPr>
            </w:pPr>
          </w:p>
        </w:tc>
      </w:tr>
    </w:tbl>
    <w:p>
      <w:pPr>
        <w:pStyle w:val="2"/>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rPr>
      </w:pPr>
    </w:p>
    <w:p>
      <w:pPr>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单位</w:t>
      </w:r>
      <w:r>
        <w:rPr>
          <w:rFonts w:hint="eastAsia" w:ascii="宋体" w:hAnsi="宋体" w:eastAsia="宋体" w:cs="宋体"/>
          <w:color w:val="auto"/>
          <w:sz w:val="24"/>
          <w:szCs w:val="24"/>
          <w:highlight w:val="none"/>
          <w:u w:val="none"/>
        </w:rPr>
        <w:t xml:space="preserve">公章） </w:t>
      </w:r>
    </w:p>
    <w:p>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或授权代表人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pStyle w:val="2"/>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联系人：</w:t>
      </w:r>
    </w:p>
    <w:p>
      <w:pPr>
        <w:spacing w:line="360" w:lineRule="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
        <w:rPr>
          <w:rFonts w:hint="eastAsia" w:ascii="宋体" w:hAnsi="宋体" w:eastAsia="宋体" w:cs="宋体"/>
          <w:color w:val="auto"/>
          <w:sz w:val="24"/>
          <w:szCs w:val="24"/>
          <w:highlight w:val="none"/>
        </w:rPr>
      </w:pPr>
    </w:p>
    <w:p>
      <w:pPr>
        <w:spacing w:afterAutospacing="0"/>
        <w:jc w:val="center"/>
        <w:rPr>
          <w:rFonts w:hint="eastAsia" w:ascii="黑体" w:hAnsi="黑体" w:eastAsia="黑体" w:cs="黑体"/>
          <w:color w:val="auto"/>
          <w:sz w:val="44"/>
          <w:szCs w:val="44"/>
          <w:highlight w:val="none"/>
          <w:lang w:val="en-US" w:eastAsia="zh-CN"/>
        </w:rPr>
      </w:pPr>
      <w:r>
        <w:rPr>
          <w:rFonts w:hint="eastAsia" w:ascii="黑体" w:hAnsi="黑体" w:eastAsia="黑体" w:cs="黑体"/>
          <w:color w:val="auto"/>
          <w:sz w:val="44"/>
          <w:szCs w:val="44"/>
          <w:highlight w:val="none"/>
          <w:lang w:val="en-US" w:eastAsia="zh-CN"/>
        </w:rPr>
        <w:t>商务要求</w:t>
      </w:r>
    </w:p>
    <w:p>
      <w:pPr>
        <w:pStyle w:val="2"/>
        <w:keepNext w:val="0"/>
        <w:keepLines w:val="0"/>
        <w:pageBreakBefore w:val="0"/>
        <w:widowControl w:val="0"/>
        <w:kinsoku/>
        <w:wordWrap/>
        <w:overflowPunct/>
        <w:topLinePunct w:val="0"/>
        <w:autoSpaceDE/>
        <w:autoSpaceDN/>
        <w:bidi w:val="0"/>
        <w:adjustRightInd/>
        <w:snapToGrid/>
        <w:spacing w:after="0" w:afterAutospacing="0" w:line="540" w:lineRule="exact"/>
        <w:ind w:firstLine="542" w:firstLineChars="200"/>
        <w:textAlignment w:val="auto"/>
        <w:rPr>
          <w:rFonts w:hint="eastAsia"/>
          <w:lang w:val="en-US" w:eastAsia="zh-CN"/>
        </w:rPr>
      </w:pPr>
      <w:r>
        <w:rPr>
          <w:rFonts w:hint="eastAsia"/>
          <w:lang w:val="en-US" w:eastAsia="zh-CN"/>
        </w:rPr>
        <w:t>位置：和田地区传染病专科医院发热门诊一楼大厅CT室，综合楼负一楼CT室。</w:t>
      </w:r>
    </w:p>
    <w:p>
      <w:pPr>
        <w:pStyle w:val="2"/>
        <w:keepNext w:val="0"/>
        <w:keepLines w:val="0"/>
        <w:pageBreakBefore w:val="0"/>
        <w:widowControl w:val="0"/>
        <w:kinsoku/>
        <w:wordWrap/>
        <w:overflowPunct/>
        <w:topLinePunct w:val="0"/>
        <w:autoSpaceDE/>
        <w:autoSpaceDN/>
        <w:bidi w:val="0"/>
        <w:adjustRightInd/>
        <w:snapToGrid/>
        <w:spacing w:after="0" w:afterAutospacing="0" w:line="540" w:lineRule="exact"/>
        <w:ind w:firstLine="542" w:firstLineChars="200"/>
        <w:textAlignment w:val="auto"/>
        <w:rPr>
          <w:rFonts w:hint="eastAsia"/>
          <w:lang w:val="en-US" w:eastAsia="zh-CN"/>
        </w:rPr>
      </w:pPr>
      <w:r>
        <w:rPr>
          <w:rFonts w:hint="eastAsia"/>
          <w:lang w:val="en-US" w:eastAsia="zh-CN"/>
        </w:rPr>
        <w:t>备注：</w:t>
      </w:r>
      <w:r>
        <w:rPr>
          <w:rFonts w:hint="eastAsia" w:ascii="仿宋" w:hAnsi="仿宋" w:eastAsia="仿宋" w:cs="仿宋"/>
          <w:color w:val="auto"/>
          <w:kern w:val="0"/>
          <w:sz w:val="32"/>
          <w:szCs w:val="32"/>
          <w:lang w:val="en-US" w:eastAsia="zh-CN" w:bidi="ar"/>
        </w:rPr>
        <w:t>该项目由于涉及现场安装，采购人受专业技术影响，</w:t>
      </w:r>
      <w:r>
        <w:rPr>
          <w:rFonts w:hint="eastAsia"/>
          <w:lang w:val="en-US" w:eastAsia="zh-CN"/>
        </w:rPr>
        <w:t>采购人自行测算、统计、测量难免存在尺寸误差，为保证潜在供应商合法权益，潜在供应商应在报价前在指定时间前往我院进行现场踏勘，如因现场踏勘核对错误导致产品无法安装使用或超出计划数量，所产生的一切经济损失由中标人自行承担。</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542" w:firstLineChars="200"/>
        <w:textAlignment w:val="auto"/>
        <w:rPr>
          <w:rFonts w:hint="default"/>
          <w:lang w:val="en-US" w:eastAsia="zh-CN"/>
        </w:rPr>
      </w:pPr>
      <w:r>
        <w:rPr>
          <w:rFonts w:hint="eastAsia"/>
          <w:lang w:val="en-US" w:eastAsia="zh-CN"/>
        </w:rPr>
        <w:t>此测量数据为采购人测量，实际安装过程中可能会超出测量数据，超出部分采购人不予追加资金，结余部分采购人根据实际进行据实核减，安装过程中产生的吊顶、灯具损坏恢复费用均含在报价内。</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cs="宋体"/>
          <w:color w:val="auto"/>
          <w:sz w:val="32"/>
          <w:szCs w:val="32"/>
          <w:highlight w:val="none"/>
          <w:lang w:val="en-US" w:eastAsia="zh-CN"/>
        </w:rPr>
      </w:pPr>
      <w:r>
        <w:rPr>
          <w:rFonts w:hint="eastAsia" w:cs="宋体"/>
          <w:color w:val="auto"/>
          <w:sz w:val="32"/>
          <w:szCs w:val="32"/>
          <w:highlight w:val="none"/>
          <w:lang w:val="en-US" w:eastAsia="zh-CN"/>
        </w:rPr>
        <w:t>2、供货要求：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1.1 货物为本次招标前原制造商制造的非淘汰类全新产品，无污染，无侵权行为、 无任何缺陷隐患，在中国境内可依常规安全合法使用。货物为原厂商未启封全新包装，具出厂合格证，序列号、包装箱号与出厂批号一致，并可追索查阅。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1.2 本次采购所采购商品的基本参数要求为最基本配置，如无特别说明，任何产品不得低于上述基本配置供货，并作为产品到货最终验收标准。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1.3 所提供货物的技术规格和标准要符合中华人民共和国相关部门最新颁布的标准及规范，并附产品合格证书。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1.4 投标人报价时所提供的货物如在实际供货时已经停产（不列入该厂家当时的产品系统），如果未能按原价提供更优质的货物，则按违约处理，赔偿合同金额5%的违约金。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1.5成交供应商应保证采购人在使用时的任何一部分，都不受第三方关于侵犯其所有权、专利权的指控，如因此指控为采购人带来的损失均由中标供应商承担，供应商必须就此点提供书面承诺。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1.6 投标人在实际供货时，若被发现提供的货物未能达到招标文件和投标文件中的有关要求，采购人将有权单方面中止合同的执行，并追究因中标人所提供的未达到所承诺准确率产品而产生的所有损失和责任。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1.7 投标人针对本项目所投标的货物需提供所供设备的维护保养方案，所投产品应易于维护，或免维护。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1.8报价要求：报价应包括供货方设计、安装、随机零配件、标配工具、运输费用及保险、安装调试、培训、质保期服务、各项税费及合同实施过程中不可预见费用等。为了避免低价低质恶意竞争，请实事求是的报价，如有违反市场价格规律超低恶意谋取中标后，又不能按采购人要求提供合格产品者，一律按无效标处理并依法追究中标企业责任。 </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cs="宋体"/>
          <w:color w:val="auto"/>
          <w:sz w:val="32"/>
          <w:szCs w:val="32"/>
          <w:highlight w:val="none"/>
          <w:lang w:val="en-US" w:eastAsia="zh-CN"/>
        </w:rPr>
      </w:pPr>
      <w:r>
        <w:rPr>
          <w:rFonts w:hint="eastAsia" w:cs="宋体"/>
          <w:color w:val="auto"/>
          <w:sz w:val="32"/>
          <w:szCs w:val="32"/>
          <w:highlight w:val="none"/>
          <w:lang w:val="en-US" w:eastAsia="zh-CN"/>
        </w:rPr>
        <w:t>2.质量保证及售后服务：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2.1 货物质量保证投标人提供的货物必须是原厂生产的、全新的、未使用过的正品（包括零部件），并完全符合国家质量标准，所有物品按照厂家规定的产品包装，附使用说明、合格证、随机标准附件。所有产品符合《中华人民共和国产品质量法》、《中华人民共和国计量法》、《中华人民共和国标准化法》要求、相关行业管理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2.2 中标供应商应按招标文件所要求的参数及投标文件中所响应的参数进行供货，在货物验收时，采购人组成验收小组按国家有关规定、规范及中标人的投标文件中承诺的内容进行验收，必要时邀请相关的第三方专业人员、机构或参与本次项目的其他投标人参与验收。因货物质量问题发生争议时，由采购人所在地质量技术监督部门鉴定。鉴定费由中标人垫付，货物符合质量技术标准的，鉴定费由采购人承担；否则鉴定费由中标人承担，投标人针对本条在投标文件中做出书面承诺，否则投标无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2.3中标人应将用户手册、保修手册、有关单证资料及配备件、随机工具等交付给采购人，使用操作及安全须知等重要资料应附有中文说明。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2.4现场踏勘，项目由于涉及现场安装，采购人受专业技术影响，采购人自行测算、统计、测量难免存在尺寸误差，为保证潜在供应商合法权益，潜在供应商应在报价前自行前往我院进行现场踏勘，如因现场踏勘核对错误导致产品无法安装使用或超出计划数量，所产生的一切经济损失由中标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2.5投标人投标产品属于国家规定“三包”范围的，其产品质量保证期不得低于“三包”规定；投标人的质量保证期承诺优于国家“三包”规定的，按投标人实际承诺执行。 </w:t>
      </w:r>
    </w:p>
    <w:sectPr>
      <w:footerReference r:id="rId3" w:type="default"/>
      <w:pgSz w:w="11906" w:h="16838" w:orient="landscape"/>
      <w:pgMar w:top="1803" w:right="1440" w:bottom="1803" w:left="1440"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bookFoldPrinting w:val="1"/>
  <w:bookFoldPrintingSheets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MDc1ZDA0YzcyZTM2ZWI2MmY4NWQxZjM5ZGQ1NjYifQ=="/>
  </w:docVars>
  <w:rsids>
    <w:rsidRoot w:val="5725185A"/>
    <w:rsid w:val="00292B55"/>
    <w:rsid w:val="020D0973"/>
    <w:rsid w:val="02424B2A"/>
    <w:rsid w:val="02C46BBB"/>
    <w:rsid w:val="039025B1"/>
    <w:rsid w:val="05452235"/>
    <w:rsid w:val="06530CDE"/>
    <w:rsid w:val="071F2612"/>
    <w:rsid w:val="072977AC"/>
    <w:rsid w:val="086B414F"/>
    <w:rsid w:val="08BB440A"/>
    <w:rsid w:val="098D5F59"/>
    <w:rsid w:val="09E64B64"/>
    <w:rsid w:val="0A856C30"/>
    <w:rsid w:val="0A892BC4"/>
    <w:rsid w:val="0AA51080"/>
    <w:rsid w:val="0AB81E6D"/>
    <w:rsid w:val="0BC0714D"/>
    <w:rsid w:val="0BD94C78"/>
    <w:rsid w:val="0C0B585A"/>
    <w:rsid w:val="0C272694"/>
    <w:rsid w:val="0CE140DA"/>
    <w:rsid w:val="0D7A107E"/>
    <w:rsid w:val="0E662B82"/>
    <w:rsid w:val="0E813BB2"/>
    <w:rsid w:val="0EF73F48"/>
    <w:rsid w:val="0F0C338D"/>
    <w:rsid w:val="0F5D3091"/>
    <w:rsid w:val="101B2217"/>
    <w:rsid w:val="114809B7"/>
    <w:rsid w:val="11D64215"/>
    <w:rsid w:val="11EE77B0"/>
    <w:rsid w:val="123F1DBA"/>
    <w:rsid w:val="12AA6006"/>
    <w:rsid w:val="132F1E2E"/>
    <w:rsid w:val="134867F0"/>
    <w:rsid w:val="144D4C62"/>
    <w:rsid w:val="14524026"/>
    <w:rsid w:val="14F72E20"/>
    <w:rsid w:val="157A61DF"/>
    <w:rsid w:val="164D719B"/>
    <w:rsid w:val="165A3666"/>
    <w:rsid w:val="1717162E"/>
    <w:rsid w:val="18784278"/>
    <w:rsid w:val="18844715"/>
    <w:rsid w:val="1897313F"/>
    <w:rsid w:val="1A272EFF"/>
    <w:rsid w:val="1A91517D"/>
    <w:rsid w:val="1B0A69BA"/>
    <w:rsid w:val="1B7B10DD"/>
    <w:rsid w:val="1BC577D4"/>
    <w:rsid w:val="1D2E7969"/>
    <w:rsid w:val="1DBF1DEB"/>
    <w:rsid w:val="1DDD33C7"/>
    <w:rsid w:val="1DE5150E"/>
    <w:rsid w:val="1DF83947"/>
    <w:rsid w:val="2058153D"/>
    <w:rsid w:val="20963571"/>
    <w:rsid w:val="220918BA"/>
    <w:rsid w:val="22AE2C8B"/>
    <w:rsid w:val="22BC0680"/>
    <w:rsid w:val="23C068A7"/>
    <w:rsid w:val="241C0533"/>
    <w:rsid w:val="249266C1"/>
    <w:rsid w:val="251D7F26"/>
    <w:rsid w:val="25E97AC4"/>
    <w:rsid w:val="26650873"/>
    <w:rsid w:val="270D0281"/>
    <w:rsid w:val="28465407"/>
    <w:rsid w:val="29A50814"/>
    <w:rsid w:val="2B1B65B1"/>
    <w:rsid w:val="2B275EA8"/>
    <w:rsid w:val="2B7F1985"/>
    <w:rsid w:val="2C0560E1"/>
    <w:rsid w:val="2C6F6526"/>
    <w:rsid w:val="2E913C85"/>
    <w:rsid w:val="2EEF2F06"/>
    <w:rsid w:val="30B011FC"/>
    <w:rsid w:val="31735B79"/>
    <w:rsid w:val="31E05AB8"/>
    <w:rsid w:val="32A9690D"/>
    <w:rsid w:val="32AE3BE5"/>
    <w:rsid w:val="331B6908"/>
    <w:rsid w:val="33720CC1"/>
    <w:rsid w:val="33973075"/>
    <w:rsid w:val="34825311"/>
    <w:rsid w:val="349839A8"/>
    <w:rsid w:val="34CA25C5"/>
    <w:rsid w:val="35AA3B33"/>
    <w:rsid w:val="35B069A7"/>
    <w:rsid w:val="365F6841"/>
    <w:rsid w:val="36721EAF"/>
    <w:rsid w:val="37CF580A"/>
    <w:rsid w:val="38B6372B"/>
    <w:rsid w:val="3A4E312D"/>
    <w:rsid w:val="3B0E03F8"/>
    <w:rsid w:val="3B800BCA"/>
    <w:rsid w:val="3BB97722"/>
    <w:rsid w:val="3BCD4FE2"/>
    <w:rsid w:val="3BEC6A05"/>
    <w:rsid w:val="3E444130"/>
    <w:rsid w:val="3EB062FE"/>
    <w:rsid w:val="3ED56FB9"/>
    <w:rsid w:val="3F0538C0"/>
    <w:rsid w:val="3F1427F3"/>
    <w:rsid w:val="40065F8B"/>
    <w:rsid w:val="40DC6ED9"/>
    <w:rsid w:val="41574602"/>
    <w:rsid w:val="41D41E36"/>
    <w:rsid w:val="41D97882"/>
    <w:rsid w:val="428A675F"/>
    <w:rsid w:val="42A7355E"/>
    <w:rsid w:val="44A42BF3"/>
    <w:rsid w:val="44EE3048"/>
    <w:rsid w:val="45290336"/>
    <w:rsid w:val="45513D03"/>
    <w:rsid w:val="45FD736F"/>
    <w:rsid w:val="4723347D"/>
    <w:rsid w:val="480474F4"/>
    <w:rsid w:val="481574DF"/>
    <w:rsid w:val="482325A0"/>
    <w:rsid w:val="486C2C02"/>
    <w:rsid w:val="497A3403"/>
    <w:rsid w:val="4A2111CC"/>
    <w:rsid w:val="4A954692"/>
    <w:rsid w:val="4B890E43"/>
    <w:rsid w:val="4CEC2563"/>
    <w:rsid w:val="4CFD301C"/>
    <w:rsid w:val="4D091DF1"/>
    <w:rsid w:val="4E38099F"/>
    <w:rsid w:val="4E9316FE"/>
    <w:rsid w:val="4EBB13D7"/>
    <w:rsid w:val="4EC60287"/>
    <w:rsid w:val="4F6D6FE5"/>
    <w:rsid w:val="503009B9"/>
    <w:rsid w:val="50374F3E"/>
    <w:rsid w:val="52355351"/>
    <w:rsid w:val="53741AE5"/>
    <w:rsid w:val="538606AF"/>
    <w:rsid w:val="53F73CC7"/>
    <w:rsid w:val="548346B1"/>
    <w:rsid w:val="54B23A2A"/>
    <w:rsid w:val="54CE4231"/>
    <w:rsid w:val="56542720"/>
    <w:rsid w:val="568A5654"/>
    <w:rsid w:val="568D0DC6"/>
    <w:rsid w:val="5725185A"/>
    <w:rsid w:val="5799661D"/>
    <w:rsid w:val="57EA5FB9"/>
    <w:rsid w:val="5886386C"/>
    <w:rsid w:val="58AE013E"/>
    <w:rsid w:val="5AD22D98"/>
    <w:rsid w:val="5AEE2B65"/>
    <w:rsid w:val="5B1537BF"/>
    <w:rsid w:val="5BB738BF"/>
    <w:rsid w:val="5BB97A86"/>
    <w:rsid w:val="5BD06B4C"/>
    <w:rsid w:val="5C194221"/>
    <w:rsid w:val="5C39628D"/>
    <w:rsid w:val="5D4F70DB"/>
    <w:rsid w:val="5D752101"/>
    <w:rsid w:val="5E031FF8"/>
    <w:rsid w:val="5E61129C"/>
    <w:rsid w:val="5F4F67C9"/>
    <w:rsid w:val="5F6263BF"/>
    <w:rsid w:val="60844B35"/>
    <w:rsid w:val="60FD48E7"/>
    <w:rsid w:val="627B5AC3"/>
    <w:rsid w:val="62AA2731"/>
    <w:rsid w:val="62B00DF6"/>
    <w:rsid w:val="62DE13C0"/>
    <w:rsid w:val="63520F1A"/>
    <w:rsid w:val="63D056A0"/>
    <w:rsid w:val="649D5EC7"/>
    <w:rsid w:val="649E50F5"/>
    <w:rsid w:val="64FA2A94"/>
    <w:rsid w:val="65A2780B"/>
    <w:rsid w:val="66903B07"/>
    <w:rsid w:val="66BA2E7E"/>
    <w:rsid w:val="66FE31A3"/>
    <w:rsid w:val="67FB04A0"/>
    <w:rsid w:val="686C2752"/>
    <w:rsid w:val="69CF5C73"/>
    <w:rsid w:val="6A2E3F3C"/>
    <w:rsid w:val="6B426FCA"/>
    <w:rsid w:val="6B584562"/>
    <w:rsid w:val="6B6079A4"/>
    <w:rsid w:val="6BBD04B4"/>
    <w:rsid w:val="6C5B6DEC"/>
    <w:rsid w:val="6CCF5389"/>
    <w:rsid w:val="6CF52916"/>
    <w:rsid w:val="6E2C7C33"/>
    <w:rsid w:val="6E711527"/>
    <w:rsid w:val="6EDD7239"/>
    <w:rsid w:val="6F3E67F6"/>
    <w:rsid w:val="6F49170A"/>
    <w:rsid w:val="6F9B5FB3"/>
    <w:rsid w:val="6FA67929"/>
    <w:rsid w:val="6FFB6BCC"/>
    <w:rsid w:val="70347AED"/>
    <w:rsid w:val="70B444BA"/>
    <w:rsid w:val="70B963C3"/>
    <w:rsid w:val="714523F4"/>
    <w:rsid w:val="71FE1772"/>
    <w:rsid w:val="724406A0"/>
    <w:rsid w:val="727F7D4E"/>
    <w:rsid w:val="72B16234"/>
    <w:rsid w:val="72C47154"/>
    <w:rsid w:val="733B6309"/>
    <w:rsid w:val="733D15CE"/>
    <w:rsid w:val="7394357D"/>
    <w:rsid w:val="73A20BF8"/>
    <w:rsid w:val="73C962FE"/>
    <w:rsid w:val="74930D62"/>
    <w:rsid w:val="74E71A7C"/>
    <w:rsid w:val="76640F5B"/>
    <w:rsid w:val="76D45E26"/>
    <w:rsid w:val="77847D99"/>
    <w:rsid w:val="7795390D"/>
    <w:rsid w:val="77AF4370"/>
    <w:rsid w:val="77CE623E"/>
    <w:rsid w:val="780936A3"/>
    <w:rsid w:val="78CF6711"/>
    <w:rsid w:val="79766D6F"/>
    <w:rsid w:val="7A2937CC"/>
    <w:rsid w:val="7AE758F1"/>
    <w:rsid w:val="7AF10BC1"/>
    <w:rsid w:val="7B5761A4"/>
    <w:rsid w:val="7B9F450C"/>
    <w:rsid w:val="7D8903D6"/>
    <w:rsid w:val="7DC9403A"/>
    <w:rsid w:val="7E5971A9"/>
    <w:rsid w:val="7FBE5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17"/>
    <w:qFormat/>
    <w:uiPriority w:val="0"/>
    <w:pPr>
      <w:keepNext/>
      <w:keepLines/>
      <w:spacing w:line="380" w:lineRule="exact"/>
      <w:jc w:val="center"/>
      <w:outlineLvl w:val="1"/>
    </w:pPr>
    <w:rPr>
      <w:rFonts w:ascii="Arial" w:hAnsi="Arial"/>
      <w:b/>
      <w:bCs/>
      <w:kern w:val="0"/>
      <w:sz w:val="30"/>
      <w:szCs w:val="32"/>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Indent"/>
    <w:basedOn w:val="1"/>
    <w:qFormat/>
    <w:uiPriority w:val="99"/>
    <w:pPr>
      <w:spacing w:after="120"/>
      <w:ind w:left="420" w:leftChars="200"/>
    </w:pPr>
  </w:style>
  <w:style w:type="paragraph" w:styleId="7">
    <w:name w:val="Plain Text"/>
    <w:basedOn w:val="1"/>
    <w:qFormat/>
    <w:uiPriority w:val="0"/>
    <w:rPr>
      <w:rFonts w:ascii="宋体" w:hAnsi="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6"/>
    <w:qFormat/>
    <w:uiPriority w:val="0"/>
    <w:pPr>
      <w:ind w:left="0" w:firstLine="420" w:firstLineChars="200"/>
    </w:pPr>
    <w:rPr>
      <w:rFonts w:eastAsia="仿宋_GB2312"/>
      <w:sz w:val="28"/>
      <w:szCs w:val="22"/>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HTML Sample"/>
    <w:basedOn w:val="12"/>
    <w:qFormat/>
    <w:uiPriority w:val="0"/>
    <w:rPr>
      <w:rFonts w:ascii="Courier New" w:hAnsi="Courier New"/>
    </w:rPr>
  </w:style>
  <w:style w:type="character" w:customStyle="1" w:styleId="17">
    <w:name w:val="标题 2 Char"/>
    <w:link w:val="4"/>
    <w:qFormat/>
    <w:uiPriority w:val="0"/>
    <w:rPr>
      <w:rFonts w:ascii="Arial" w:hAnsi="Arial"/>
      <w:b/>
      <w:bCs/>
      <w:kern w:val="0"/>
      <w:sz w:val="30"/>
      <w:szCs w:val="32"/>
    </w:rPr>
  </w:style>
  <w:style w:type="paragraph" w:customStyle="1" w:styleId="18">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3667</Words>
  <Characters>3854</Characters>
  <Lines>0</Lines>
  <Paragraphs>0</Paragraphs>
  <TotalTime>23</TotalTime>
  <ScaleCrop>false</ScaleCrop>
  <LinksUpToDate>false</LinksUpToDate>
  <CharactersWithSpaces>3996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2022-08-06T15:48:00Z</dcterms:created>
  <dc:creator>蓬蓬莲子</dc:creator>
  <cp:lastModifiedBy>Administrator</cp:lastModifiedBy>
  <cp:lastPrinted>2023-01-10T05:45:00Z</cp:lastPrinted>
  <dcterms:modified xsi:type="dcterms:W3CDTF">2025-01-13T08:32:40Z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72FE347FE09F4AE7B65587ECD826EB36</vt:lpwstr>
  </property>
</Properties>
</file>