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1081" w:firstLineChars="300"/>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和田地区维吾尔医医院采购便携式多导睡眠呼吸监测仪项目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b/>
          <w:bCs/>
          <w:color w:val="auto"/>
          <w:sz w:val="40"/>
          <w:szCs w:val="40"/>
          <w:lang w:val="en-US" w:eastAsia="zh-CN"/>
        </w:rPr>
      </w:pPr>
      <w:r>
        <w:rPr>
          <w:rFonts w:hint="eastAsia" w:ascii="微软雅黑" w:hAnsi="微软雅黑" w:eastAsia="微软雅黑" w:cs="微软雅黑"/>
          <w:b/>
          <w:bCs/>
          <w:color w:val="auto"/>
          <w:sz w:val="40"/>
          <w:szCs w:val="40"/>
          <w:lang w:val="en-US" w:eastAsia="zh-CN"/>
        </w:rPr>
        <w:t>竞价文件</w:t>
      </w: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rPr>
      </w:pPr>
      <w:r>
        <w:rPr>
          <w:rFonts w:hint="eastAsia" w:hAnsi="宋体" w:cs="Arial"/>
          <w:b/>
          <w:color w:val="auto"/>
          <w:sz w:val="36"/>
        </w:rPr>
        <w:t>项目名称：</w:t>
      </w:r>
      <w:r>
        <w:rPr>
          <w:rFonts w:hint="eastAsia" w:hAnsi="宋体" w:cs="Arial"/>
          <w:b/>
          <w:color w:val="auto"/>
          <w:sz w:val="32"/>
          <w:szCs w:val="32"/>
          <w:u w:val="single"/>
        </w:rPr>
        <w:t>和田地区维吾尔医医院采购</w:t>
      </w:r>
      <w:r>
        <w:rPr>
          <w:rFonts w:hint="eastAsia" w:hAnsi="宋体" w:cs="Arial"/>
          <w:b/>
          <w:color w:val="auto"/>
          <w:sz w:val="32"/>
          <w:szCs w:val="32"/>
          <w:u w:val="single"/>
          <w:lang w:val="en-US" w:eastAsia="zh-CN"/>
        </w:rPr>
        <w:t>便携式多导睡眠呼吸监测仪</w:t>
      </w:r>
      <w:r>
        <w:rPr>
          <w:rFonts w:hint="eastAsia" w:hAnsi="宋体" w:cs="Arial"/>
          <w:b/>
          <w:color w:val="auto"/>
          <w:sz w:val="32"/>
          <w:szCs w:val="32"/>
          <w:u w:val="single"/>
        </w:rPr>
        <w:t>项目</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9"/>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797" w:bottom="1440" w:left="1797" w:header="851" w:footer="992" w:gutter="0"/>
          <w:pgNumType w:fmt="decimal"/>
          <w:cols w:space="0" w:num="1"/>
          <w:titlePg/>
          <w:rtlGutter w:val="0"/>
          <w:docGrid w:type="lines" w:linePitch="317" w:charSpace="0"/>
        </w:sectPr>
      </w:pPr>
    </w:p>
    <w:p>
      <w:pPr>
        <w:jc w:val="both"/>
        <w:rPr>
          <w:rFonts w:hint="eastAsia" w:ascii="黑体" w:hAnsi="黑体" w:eastAsia="黑体" w:cs="黑体"/>
          <w:color w:val="auto"/>
          <w:sz w:val="36"/>
          <w:szCs w:val="36"/>
          <w:u w:val="none"/>
          <w:lang w:val="en-US" w:eastAsia="zh-CN"/>
        </w:rPr>
        <w:sectPr>
          <w:footerReference r:id="rId7" w:type="first"/>
          <w:footerReference r:id="rId6" w:type="default"/>
          <w:pgSz w:w="11906" w:h="16838"/>
          <w:pgMar w:top="1440" w:right="1797" w:bottom="1440" w:left="1797" w:header="851" w:footer="992" w:gutter="0"/>
          <w:pgNumType w:fmt="decimal" w:start="1"/>
          <w:cols w:space="0" w:num="1"/>
          <w:rtlGutter w:val="0"/>
          <w:docGrid w:type="lines" w:linePitch="317" w:charSpace="0"/>
        </w:sect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和田地区维吾尔医医院采购便携式多导睡眠呼吸监测仪项目竞价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和田地区维吾尔医医院采购便携式多导睡眠呼吸监测仪项目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采购一台便携式多导睡眠呼吸监测仪</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124680.00元（预计采购预算金额）</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（5）提供本单位缴纳的近三个月社保缴纳证明（单位社保缴费凭证，2024年5月份后成立的公司按实际发生提供）；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6"/>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pStyle w:val="6"/>
        <w:numPr>
          <w:ilvl w:val="0"/>
          <w:numId w:val="0"/>
        </w:numPr>
        <w:tabs>
          <w:tab w:val="left" w:pos="540"/>
        </w:tabs>
        <w:snapToGrid w:val="0"/>
        <w:spacing w:line="360" w:lineRule="auto"/>
        <w:ind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和田地区维吾尔医医院采购便携式多导睡眠呼吸监测仪项目</w:t>
      </w:r>
    </w:p>
    <w:p>
      <w:pPr>
        <w:pStyle w:val="10"/>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pStyle w:val="6"/>
        <w:numPr>
          <w:ilvl w:val="0"/>
          <w:numId w:val="0"/>
        </w:numPr>
        <w:tabs>
          <w:tab w:val="left" w:pos="540"/>
        </w:tabs>
        <w:snapToGrid w:val="0"/>
        <w:spacing w:line="360" w:lineRule="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采购</w:t>
      </w:r>
      <w:r>
        <w:rPr>
          <w:rFonts w:hint="eastAsia" w:ascii="仿宋" w:hAnsi="仿宋" w:eastAsia="仿宋" w:cs="仿宋"/>
          <w:b/>
          <w:color w:val="000000" w:themeColor="text1"/>
          <w:sz w:val="32"/>
          <w:szCs w:val="32"/>
          <w:highlight w:val="none"/>
          <w:lang w:val="en-US" w:eastAsia="zh-CN"/>
          <w14:textFill>
            <w14:solidFill>
              <w14:schemeClr w14:val="tx1"/>
            </w14:solidFill>
          </w14:textFill>
        </w:rPr>
        <w:t>便携式多导睡眠呼吸监测仪</w:t>
      </w:r>
      <w:r>
        <w:rPr>
          <w:rFonts w:hint="eastAsia" w:ascii="仿宋" w:hAnsi="仿宋" w:eastAsia="仿宋" w:cs="仿宋"/>
          <w:b/>
          <w:color w:val="000000" w:themeColor="text1"/>
          <w:sz w:val="32"/>
          <w:szCs w:val="32"/>
          <w:highlight w:val="none"/>
          <w14:textFill>
            <w14:solidFill>
              <w14:schemeClr w14:val="tx1"/>
            </w14:solidFill>
          </w14:textFill>
        </w:rPr>
        <w:t>项目</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参数</w:t>
      </w:r>
      <w:r>
        <w:rPr>
          <w:rFonts w:hint="eastAsia" w:ascii="仿宋" w:hAnsi="仿宋" w:eastAsia="仿宋" w:cs="仿宋"/>
          <w:b/>
          <w:color w:val="000000" w:themeColor="text1"/>
          <w:sz w:val="32"/>
          <w:szCs w:val="32"/>
          <w:highlight w:val="none"/>
          <w14:textFill>
            <w14:solidFill>
              <w14:schemeClr w14:val="tx1"/>
            </w14:solidFill>
          </w14:textFill>
        </w:rPr>
        <w:t>一览表</w:t>
      </w:r>
    </w:p>
    <w:tbl>
      <w:tblPr>
        <w:tblStyle w:val="13"/>
        <w:tblpPr w:leftFromText="180" w:rightFromText="180" w:vertAnchor="text" w:horzAnchor="page" w:tblpX="1803" w:tblpY="61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设备已获得《中华人民共和国医疗器械注册证》，且适用于儿童及成人。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的医疗器械注册证适用范围中须注明所能监测的生理指标，需包含脑电、眼动电、肌电、心电、呼吸气流、胸腹呼吸、体位、脉率、腿动、鼾声、脉搏血氧饱和度、环境光等重要参数。从而符合国家医疗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设备原始采集</w:t>
            </w:r>
            <w:r>
              <w:rPr>
                <w:rFonts w:hint="eastAsia" w:ascii="宋体" w:hAnsi="宋体" w:eastAsia="宋体" w:cs="宋体"/>
                <w:color w:val="000000" w:themeColor="text1"/>
                <w:szCs w:val="21"/>
                <w:lang w:val="en-GB"/>
                <w14:textFill>
                  <w14:solidFill>
                    <w14:schemeClr w14:val="tx1"/>
                  </w14:solidFill>
                </w14:textFill>
              </w:rPr>
              <w:t>而非软件分析指标的通道数≧</w:t>
            </w:r>
            <w:r>
              <w:rPr>
                <w:rFonts w:ascii="宋体" w:hAnsi="宋体" w:eastAsia="宋体" w:cs="宋体"/>
                <w:color w:val="000000" w:themeColor="text1"/>
                <w:szCs w:val="21"/>
                <w:lang w:val="en-GB"/>
                <w14:textFill>
                  <w14:solidFill>
                    <w14:schemeClr w14:val="tx1"/>
                  </w14:solidFill>
                </w14:textFill>
              </w:rPr>
              <w:t>27</w:t>
            </w:r>
            <w:r>
              <w:rPr>
                <w:rFonts w:hint="eastAsia" w:ascii="宋体" w:hAnsi="宋体" w:eastAsia="宋体" w:cs="宋体"/>
                <w:color w:val="000000" w:themeColor="text1"/>
                <w:szCs w:val="21"/>
                <w:lang w:val="en-GB"/>
                <w14:textFill>
                  <w14:solidFill>
                    <w14:schemeClr w14:val="tx1"/>
                  </w14:solidFill>
                </w14:textFill>
              </w:rPr>
              <w:t>导，包括呼吸睡眠监测仪和脑电放大器组成，在《中华人民共和国医疗器械注册证》</w:t>
            </w:r>
            <w:bookmarkStart w:id="19" w:name="_GoBack"/>
            <w:bookmarkEnd w:id="19"/>
            <w:r>
              <w:rPr>
                <w:rFonts w:hint="eastAsia" w:ascii="宋体" w:hAnsi="宋体" w:eastAsia="宋体" w:cs="宋体"/>
                <w:color w:val="000000" w:themeColor="text1"/>
                <w:szCs w:val="21"/>
                <w:lang w:val="en-GB"/>
                <w14:textFill>
                  <w14:solidFill>
                    <w14:schemeClr w14:val="tx1"/>
                  </w14:solidFill>
                </w14:textFill>
              </w:rPr>
              <w:t>共同认证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7883" w:type="dxa"/>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一次性热敏气流传感器设计，与多导睡眠呼吸监测仪配套使用，用于口鼻气流的监测，可实现热敏式和压力式气流波形同时采集。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5</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设备包含呼吸睡眠监测仪：小巧轻便，主要监测：呼吸气流（口鼻气流压力和口鼻气流热敏）、胸腹呼吸（独立胸导联、独立腹导联）、脉搏血氧饱和度、脉率、体位、体动、下肢活动（4导）、环境光等参数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6</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设备包含心脑电放大器，主要监测脑电（5导）、眼动电（2导）、下颌肌电（3导）、心电（2导）、鼾声等参数，由脑电线和心电线实时监测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7</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EEG\EOG\EMG共模抑制比＞ 1</w:t>
            </w:r>
            <w:r>
              <w:rPr>
                <w:rFonts w:hint="eastAsia" w:ascii="宋体" w:hAnsi="宋体" w:eastAsia="宋体" w:cs="宋体"/>
                <w:color w:val="000000" w:themeColor="text1"/>
                <w:szCs w:val="21"/>
                <w14:textFill>
                  <w14:solidFill>
                    <w14:schemeClr w14:val="tx1"/>
                  </w14:solidFill>
                </w14:textFill>
              </w:rPr>
              <w:t>15</w:t>
            </w:r>
            <w:r>
              <w:rPr>
                <w:rFonts w:hint="eastAsia" w:ascii="宋体" w:hAnsi="宋体" w:eastAsia="宋体" w:cs="宋体"/>
                <w:color w:val="000000" w:themeColor="text1"/>
                <w:szCs w:val="21"/>
                <w:lang w:val="en-GB"/>
                <w14:textFill>
                  <w14:solidFill>
                    <w14:schemeClr w14:val="tx1"/>
                  </w14:solidFill>
                </w14:textFill>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8</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心电放大器</w:t>
            </w:r>
            <w:r>
              <w:rPr>
                <w:rFonts w:hint="eastAsia" w:ascii="宋体" w:hAnsi="宋体" w:eastAsia="宋体" w:cs="宋体"/>
                <w:color w:val="000000" w:themeColor="text1"/>
                <w:szCs w:val="21"/>
                <w:lang w:val="en-GB"/>
                <w14:textFill>
                  <w14:solidFill>
                    <w14:schemeClr w14:val="tx1"/>
                  </w14:solidFill>
                </w14:textFill>
              </w:rPr>
              <w:t>内部噪声折合到放大器输入端≤0.9μV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9</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输入阻抗:≥ 10 MΩ，设备具有24位高采样精度，采样频率必须等于存储频率，且可达500Hz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0</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eastAsia="zh-TW"/>
                <w14:textFill>
                  <w14:solidFill>
                    <w14:schemeClr w14:val="tx1"/>
                  </w14:solidFill>
                </w14:textFill>
              </w:rPr>
              <w:t>配有高性能电极和呼吸动度传感器。胸、腹传感器采用全相位呼吸运动. 感应器，能准确监测胸腹运动的细小变化。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1</w:t>
            </w:r>
          </w:p>
        </w:tc>
        <w:tc>
          <w:tcPr>
            <w:tcW w:w="7883" w:type="dxa"/>
          </w:tcPr>
          <w:p>
            <w:pPr>
              <w:spacing w:line="360" w:lineRule="auto"/>
              <w:rPr>
                <w:rFonts w:ascii="宋体" w:hAnsi="宋体" w:eastAsia="宋体" w:cs="宋体"/>
                <w:color w:val="000000" w:themeColor="text1"/>
                <w:szCs w:val="21"/>
                <w:lang w:val="en-GB" w:eastAsia="zh-TW"/>
                <w14:textFill>
                  <w14:solidFill>
                    <w14:schemeClr w14:val="tx1"/>
                  </w14:solidFill>
                </w14:textFill>
              </w:rPr>
            </w:pPr>
            <w:r>
              <w:rPr>
                <w:rFonts w:hint="eastAsia" w:ascii="宋体" w:hAnsi="宋体" w:eastAsia="宋体" w:cs="宋体"/>
                <w:color w:val="000000" w:themeColor="text1"/>
                <w:szCs w:val="21"/>
                <w:lang w:val="en-GB" w:eastAsia="zh-TW"/>
                <w14:textFill>
                  <w14:solidFill>
                    <w14:schemeClr w14:val="tx1"/>
                  </w14:solidFill>
                </w14:textFill>
              </w:rPr>
              <w:t>血氧饱和度：测量范围：35%~100%，70%-100%范围内绝对误差≤±2%。最大平均光输出功率：≤2mW。波长：红光：663nm±3nm，红外光：890nm±10nm，血氧探头由OB推拉自锁连接器通过有线方式连接主机，使数据传输更加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2</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设备内置蓝牙模块，发射频率2.4GHz，遵循蓝牙4.0传输协议，传输稳定，且抗干扰性强；简单易用；同时主机界面具有蓝牙信号检测灯，用于蓝牙连接状态的识别。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3</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硬件模块配有可检测设备所处环境的声音功能，从而录入患者夜间打鼾情况，并通过对原声信号过滤处理，输出鼾声波形及数据至分析软件进行数据分析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4</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设备采用大容量锂电池直流电源供电，实时监测模式下续航时间可达24小时</w:t>
            </w:r>
            <w:r>
              <w:rPr>
                <w:rStyle w:val="19"/>
                <w:rFonts w:hint="default" w:cs="宋体"/>
                <w:color w:val="000000" w:themeColor="text1"/>
                <w:sz w:val="21"/>
                <w:szCs w:val="21"/>
                <w14:textFill>
                  <w14:solidFill>
                    <w14:schemeClr w14:val="tx1"/>
                  </w14:solidFill>
                </w14:textFill>
              </w:rPr>
              <w:t>，</w:t>
            </w:r>
            <w:r>
              <w:rPr>
                <w:rFonts w:hint="eastAsia" w:ascii="宋体" w:hAnsi="宋体" w:eastAsia="宋体" w:cs="宋体"/>
                <w:color w:val="000000" w:themeColor="text1"/>
                <w:szCs w:val="21"/>
                <w:lang w:val="en-GB"/>
                <w14:textFill>
                  <w14:solidFill>
                    <w14:schemeClr w14:val="tx1"/>
                  </w14:solidFill>
                </w14:textFill>
              </w:rPr>
              <w:t>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设备主机具有信号灯显示功能，根据红绿信号灯闪烁来判定</w:t>
            </w:r>
            <w:r>
              <w:rPr>
                <w:rFonts w:ascii="宋体" w:hAnsi="宋体" w:eastAsia="宋体" w:cs="宋体"/>
                <w:color w:val="000000" w:themeColor="text1"/>
                <w:szCs w:val="21"/>
                <w:lang w:val="en-GB"/>
                <w14:textFill>
                  <w14:solidFill>
                    <w14:schemeClr w14:val="tx1"/>
                  </w14:solidFill>
                </w14:textFill>
              </w:rPr>
              <w:t>EXG、SpO2等连接情况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6</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设备具有环境光监测功能，可通过环境光自动识别出关灯和开灯时间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7</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设备内存卡可≧16GB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8</w:t>
            </w:r>
          </w:p>
        </w:tc>
        <w:tc>
          <w:tcPr>
            <w:tcW w:w="7883" w:type="dxa"/>
          </w:tcPr>
          <w:p>
            <w:pPr>
              <w:tabs>
                <w:tab w:val="left" w:pos="720"/>
              </w:tabs>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可对不同信号自定义设置高通滤波、低通滤波、工作频率，帮助临床滤除噪声干扰，获取更加准确的信号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19</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患者报告可导出为WORD、EXCEL、PDF格式，同时可自定义报告模板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0</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软件具有一键导出不同病例患者的各项监测生理指标至Excel中，便于临床医务人员进行科研及其他数据收集操作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1</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配套睡眠分析软件具有全中文操作界面，可判断睡眠分期（包含开始/熄灯时间、结束/开灯时间、总睡眠时间、睡眠潜伏期、REM睡眠潜伏期、睡眠分期等）、判断呼吸事件（包含呼吸暂停指数、低通气指数、呼吸暂停+低通气指数、呼吸努力相关微觉醒指数等）、判断心电事件（包含睡眠期平均心率、睡眠期间最高心率、睡眠期间最低心率）。（需提供国家出具的设备检验报告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2</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软件可自动翻页和滚动，速度30s/屏，时间可调；可以手动或自动分析睡眠分期、呼吸事件、缺氧事件以及肢体运动事件，并最终生成统计结果和报告；睡眠报告具有血氧趋势图、心率趋势图、呼吸事件趋势图、体动趋势图、体位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3</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设备使用期限≥7年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4</w:t>
            </w:r>
          </w:p>
        </w:tc>
        <w:tc>
          <w:tcPr>
            <w:tcW w:w="7883" w:type="dxa"/>
          </w:tcPr>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配置</w:t>
            </w:r>
            <w:r>
              <w:rPr>
                <w:rFonts w:hint="eastAsia" w:ascii="宋体" w:hAnsi="宋体" w:eastAsia="宋体" w:cs="宋体"/>
                <w:color w:val="000000" w:themeColor="text1"/>
                <w:szCs w:val="21"/>
                <w:lang w:val="en-US" w:eastAsia="zh-CN"/>
                <w14:textFill>
                  <w14:solidFill>
                    <w14:schemeClr w14:val="tx1"/>
                  </w14:solidFill>
                </w14:textFill>
              </w:rPr>
              <w:t>一台</w:t>
            </w:r>
            <w:r>
              <w:rPr>
                <w:rFonts w:hint="eastAsia" w:ascii="宋体" w:hAnsi="宋体" w:eastAsia="宋体" w:cs="宋体"/>
                <w:color w:val="000000" w:themeColor="text1"/>
                <w:szCs w:val="21"/>
                <w14:textFill>
                  <w14:solidFill>
                    <w14:schemeClr w14:val="tx1"/>
                  </w14:solidFill>
                </w14:textFill>
              </w:rPr>
              <w:t>电脑（包含显示器与主机）</w:t>
            </w:r>
          </w:p>
        </w:tc>
      </w:tr>
    </w:tbl>
    <w:p>
      <w:pPr>
        <w:rPr>
          <w:rFonts w:hint="eastAsia"/>
        </w:rPr>
      </w:pPr>
    </w:p>
    <w:p>
      <w:pPr>
        <w:spacing w:line="46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两</w:t>
      </w:r>
      <w:r>
        <w:rPr>
          <w:rFonts w:hint="eastAsia" w:ascii="仿宋" w:hAnsi="仿宋" w:eastAsia="仿宋" w:cs="仿宋"/>
          <w:color w:val="auto"/>
          <w:sz w:val="30"/>
          <w:szCs w:val="30"/>
          <w:highlight w:val="none"/>
        </w:rPr>
        <w:t>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合同签订后七个工作日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w:t>
      </w:r>
      <w:r>
        <w:rPr>
          <w:rFonts w:hint="eastAsia" w:ascii="仿宋" w:hAnsi="仿宋" w:eastAsia="仿宋" w:cs="仿宋"/>
          <w:color w:val="auto"/>
          <w:sz w:val="30"/>
          <w:szCs w:val="30"/>
          <w:highlight w:val="none"/>
          <w:lang w:val="en-US" w:eastAsia="zh-CN"/>
        </w:rPr>
        <w:t>主管</w:t>
      </w:r>
      <w:r>
        <w:rPr>
          <w:rFonts w:hint="eastAsia" w:ascii="仿宋" w:hAnsi="仿宋" w:eastAsia="仿宋" w:cs="仿宋"/>
          <w:color w:val="auto"/>
          <w:sz w:val="30"/>
          <w:szCs w:val="30"/>
          <w:highlight w:val="none"/>
        </w:rPr>
        <w:t>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、结算方式：本合同货款</w:t>
      </w:r>
      <w:r>
        <w:rPr>
          <w:rFonts w:hint="eastAsia" w:ascii="仿宋" w:hAnsi="仿宋" w:eastAsia="仿宋" w:cs="仿宋"/>
          <w:color w:val="auto"/>
          <w:sz w:val="30"/>
          <w:szCs w:val="30"/>
          <w:highlight w:val="none"/>
          <w:lang w:val="en-US" w:eastAsia="zh-CN"/>
        </w:rPr>
        <w:t>是</w:t>
      </w:r>
      <w:r>
        <w:rPr>
          <w:rFonts w:hint="eastAsia" w:ascii="仿宋" w:hAnsi="仿宋" w:eastAsia="仿宋" w:cs="仿宋"/>
          <w:color w:val="auto"/>
          <w:sz w:val="30"/>
          <w:szCs w:val="30"/>
          <w:highlight w:val="none"/>
        </w:rPr>
        <w:t>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天后向中标商支付货款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具体支付方式与供货合同为准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、质量标准:必须达到国家或地方各类标准。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提供货物</w:t>
      </w:r>
      <w:r>
        <w:rPr>
          <w:rFonts w:hint="eastAsia" w:ascii="仿宋" w:hAnsi="仿宋" w:eastAsia="仿宋" w:cs="仿宋"/>
          <w:color w:val="auto"/>
          <w:sz w:val="30"/>
          <w:szCs w:val="30"/>
          <w:highlight w:val="none"/>
        </w:rPr>
        <w:t>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、乙方必须提供营业执照、经营许可证、法人委托书、质量标准、产品质检报告书 (随货同行) 等经营的有效资质。</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要求中标企业在指定的时间和地点交付产地、质量、价格、包装、有效期等均符合条件的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合同参数</w:t>
      </w:r>
      <w:r>
        <w:rPr>
          <w:rFonts w:hint="eastAsia" w:ascii="仿宋" w:hAnsi="仿宋" w:eastAsia="仿宋" w:cs="仿宋"/>
          <w:color w:val="auto"/>
          <w:sz w:val="30"/>
          <w:szCs w:val="30"/>
          <w:highlight w:val="none"/>
        </w:rPr>
        <w:t>和实际送货不一致，不按时送货。</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2"/>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349"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728"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4"/>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5"/>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14"/>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349" w:type="dxa"/>
            <w:noWrap w:val="0"/>
            <w:vAlign w:val="center"/>
          </w:tcPr>
          <w:p>
            <w:pPr>
              <w:pStyle w:val="14"/>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必须提供货物第三方检测机构提供的“产品质检报告”</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4"/>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4"/>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4"/>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bl>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2"/>
        <w:tblW w:w="9913"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8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7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5"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投标文件完全满足招标文件的实质性条款（即标注</w:t>
            </w:r>
            <w:r>
              <w:rPr>
                <w:rFonts w:hint="eastAsia" w:ascii="宋体" w:hAnsi="宋体" w:eastAsia="宋体" w:cs="宋体"/>
                <w:sz w:val="24"/>
              </w:rPr>
              <w:t>★</w:t>
            </w:r>
            <w:r>
              <w:rPr>
                <w:rFonts w:hint="eastAsia" w:ascii="仿宋" w:hAnsi="仿宋" w:eastAsia="仿宋" w:cs="仿宋"/>
                <w:color w:val="auto"/>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bookmarkEnd w:id="1"/>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24"/>
          <w:szCs w:val="24"/>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2"/>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r>
        <w:rPr>
          <w:rFonts w:ascii="Times New Roman" w:hAnsi="Times New Roman" w:eastAsia="Times New Roman"/>
          <w:color w:val="auto"/>
          <w:kern w:val="0"/>
          <w:sz w:val="24"/>
          <w:szCs w:val="24"/>
          <w:highlight w:val="none"/>
          <w:lang w:eastAsia="en-US"/>
        </w:rPr>
        <w:br w:type="page"/>
      </w:r>
      <w:r>
        <w:rPr>
          <w:rFonts w:hint="eastAsia" w:ascii="仿宋" w:hAnsi="仿宋" w:eastAsia="仿宋" w:cs="仿宋"/>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i w:val="0"/>
          <w:iCs w:val="0"/>
          <w:color w:val="auto"/>
          <w:sz w:val="24"/>
          <w:szCs w:val="24"/>
          <w:highlight w:val="none"/>
        </w:rPr>
        <w:t>公司（联合体）郑重声明，根据《政府采购促进中小企业发展管理办法》（财库〔2020〕46号）的规定，本公司（联合体）参加</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5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电子签</w:t>
      </w:r>
      <w:r>
        <w:rPr>
          <w:rFonts w:hint="eastAsia" w:ascii="仿宋" w:hAnsi="仿宋" w:eastAsia="仿宋" w:cs="仿宋"/>
          <w:color w:val="auto"/>
          <w:sz w:val="24"/>
          <w:szCs w:val="24"/>
          <w:highlight w:val="none"/>
        </w:rPr>
        <w:t xml:space="preserve">章）： </w:t>
      </w:r>
    </w:p>
    <w:p>
      <w:pPr>
        <w:tabs>
          <w:tab w:val="left" w:pos="6300"/>
        </w:tabs>
        <w:snapToGrid w:val="0"/>
        <w:spacing w:line="500" w:lineRule="exact"/>
        <w:ind w:firstLine="6120" w:firstLineChars="2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2"/>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center"/>
        <w:outlineLvl w:val="0"/>
        <w:rPr>
          <w:rFonts w:hint="eastAsia" w:ascii="仿宋" w:hAnsi="仿宋" w:eastAsia="仿宋" w:cs="仿宋"/>
          <w:b/>
          <w:color w:val="auto"/>
          <w:sz w:val="30"/>
        </w:rPr>
      </w:pPr>
      <w:bookmarkStart w:id="2" w:name="_Toc13051"/>
      <w:bookmarkStart w:id="3" w:name="_Toc8289"/>
      <w:r>
        <w:rPr>
          <w:rFonts w:hint="eastAsia" w:ascii="仿宋" w:hAnsi="仿宋" w:eastAsia="仿宋" w:cs="仿宋"/>
          <w:b/>
          <w:color w:val="auto"/>
          <w:sz w:val="30"/>
          <w:szCs w:val="30"/>
        </w:rPr>
        <w:t xml:space="preserve"> </w:t>
      </w:r>
      <w:r>
        <w:rPr>
          <w:rFonts w:hint="eastAsia" w:ascii="仿宋" w:hAnsi="仿宋" w:eastAsia="仿宋" w:cs="仿宋"/>
          <w:b/>
          <w:bCs/>
          <w:color w:val="auto"/>
          <w:sz w:val="30"/>
          <w:szCs w:val="30"/>
        </w:rPr>
        <w:t>开标一览表</w:t>
      </w:r>
      <w:bookmarkEnd w:id="2"/>
      <w:bookmarkEnd w:id="3"/>
    </w:p>
    <w:p>
      <w:pPr>
        <w:pStyle w:val="15"/>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5"/>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16"/>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8128"/>
      <w:bookmarkStart w:id="5" w:name="_Toc31665"/>
      <w:bookmarkStart w:id="6" w:name="_Toc53317980"/>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16"/>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25452"/>
      <w:bookmarkStart w:id="8" w:name="_Toc53318129"/>
      <w:bookmarkStart w:id="9" w:name="_Toc53317981"/>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31571"/>
      <w:bookmarkStart w:id="11" w:name="_Toc53317982"/>
      <w:bookmarkStart w:id="12" w:name="_Toc53318130"/>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br w:type="page"/>
      </w: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2"/>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pStyle w:val="16"/>
        <w:keepNext w:val="0"/>
        <w:keepLines w:val="0"/>
        <w:adjustRightInd/>
        <w:spacing w:before="0" w:line="440" w:lineRule="exact"/>
        <w:textAlignment w:val="auto"/>
        <w:outlineLvl w:val="9"/>
        <w:rPr>
          <w:rFonts w:hint="eastAsia" w:ascii="仿宋" w:hAnsi="仿宋" w:eastAsia="仿宋" w:cs="仿宋"/>
          <w:color w:val="auto"/>
        </w:rPr>
        <w:sectPr>
          <w:footerReference r:id="rId8" w:type="default"/>
          <w:pgSz w:w="11906" w:h="16838"/>
          <w:pgMar w:top="1440" w:right="1797" w:bottom="1440" w:left="1797" w:header="851" w:footer="992" w:gutter="0"/>
          <w:pgNumType w:fmt="decimal" w:start="1"/>
          <w:cols w:space="0" w:num="1"/>
          <w:rtlGutter w:val="0"/>
          <w:docGrid w:type="lines" w:linePitch="317" w:charSpace="0"/>
        </w:sectPr>
      </w:pPr>
      <w:bookmarkStart w:id="13" w:name="_Toc18504"/>
      <w:bookmarkStart w:id="14" w:name="_Toc25277"/>
      <w:r>
        <w:rPr>
          <w:rFonts w:hint="eastAsia" w:ascii="仿宋" w:hAnsi="仿宋" w:eastAsia="仿宋" w:cs="仿宋"/>
          <w:color w:val="auto"/>
          <w:lang w:val="en-US" w:eastAsia="zh-CN"/>
        </w:rPr>
        <w:t xml:space="preserve">                                   </w:t>
      </w:r>
      <w:r>
        <w:rPr>
          <w:rFonts w:hint="eastAsia" w:ascii="仿宋" w:hAnsi="仿宋" w:eastAsia="仿宋" w:cs="仿宋"/>
          <w:color w:val="auto"/>
          <w:kern w:val="2"/>
          <w:sz w:val="30"/>
          <w:szCs w:val="30"/>
        </w:rPr>
        <w:t xml:space="preserve"> </w:t>
      </w:r>
      <w:bookmarkEnd w:id="13"/>
      <w:bookmarkEnd w:id="14"/>
    </w:p>
    <w:p>
      <w:pPr>
        <w:spacing w:line="440" w:lineRule="exact"/>
        <w:jc w:val="center"/>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15" w:name="_Toc21614"/>
      <w:bookmarkStart w:id="16" w:name="_Toc11907"/>
      <w:r>
        <w:rPr>
          <w:rFonts w:hint="eastAsia" w:ascii="仿宋" w:hAnsi="仿宋" w:eastAsia="仿宋" w:cs="仿宋"/>
          <w:b/>
          <w:color w:val="auto"/>
          <w:sz w:val="30"/>
          <w:szCs w:val="30"/>
        </w:rPr>
        <w:t xml:space="preserve"> </w:t>
      </w:r>
      <w:bookmarkEnd w:id="15"/>
      <w:bookmarkEnd w:id="16"/>
      <w:bookmarkStart w:id="17" w:name="_Toc700"/>
      <w:bookmarkStart w:id="18"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7"/>
      <w:bookmarkEnd w:id="18"/>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40" w:lineRule="exact"/>
        <w:rPr>
          <w:rFonts w:hint="eastAsia" w:ascii="仿宋" w:hAnsi="仿宋" w:eastAsia="仿宋" w:cs="仿宋"/>
          <w:b/>
          <w:color w:val="auto"/>
          <w:sz w:val="32"/>
          <w:szCs w:val="32"/>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rPr>
          <w:rFonts w:hint="eastAsia" w:ascii="仿宋" w:hAnsi="仿宋" w:eastAsia="仿宋" w:cs="仿宋"/>
          <w:color w:val="auto"/>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售后服务承诺书</w:t>
      </w: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未串标承诺书</w:t>
      </w: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pPr>
        <w:pStyle w:val="18"/>
        <w:jc w:val="center"/>
        <w:rPr>
          <w:rFonts w:hint="eastAsia" w:ascii="方正小标宋简体" w:hAnsi="方正小标宋简体" w:eastAsia="方正小标宋简体" w:cs="方正小标宋简体"/>
          <w:b/>
          <w:bCs/>
          <w:color w:val="auto"/>
          <w:sz w:val="44"/>
          <w:szCs w:val="44"/>
          <w:lang w:val="en-US" w:eastAsia="zh-CN"/>
        </w:rPr>
      </w:pPr>
    </w:p>
    <w:p/>
    <w:sectPr>
      <w:footerReference r:id="rId9" w:type="default"/>
      <w:pgSz w:w="11906" w:h="16838"/>
      <w:pgMar w:top="1440" w:right="1797" w:bottom="1440" w:left="1797" w:header="851" w:footer="992" w:gutter="0"/>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p>
  <w:p>
    <w:pPr>
      <w:pStyle w:val="7"/>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p>
  <w:p>
    <w:pPr>
      <w:pStyle w:val="7"/>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rPr>
        <w:rFonts w:ascii="宋体" w:hAnsi="宋体"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E0AA4"/>
    <w:rsid w:val="0884133A"/>
    <w:rsid w:val="1C044D14"/>
    <w:rsid w:val="39137625"/>
    <w:rsid w:val="4986328F"/>
    <w:rsid w:val="5D9C3B62"/>
    <w:rsid w:val="69A437EE"/>
    <w:rsid w:val="7CF8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Plain Text"/>
    <w:basedOn w:val="1"/>
    <w:next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360" w:lineRule="auto"/>
    </w:pPr>
    <w:rPr>
      <w:b/>
      <w:sz w:val="28"/>
      <w:szCs w:val="21"/>
    </w:rPr>
  </w:style>
  <w:style w:type="paragraph" w:styleId="10">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paragraph" w:customStyle="1" w:styleId="1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_Style 1"/>
    <w:basedOn w:val="1"/>
    <w:qFormat/>
    <w:uiPriority w:val="0"/>
    <w:rPr>
      <w:rFonts w:ascii="Times New Roman" w:hAnsi="Times New Roman" w:cs="Calibri"/>
      <w:szCs w:val="21"/>
    </w:rPr>
  </w:style>
  <w:style w:type="character" w:customStyle="1" w:styleId="19">
    <w:name w:val="fontstyle01"/>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2024-08-30T07:55:00Z</dcterms:created>
  <dc:creator>ASUS</dc:creator>
  <cp:lastModifiedBy>Administrator</cp:lastModifiedBy>
  <cp:lastPrinted>2024-09-09T07:55:00Z</cp:lastPrinted>
  <dcterms:modified xsi:type="dcterms:W3CDTF">2024-09-10T12:16:19Z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