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38D8">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一、</w:t>
      </w:r>
      <w:r>
        <w:rPr>
          <w:rFonts w:hint="eastAsia" w:ascii="宋体" w:hAnsi="宋体" w:eastAsia="宋体" w:cs="宋体"/>
          <w:b w:val="0"/>
          <w:bCs w:val="0"/>
          <w:color w:val="auto"/>
          <w:kern w:val="0"/>
          <w:sz w:val="24"/>
          <w:szCs w:val="24"/>
          <w:lang w:val="en-US" w:eastAsia="zh-CN" w:bidi="ar"/>
        </w:rPr>
        <w:t>采购项目概况</w:t>
      </w:r>
    </w:p>
    <w:p w14:paraId="40318410">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和田地区人民</w:t>
      </w:r>
      <w:r>
        <w:rPr>
          <w:rFonts w:hint="eastAsia" w:ascii="宋体" w:hAnsi="宋体" w:eastAsia="宋体" w:cs="宋体"/>
          <w:b w:val="0"/>
          <w:bCs w:val="0"/>
          <w:color w:val="auto"/>
          <w:kern w:val="0"/>
          <w:sz w:val="24"/>
          <w:szCs w:val="24"/>
          <w:lang w:val="en-US" w:eastAsia="zh-CN" w:bidi="ar"/>
        </w:rPr>
        <w:t>医院拟采购消防</w:t>
      </w:r>
      <w:r>
        <w:rPr>
          <w:rFonts w:hint="eastAsia" w:ascii="宋体" w:hAnsi="宋体" w:cs="宋体"/>
          <w:b w:val="0"/>
          <w:bCs w:val="0"/>
          <w:color w:val="auto"/>
          <w:kern w:val="0"/>
          <w:sz w:val="24"/>
          <w:szCs w:val="24"/>
          <w:lang w:val="en-US" w:eastAsia="zh-CN" w:bidi="ar"/>
        </w:rPr>
        <w:t>检测</w:t>
      </w:r>
      <w:r>
        <w:rPr>
          <w:rFonts w:hint="eastAsia" w:ascii="宋体" w:hAnsi="宋体" w:eastAsia="宋体" w:cs="宋体"/>
          <w:b w:val="0"/>
          <w:bCs w:val="0"/>
          <w:color w:val="auto"/>
          <w:kern w:val="0"/>
          <w:sz w:val="24"/>
          <w:szCs w:val="24"/>
          <w:lang w:val="en-US" w:eastAsia="zh-CN" w:bidi="ar"/>
        </w:rPr>
        <w:t>服务项目, 消防</w:t>
      </w:r>
      <w:r>
        <w:rPr>
          <w:rFonts w:hint="eastAsia" w:ascii="宋体" w:hAnsi="宋体" w:cs="宋体"/>
          <w:b w:val="0"/>
          <w:bCs w:val="0"/>
          <w:color w:val="auto"/>
          <w:kern w:val="0"/>
          <w:sz w:val="24"/>
          <w:szCs w:val="24"/>
          <w:lang w:val="en-US" w:eastAsia="zh-CN" w:bidi="ar"/>
        </w:rPr>
        <w:t>检测</w:t>
      </w:r>
      <w:r>
        <w:rPr>
          <w:rFonts w:hint="eastAsia" w:ascii="宋体" w:hAnsi="宋体" w:eastAsia="宋体" w:cs="宋体"/>
          <w:b w:val="0"/>
          <w:bCs w:val="0"/>
          <w:color w:val="auto"/>
          <w:kern w:val="0"/>
          <w:sz w:val="24"/>
          <w:szCs w:val="24"/>
          <w:lang w:val="en-US" w:eastAsia="zh-CN" w:bidi="ar"/>
        </w:rPr>
        <w:t>项目为一院多区形式，各院区配置有</w:t>
      </w:r>
      <w:r>
        <w:rPr>
          <w:rFonts w:hint="eastAsia" w:ascii="宋体" w:hAnsi="宋体" w:cs="宋体"/>
          <w:b w:val="0"/>
          <w:bCs w:val="0"/>
          <w:color w:val="auto"/>
          <w:kern w:val="0"/>
          <w:sz w:val="24"/>
          <w:szCs w:val="24"/>
          <w:lang w:val="en-US" w:eastAsia="zh-CN" w:bidi="ar"/>
        </w:rPr>
        <w:t>各类消防设施及</w:t>
      </w:r>
      <w:r>
        <w:rPr>
          <w:rFonts w:hint="eastAsia" w:ascii="宋体" w:hAnsi="宋体" w:eastAsia="宋体" w:cs="宋体"/>
          <w:b w:val="0"/>
          <w:bCs w:val="0"/>
          <w:color w:val="auto"/>
          <w:kern w:val="0"/>
          <w:sz w:val="24"/>
          <w:szCs w:val="24"/>
          <w:lang w:val="en-US" w:eastAsia="zh-CN" w:bidi="ar"/>
        </w:rPr>
        <w:t>器材，现需对</w:t>
      </w:r>
      <w:r>
        <w:rPr>
          <w:rFonts w:hint="eastAsia" w:ascii="宋体" w:hAnsi="宋体" w:cs="宋体"/>
          <w:b w:val="0"/>
          <w:bCs w:val="0"/>
          <w:color w:val="auto"/>
          <w:kern w:val="0"/>
          <w:sz w:val="24"/>
          <w:szCs w:val="24"/>
          <w:lang w:val="en-US" w:eastAsia="zh-CN" w:bidi="ar"/>
        </w:rPr>
        <w:t>总</w:t>
      </w:r>
      <w:r>
        <w:rPr>
          <w:rFonts w:hint="eastAsia" w:ascii="宋体" w:hAnsi="宋体" w:eastAsia="宋体" w:cs="宋体"/>
          <w:b w:val="0"/>
          <w:bCs w:val="0"/>
          <w:color w:val="auto"/>
          <w:kern w:val="0"/>
          <w:sz w:val="24"/>
          <w:szCs w:val="24"/>
          <w:lang w:val="en-US" w:eastAsia="zh-CN" w:bidi="ar"/>
        </w:rPr>
        <w:t>院区</w:t>
      </w:r>
      <w:r>
        <w:rPr>
          <w:rFonts w:hint="eastAsia" w:ascii="宋体" w:hAnsi="宋体" w:cs="宋体"/>
          <w:b w:val="0"/>
          <w:bCs w:val="0"/>
          <w:color w:val="auto"/>
          <w:kern w:val="0"/>
          <w:sz w:val="24"/>
          <w:szCs w:val="24"/>
          <w:lang w:val="en-US" w:eastAsia="zh-CN" w:bidi="ar"/>
        </w:rPr>
        <w:t>、西院区</w:t>
      </w:r>
      <w:r>
        <w:rPr>
          <w:rFonts w:hint="eastAsia" w:ascii="宋体" w:hAnsi="宋体" w:eastAsia="宋体" w:cs="宋体"/>
          <w:b w:val="0"/>
          <w:bCs w:val="0"/>
          <w:color w:val="auto"/>
          <w:kern w:val="0"/>
          <w:sz w:val="24"/>
          <w:szCs w:val="24"/>
          <w:lang w:val="en-US" w:eastAsia="zh-CN" w:bidi="ar"/>
        </w:rPr>
        <w:t>的消防</w:t>
      </w:r>
      <w:r>
        <w:rPr>
          <w:rFonts w:hint="eastAsia" w:ascii="宋体" w:hAnsi="宋体" w:cs="宋体"/>
          <w:b w:val="0"/>
          <w:bCs w:val="0"/>
          <w:color w:val="auto"/>
          <w:kern w:val="0"/>
          <w:sz w:val="24"/>
          <w:szCs w:val="24"/>
          <w:lang w:val="en-US" w:eastAsia="zh-CN" w:bidi="ar"/>
        </w:rPr>
        <w:t>检测</w:t>
      </w:r>
      <w:r>
        <w:rPr>
          <w:rFonts w:hint="eastAsia" w:ascii="宋体" w:hAnsi="宋体" w:eastAsia="宋体" w:cs="宋体"/>
          <w:b w:val="0"/>
          <w:bCs w:val="0"/>
          <w:color w:val="auto"/>
          <w:kern w:val="0"/>
          <w:sz w:val="24"/>
          <w:szCs w:val="24"/>
          <w:lang w:val="en-US" w:eastAsia="zh-CN" w:bidi="ar"/>
        </w:rPr>
        <w:t>项目进行合并采购</w:t>
      </w:r>
      <w:r>
        <w:rPr>
          <w:rFonts w:hint="eastAsia" w:ascii="宋体" w:hAnsi="宋体" w:cs="宋体"/>
          <w:b w:val="0"/>
          <w:bCs w:val="0"/>
          <w:color w:val="auto"/>
          <w:kern w:val="0"/>
          <w:sz w:val="24"/>
          <w:szCs w:val="24"/>
          <w:lang w:val="en-US" w:eastAsia="zh-CN" w:bidi="ar"/>
        </w:rPr>
        <w:t>，总</w:t>
      </w:r>
      <w:r>
        <w:rPr>
          <w:rFonts w:hint="eastAsia" w:ascii="宋体" w:hAnsi="宋体" w:eastAsia="宋体" w:cs="宋体"/>
          <w:b w:val="0"/>
          <w:bCs w:val="0"/>
          <w:color w:val="auto"/>
          <w:kern w:val="0"/>
          <w:sz w:val="24"/>
          <w:szCs w:val="24"/>
          <w:lang w:val="en-US" w:eastAsia="zh-CN" w:bidi="ar"/>
        </w:rPr>
        <w:t>院区</w:t>
      </w:r>
      <w:r>
        <w:rPr>
          <w:rFonts w:hint="eastAsia" w:ascii="宋体" w:hAnsi="宋体" w:cs="宋体"/>
          <w:b w:val="0"/>
          <w:bCs w:val="0"/>
          <w:color w:val="auto"/>
          <w:kern w:val="0"/>
          <w:sz w:val="24"/>
          <w:szCs w:val="24"/>
          <w:lang w:val="en-US" w:eastAsia="zh-CN" w:bidi="ar"/>
        </w:rPr>
        <w:t>及西院区检测面积约241000</w:t>
      </w:r>
      <w:r>
        <w:rPr>
          <w:rFonts w:hint="eastAsia" w:ascii="宋体" w:hAnsi="宋体" w:eastAsia="宋体" w:cs="宋体"/>
          <w:b w:val="0"/>
          <w:bCs w:val="0"/>
          <w:color w:val="auto"/>
          <w:kern w:val="0"/>
          <w:sz w:val="24"/>
          <w:szCs w:val="24"/>
          <w:lang w:val="en-US" w:eastAsia="zh-CN" w:bidi="ar"/>
        </w:rPr>
        <w:t>平方米</w:t>
      </w:r>
      <w:r>
        <w:rPr>
          <w:rFonts w:hint="eastAsia" w:ascii="宋体" w:hAnsi="宋体" w:cs="宋体"/>
          <w:b w:val="0"/>
          <w:bCs w:val="0"/>
          <w:color w:val="auto"/>
          <w:kern w:val="0"/>
          <w:sz w:val="24"/>
          <w:szCs w:val="24"/>
          <w:lang w:val="en-US" w:eastAsia="zh-CN" w:bidi="ar"/>
        </w:rPr>
        <w:t>（除总院家属区高层</w:t>
      </w:r>
      <w:r>
        <w:rPr>
          <w:rFonts w:hint="eastAsia" w:ascii="宋体" w:hAnsi="宋体" w:eastAsia="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val="en-US" w:eastAsia="zh-CN" w:bidi="ar"/>
        </w:rPr>
        <w:t>。</w:t>
      </w:r>
    </w:p>
    <w:p w14:paraId="562C340B">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二、</w:t>
      </w:r>
      <w:r>
        <w:rPr>
          <w:rFonts w:hint="eastAsia" w:ascii="宋体" w:hAnsi="宋体" w:eastAsia="宋体" w:cs="宋体"/>
          <w:b w:val="0"/>
          <w:bCs w:val="0"/>
          <w:color w:val="auto"/>
          <w:kern w:val="0"/>
          <w:sz w:val="24"/>
          <w:szCs w:val="24"/>
          <w:lang w:val="en-US" w:eastAsia="zh-CN" w:bidi="ar"/>
        </w:rPr>
        <w:t>资格要求</w:t>
      </w:r>
    </w:p>
    <w:p w14:paraId="2064A4AA">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1.满足《中华人民共和国政府采购法》第二十二条规定：</w:t>
      </w:r>
    </w:p>
    <w:p w14:paraId="5D8E208D">
      <w:pPr>
        <w:numPr>
          <w:ilvl w:val="0"/>
          <w:numId w:val="1"/>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具有有效的营业执照；</w:t>
      </w:r>
    </w:p>
    <w:p w14:paraId="4C7BF27C">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lang w:val="en-US" w:eastAsia="zh-CN" w:bidi="ar"/>
        </w:rPr>
        <w:t>提供2022年度或2023年度由第三方财务审计机构出具的财务审计报告或提供银行</w:t>
      </w:r>
      <w:r>
        <w:rPr>
          <w:rFonts w:hint="eastAsia" w:ascii="宋体" w:hAnsi="宋体" w:eastAsia="宋体" w:cs="宋体"/>
          <w:color w:val="auto"/>
          <w:kern w:val="0"/>
          <w:sz w:val="24"/>
          <w:szCs w:val="24"/>
          <w:lang w:val="en-US" w:eastAsia="zh-CN" w:bidi="ar"/>
        </w:rPr>
        <w:t>出具的近一个月的资信证明；</w:t>
      </w:r>
    </w:p>
    <w:p w14:paraId="37714185">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提供税务机关出具近三个月的完税证明（新成立不足3个月的公司按实际发生提供，零申报的需提供依法报税资料），注：以完税证明税款所属日期为准，代缴税的完税证明不作为税务缴费凭证（如社保缴税等）</w:t>
      </w:r>
      <w:r>
        <w:rPr>
          <w:rFonts w:hint="eastAsia" w:ascii="宋体" w:hAnsi="宋体" w:cs="宋体"/>
          <w:color w:val="auto"/>
          <w:kern w:val="0"/>
          <w:sz w:val="24"/>
          <w:szCs w:val="24"/>
          <w:lang w:val="en-US" w:eastAsia="zh-CN" w:bidi="ar"/>
        </w:rPr>
        <w:t>；</w:t>
      </w:r>
    </w:p>
    <w:p w14:paraId="4D00C9D0">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提供本单位缴纳的近三个月社保缴纳证明（单位社保缴费凭证，202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月份后成立的公司按实际发生提供）；</w:t>
      </w:r>
    </w:p>
    <w:p w14:paraId="71841BB3">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提供履行合同所必需的设备和专业技术能力的书面声明；</w:t>
      </w:r>
    </w:p>
    <w:p w14:paraId="5DB84970">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auto"/>
          <w:kern w:val="0"/>
          <w:sz w:val="24"/>
          <w:szCs w:val="24"/>
          <w:highlight w:val="none"/>
          <w:lang w:val="en-US" w:eastAsia="zh-CN" w:bidi="ar"/>
        </w:rPr>
        <w:t>；</w:t>
      </w:r>
    </w:p>
    <w:p w14:paraId="682EB168">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lang w:val="en-US" w:eastAsia="zh-CN" w:bidi="ar"/>
        </w:rPr>
        <w:t>法定代表人投标</w:t>
      </w:r>
      <w:r>
        <w:rPr>
          <w:rFonts w:hint="eastAsia" w:ascii="宋体" w:hAnsi="宋体" w:eastAsia="宋体" w:cs="宋体"/>
          <w:color w:val="auto"/>
          <w:kern w:val="0"/>
          <w:sz w:val="24"/>
          <w:szCs w:val="24"/>
          <w:lang w:val="en-US" w:eastAsia="zh-CN" w:bidi="ar"/>
        </w:rPr>
        <w:t>提供《法定代表人身份证明书》</w:t>
      </w:r>
      <w:r>
        <w:rPr>
          <w:rFonts w:hint="eastAsia" w:ascii="宋体" w:hAnsi="宋体" w:cs="宋体"/>
          <w:color w:val="auto"/>
          <w:kern w:val="0"/>
          <w:sz w:val="24"/>
          <w:szCs w:val="24"/>
          <w:lang w:val="en-US" w:eastAsia="zh-CN" w:bidi="ar"/>
        </w:rPr>
        <w:t>，委托代理人投标提供</w:t>
      </w:r>
      <w:r>
        <w:rPr>
          <w:rFonts w:hint="eastAsia" w:ascii="宋体" w:hAnsi="宋体" w:eastAsia="宋体" w:cs="宋体"/>
          <w:color w:val="auto"/>
          <w:kern w:val="0"/>
          <w:sz w:val="24"/>
          <w:szCs w:val="24"/>
          <w:lang w:val="en-US" w:eastAsia="zh-CN" w:bidi="ar"/>
        </w:rPr>
        <w:t>《法定代表人授权委托书》；</w:t>
      </w:r>
    </w:p>
    <w:p w14:paraId="45C2430B">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r>
        <w:rPr>
          <w:rFonts w:hint="eastAsia" w:ascii="宋体" w:hAnsi="宋体" w:cs="宋体"/>
          <w:color w:val="auto"/>
          <w:kern w:val="0"/>
          <w:sz w:val="24"/>
          <w:szCs w:val="24"/>
          <w:lang w:val="en-US" w:eastAsia="zh-CN" w:bidi="ar"/>
        </w:rPr>
        <w:t>。</w:t>
      </w:r>
    </w:p>
    <w:p w14:paraId="73B9B84F">
      <w:pPr>
        <w:numPr>
          <w:ilvl w:val="0"/>
          <w:numId w:val="0"/>
        </w:numPr>
        <w:spacing w:line="360" w:lineRule="auto"/>
        <w:jc w:val="both"/>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2.落实政府采购政策需满足的资格要求：</w:t>
      </w:r>
    </w:p>
    <w:p w14:paraId="4DC8D249">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本项目专门面向中小企业采购，提供有效的中小企业声明函；本项目所属行业为：其他未列明行业；</w:t>
      </w:r>
    </w:p>
    <w:p w14:paraId="2BB939E5">
      <w:pPr>
        <w:numPr>
          <w:ilvl w:val="0"/>
          <w:numId w:val="0"/>
        </w:numPr>
        <w:spacing w:line="360" w:lineRule="auto"/>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3.本项目的特定资格要求：</w:t>
      </w:r>
    </w:p>
    <w:p w14:paraId="63E47D52">
      <w:pPr>
        <w:numPr>
          <w:ilvl w:val="0"/>
          <w:numId w:val="0"/>
        </w:numPr>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供应商应满足《消防技术服务机构从业条件》(应急[2019]88号)文件要求，并在“社会消防技术服务信息系统”登记备案。</w:t>
      </w:r>
    </w:p>
    <w:p w14:paraId="3C678A10">
      <w:pPr>
        <w:numPr>
          <w:ilvl w:val="0"/>
          <w:numId w:val="0"/>
        </w:numPr>
        <w:spacing w:line="360" w:lineRule="auto"/>
        <w:ind w:firstLine="480" w:firstLineChars="200"/>
        <w:jc w:val="both"/>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三、技术、服务要求</w:t>
      </w:r>
    </w:p>
    <w:p w14:paraId="34011CC5">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1、根据国家和地方有关建筑消防设施的法规和技术规范，提供</w:t>
      </w:r>
      <w:r>
        <w:rPr>
          <w:rFonts w:hint="eastAsia" w:ascii="宋体" w:hAnsi="宋体" w:eastAsia="宋体" w:cs="宋体"/>
          <w:b w:val="0"/>
          <w:bCs w:val="0"/>
          <w:color w:val="auto"/>
          <w:kern w:val="0"/>
          <w:sz w:val="24"/>
          <w:szCs w:val="24"/>
          <w:lang w:val="en-US" w:eastAsia="zh-CN" w:bidi="ar"/>
        </w:rPr>
        <w:t>消防</w:t>
      </w:r>
      <w:r>
        <w:rPr>
          <w:rFonts w:hint="eastAsia" w:ascii="宋体" w:hAnsi="宋体" w:cs="宋体"/>
          <w:b w:val="0"/>
          <w:bCs w:val="0"/>
          <w:color w:val="auto"/>
          <w:kern w:val="0"/>
          <w:sz w:val="24"/>
          <w:szCs w:val="24"/>
          <w:lang w:val="en-US" w:eastAsia="zh-CN" w:bidi="ar"/>
        </w:rPr>
        <w:t>检测</w:t>
      </w:r>
      <w:r>
        <w:rPr>
          <w:rFonts w:hint="default" w:ascii="宋体" w:hAnsi="宋体" w:cs="宋体"/>
          <w:color w:val="auto"/>
          <w:kern w:val="0"/>
          <w:sz w:val="24"/>
          <w:szCs w:val="24"/>
          <w:lang w:val="en-US" w:eastAsia="zh-CN" w:bidi="ar"/>
        </w:rPr>
        <w:t>服务，</w:t>
      </w:r>
      <w:r>
        <w:rPr>
          <w:rFonts w:hint="eastAsia" w:ascii="宋体" w:hAnsi="宋体" w:cs="宋体"/>
          <w:color w:val="auto"/>
          <w:kern w:val="0"/>
          <w:sz w:val="24"/>
          <w:szCs w:val="24"/>
          <w:lang w:val="en-US" w:eastAsia="zh-CN" w:bidi="ar"/>
        </w:rPr>
        <w:t>测试所有</w:t>
      </w:r>
      <w:r>
        <w:rPr>
          <w:rFonts w:hint="default" w:ascii="宋体" w:hAnsi="宋体" w:cs="宋体"/>
          <w:color w:val="auto"/>
          <w:kern w:val="0"/>
          <w:sz w:val="24"/>
          <w:szCs w:val="24"/>
          <w:lang w:val="en-US" w:eastAsia="zh-CN" w:bidi="ar"/>
        </w:rPr>
        <w:t>消防设施设备</w:t>
      </w:r>
      <w:r>
        <w:rPr>
          <w:rFonts w:hint="eastAsia" w:ascii="宋体" w:hAnsi="宋体" w:cs="宋体"/>
          <w:color w:val="auto"/>
          <w:kern w:val="0"/>
          <w:sz w:val="24"/>
          <w:szCs w:val="24"/>
          <w:lang w:val="en-US" w:eastAsia="zh-CN" w:bidi="ar"/>
        </w:rPr>
        <w:t>是否</w:t>
      </w:r>
      <w:r>
        <w:rPr>
          <w:rFonts w:hint="default" w:ascii="宋体" w:hAnsi="宋体" w:cs="宋体"/>
          <w:color w:val="auto"/>
          <w:kern w:val="0"/>
          <w:sz w:val="24"/>
          <w:szCs w:val="24"/>
          <w:lang w:val="en-US" w:eastAsia="zh-CN" w:bidi="ar"/>
        </w:rPr>
        <w:t>正常运行，</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人员需具备相应资质并持证上岗</w:t>
      </w:r>
      <w:r>
        <w:rPr>
          <w:rFonts w:hint="eastAsia" w:ascii="宋体" w:hAnsi="宋体" w:cs="宋体"/>
          <w:color w:val="auto"/>
          <w:kern w:val="0"/>
          <w:sz w:val="24"/>
          <w:szCs w:val="24"/>
          <w:lang w:val="en-US" w:eastAsia="zh-CN" w:bidi="ar"/>
        </w:rPr>
        <w:t>（提供有效的证书）</w:t>
      </w:r>
      <w:r>
        <w:rPr>
          <w:rFonts w:hint="default" w:ascii="宋体" w:hAnsi="宋体" w:cs="宋体"/>
          <w:color w:val="auto"/>
          <w:kern w:val="0"/>
          <w:sz w:val="24"/>
          <w:szCs w:val="24"/>
          <w:lang w:val="en-US" w:eastAsia="zh-CN" w:bidi="ar"/>
        </w:rPr>
        <w:t>。</w:t>
      </w:r>
    </w:p>
    <w:p w14:paraId="17AEA2BA">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2、对</w:t>
      </w:r>
      <w:r>
        <w:rPr>
          <w:rFonts w:hint="eastAsia" w:ascii="宋体" w:hAnsi="宋体" w:cs="宋体"/>
          <w:color w:val="auto"/>
          <w:kern w:val="0"/>
          <w:sz w:val="24"/>
          <w:szCs w:val="24"/>
          <w:lang w:val="en-US" w:eastAsia="zh-CN" w:bidi="ar"/>
        </w:rPr>
        <w:t>所有</w:t>
      </w:r>
      <w:r>
        <w:rPr>
          <w:rFonts w:hint="default" w:ascii="宋体" w:hAnsi="宋体" w:cs="宋体"/>
          <w:color w:val="auto"/>
          <w:kern w:val="0"/>
          <w:sz w:val="24"/>
          <w:szCs w:val="24"/>
          <w:lang w:val="en-US" w:eastAsia="zh-CN" w:bidi="ar"/>
        </w:rPr>
        <w:t>消防设施设备</w:t>
      </w:r>
      <w:r>
        <w:rPr>
          <w:rFonts w:hint="eastAsia" w:ascii="宋体" w:hAnsi="宋体" w:cs="宋体"/>
          <w:color w:val="auto"/>
          <w:kern w:val="0"/>
          <w:sz w:val="24"/>
          <w:szCs w:val="24"/>
          <w:lang w:val="en-US" w:eastAsia="zh-CN" w:bidi="ar"/>
        </w:rPr>
        <w:t>逐一</w:t>
      </w:r>
      <w:r>
        <w:rPr>
          <w:rFonts w:hint="default" w:ascii="宋体" w:hAnsi="宋体" w:cs="宋体"/>
          <w:color w:val="auto"/>
          <w:kern w:val="0"/>
          <w:sz w:val="24"/>
          <w:szCs w:val="24"/>
          <w:lang w:val="en-US" w:eastAsia="zh-CN" w:bidi="ar"/>
        </w:rPr>
        <w:t>进行</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，提供详细的消防系统设施设备检测记录及</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报告，及时反馈消防设施设备的运行情况</w:t>
      </w:r>
      <w:r>
        <w:rPr>
          <w:rFonts w:hint="eastAsia" w:ascii="宋体" w:hAnsi="宋体" w:cs="宋体"/>
          <w:color w:val="auto"/>
          <w:kern w:val="0"/>
          <w:sz w:val="24"/>
          <w:szCs w:val="24"/>
          <w:lang w:val="en-US" w:eastAsia="zh-CN" w:bidi="ar"/>
        </w:rPr>
        <w:t>，检测过程中对消防设施设备存在的问题及时向甲方反馈并提出整改意见，最终出具合格检测报告。</w:t>
      </w:r>
    </w:p>
    <w:p w14:paraId="22C802E5">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四</w:t>
      </w: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内容</w:t>
      </w:r>
    </w:p>
    <w:p w14:paraId="6F9EA633">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（一）火灾自动报警系统</w:t>
      </w:r>
    </w:p>
    <w:p w14:paraId="59E29BE7">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（二）消火栓系统</w:t>
      </w:r>
    </w:p>
    <w:p w14:paraId="484DD8B0">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（三）自动喷水灭火系统</w:t>
      </w:r>
    </w:p>
    <w:p w14:paraId="4C417FA5">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（四）气体灭火系统</w:t>
      </w:r>
    </w:p>
    <w:p w14:paraId="13A5D090">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（五）防火分隔设施</w:t>
      </w:r>
    </w:p>
    <w:p w14:paraId="4F3E67C8">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六</w:t>
      </w:r>
      <w:r>
        <w:rPr>
          <w:rFonts w:hint="default" w:ascii="宋体" w:hAnsi="宋体" w:cs="宋体"/>
          <w:color w:val="auto"/>
          <w:kern w:val="0"/>
          <w:sz w:val="24"/>
          <w:szCs w:val="24"/>
          <w:lang w:val="en-US" w:eastAsia="zh-CN" w:bidi="ar"/>
        </w:rPr>
        <w:t>）防排烟系统</w:t>
      </w:r>
    </w:p>
    <w:p w14:paraId="1756C532">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七</w:t>
      </w:r>
      <w:r>
        <w:rPr>
          <w:rFonts w:hint="default" w:ascii="宋体" w:hAnsi="宋体" w:cs="宋体"/>
          <w:color w:val="auto"/>
          <w:kern w:val="0"/>
          <w:sz w:val="24"/>
          <w:szCs w:val="24"/>
          <w:lang w:val="en-US" w:eastAsia="zh-CN" w:bidi="ar"/>
        </w:rPr>
        <w:t>）应急照明及疏散指示系统</w:t>
      </w:r>
    </w:p>
    <w:p w14:paraId="34738042">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八</w:t>
      </w:r>
      <w:r>
        <w:rPr>
          <w:rFonts w:hint="default" w:ascii="宋体" w:hAnsi="宋体" w:cs="宋体"/>
          <w:color w:val="auto"/>
          <w:kern w:val="0"/>
          <w:sz w:val="24"/>
          <w:szCs w:val="24"/>
          <w:lang w:val="en-US" w:eastAsia="zh-CN" w:bidi="ar"/>
        </w:rPr>
        <w:t>）相关消防设施设备</w:t>
      </w:r>
    </w:p>
    <w:p w14:paraId="3B67B901">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九</w:t>
      </w: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防火卷帘</w:t>
      </w:r>
    </w:p>
    <w:p w14:paraId="6BEC0ADC">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注：</w:t>
      </w:r>
      <w:r>
        <w:rPr>
          <w:rFonts w:hint="default" w:ascii="宋体" w:hAnsi="宋体" w:cs="宋体"/>
          <w:color w:val="auto"/>
          <w:kern w:val="0"/>
          <w:sz w:val="24"/>
          <w:szCs w:val="24"/>
          <w:lang w:val="en-US" w:eastAsia="zh-CN" w:bidi="ar"/>
        </w:rPr>
        <w:t>消防设施设备</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内容包括但不限于以上</w:t>
      </w:r>
      <w:r>
        <w:rPr>
          <w:rFonts w:hint="eastAsia" w:ascii="宋体" w:hAnsi="宋体" w:cs="宋体"/>
          <w:color w:val="auto"/>
          <w:kern w:val="0"/>
          <w:sz w:val="24"/>
          <w:szCs w:val="24"/>
          <w:lang w:val="en-US" w:eastAsia="zh-CN" w:bidi="ar"/>
        </w:rPr>
        <w:t>设施设备</w:t>
      </w:r>
      <w:r>
        <w:rPr>
          <w:rFonts w:hint="default" w:ascii="宋体" w:hAnsi="宋体" w:cs="宋体"/>
          <w:color w:val="auto"/>
          <w:kern w:val="0"/>
          <w:sz w:val="24"/>
          <w:szCs w:val="24"/>
          <w:lang w:val="en-US" w:eastAsia="zh-CN" w:bidi="ar"/>
        </w:rPr>
        <w:t>，与消防系统相关联的都应在内。</w:t>
      </w:r>
    </w:p>
    <w:p w14:paraId="0886782E">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五</w:t>
      </w:r>
      <w:r>
        <w:rPr>
          <w:rFonts w:hint="default" w:ascii="宋体" w:hAnsi="宋体" w:cs="宋体"/>
          <w:color w:val="auto"/>
          <w:kern w:val="0"/>
          <w:sz w:val="24"/>
          <w:szCs w:val="24"/>
          <w:lang w:val="en-US" w:eastAsia="zh-CN" w:bidi="ar"/>
        </w:rPr>
        <w:t>、</w:t>
      </w:r>
      <w:r>
        <w:rPr>
          <w:rFonts w:hint="eastAsia" w:ascii="宋体" w:hAnsi="宋体" w:eastAsia="宋体" w:cs="宋体"/>
          <w:color w:val="000000"/>
          <w:sz w:val="24"/>
          <w:szCs w:val="24"/>
          <w:highlight w:val="none"/>
          <w:lang w:val="en-US" w:eastAsia="zh-CN"/>
        </w:rPr>
        <w:t>报价要求</w:t>
      </w:r>
    </w:p>
    <w:p w14:paraId="7F09268A">
      <w:pPr>
        <w:keepNext w:val="0"/>
        <w:pageBreakBefore w:val="0"/>
        <w:numPr>
          <w:ilvl w:val="0"/>
          <w:numId w:val="2"/>
        </w:numPr>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总报价应包括各种人力成本、设备成本、资料费、服务费、税费及合同实施过程中的所有费用。</w:t>
      </w:r>
    </w:p>
    <w:p w14:paraId="70895C48">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2、报价不能超过该项目的最高限价，须精确到小数点后两位，如未按要求报价则为无效投标文件处理。</w:t>
      </w:r>
    </w:p>
    <w:p w14:paraId="295DFAD8">
      <w:pPr>
        <w:keepNext w:val="0"/>
        <w:pageBreakBefore w:val="0"/>
        <w:kinsoku/>
        <w:wordWrap/>
        <w:overflowPunct/>
        <w:topLinePunct w:val="0"/>
        <w:autoSpaceDE/>
        <w:autoSpaceDN/>
        <w:bidi w:val="0"/>
        <w:spacing w:line="360" w:lineRule="auto"/>
        <w:ind w:left="0" w:leftChars="0" w:right="0" w:firstLine="720" w:firstLineChars="3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投标报价风险</w:t>
      </w:r>
    </w:p>
    <w:p w14:paraId="2FB3AB5B">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★投标报价已包含完成本项目所需的人力成本、投入成本、利润、税金、交通、中标服务费及其他相关费用等，采购人将不予支付除招标文件及承包合同约定的由投标人承担的风险因素之外的任何补偿。</w:t>
      </w:r>
    </w:p>
    <w:p w14:paraId="43927439">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本项目周围环境等客观因素对项目实施影响</w:t>
      </w:r>
      <w:r>
        <w:rPr>
          <w:rFonts w:hint="eastAsia" w:cs="宋体"/>
          <w:color w:val="000000"/>
          <w:sz w:val="24"/>
          <w:szCs w:val="24"/>
          <w:highlight w:val="none"/>
          <w:lang w:val="en-US" w:eastAsia="zh-CN"/>
        </w:rPr>
        <w:t>较</w:t>
      </w:r>
      <w:r>
        <w:rPr>
          <w:rFonts w:hint="eastAsia" w:ascii="宋体" w:hAnsi="宋体" w:eastAsia="宋体" w:cs="宋体"/>
          <w:color w:val="000000"/>
          <w:sz w:val="24"/>
          <w:szCs w:val="24"/>
          <w:highlight w:val="none"/>
          <w:lang w:val="en-US" w:eastAsia="zh-CN"/>
        </w:rPr>
        <w:t>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14:paraId="1AE8C84F">
      <w:pPr>
        <w:keepNext w:val="0"/>
        <w:keepLines w:val="0"/>
        <w:pageBreakBefore w:val="0"/>
        <w:widowControl w:val="0"/>
        <w:kinsoku/>
        <w:wordWrap/>
        <w:overflowPunct/>
        <w:topLinePunct w:val="0"/>
        <w:autoSpaceDE/>
        <w:autoSpaceDN/>
        <w:bidi w:val="0"/>
        <w:snapToGrid/>
        <w:spacing w:line="360" w:lineRule="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kern w:val="2"/>
          <w:sz w:val="24"/>
          <w:szCs w:val="24"/>
          <w:highlight w:val="none"/>
          <w:lang w:val="en-US" w:eastAsia="zh-CN" w:bidi="ar-SA"/>
        </w:rPr>
        <w:t>★投标报价低于最高限价25%的需提供成本分析包括但不限于材料、人工、设备、保险、税金等。</w:t>
      </w:r>
    </w:p>
    <w:p w14:paraId="0F92EBF2">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因供应商自身不能参加现场勘查或现场踏勘不全面的，供应商不得因此提出修改投标报价或提出索赔等要求，须在投标文件中提供书面承诺书。</w:t>
      </w:r>
    </w:p>
    <w:p w14:paraId="37C13907">
      <w:pPr>
        <w:keepNext w:val="0"/>
        <w:pageBreakBefore w:val="0"/>
        <w:numPr>
          <w:ilvl w:val="0"/>
          <w:numId w:val="0"/>
        </w:numPr>
        <w:kinsoku/>
        <w:wordWrap/>
        <w:overflowPunct/>
        <w:topLinePunct w:val="0"/>
        <w:autoSpaceDE/>
        <w:autoSpaceDN/>
        <w:bidi w:val="0"/>
        <w:spacing w:line="360" w:lineRule="auto"/>
        <w:ind w:leftChars="200" w:right="0" w:right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管理要求</w:t>
      </w:r>
    </w:p>
    <w:p w14:paraId="21EE1799">
      <w:pPr>
        <w:pStyle w:val="5"/>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★成交供应商必须切实做好安全工作，加强作业时的安全保障，在任何情况下都要注意安全。一切安全事故均由成交供应商自行负责（响应时须提供承诺函，格式自定）。</w:t>
      </w:r>
    </w:p>
    <w:p w14:paraId="0D363C9B">
      <w:pPr>
        <w:pStyle w:val="5"/>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★成交供应商不得将本项目的全部或任何部分分包和转包给他人，如在项目实施过程中，经采购人发现有此情况，采购人有权终止合同，由此造成的责任由成交供应商负责（响应时须提供承诺函</w:t>
      </w:r>
      <w:r>
        <w:rPr>
          <w:rFonts w:hint="eastAsia" w:ascii="宋体" w:hAnsi="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bidi="ar-SA"/>
        </w:rPr>
        <w:t>格式自定）。</w:t>
      </w:r>
    </w:p>
    <w:p w14:paraId="773610E2">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成交供应商必须严格按国家现行的相关标准及技术规范</w:t>
      </w:r>
      <w:r>
        <w:rPr>
          <w:rFonts w:hint="eastAsia" w:ascii="宋体" w:hAnsi="宋体" w:cs="宋体"/>
          <w:b w:val="0"/>
          <w:bCs w:val="0"/>
          <w:color w:val="000000"/>
          <w:sz w:val="24"/>
          <w:szCs w:val="24"/>
          <w:highlight w:val="none"/>
          <w:lang w:val="en-US" w:eastAsia="zh-CN" w:bidi="ar-SA"/>
        </w:rPr>
        <w:t>开展工作</w:t>
      </w:r>
      <w:r>
        <w:rPr>
          <w:rFonts w:hint="eastAsia" w:ascii="宋体" w:hAnsi="宋体" w:eastAsia="宋体" w:cs="宋体"/>
          <w:b w:val="0"/>
          <w:bCs w:val="0"/>
          <w:color w:val="000000"/>
          <w:sz w:val="24"/>
          <w:szCs w:val="24"/>
          <w:highlight w:val="none"/>
          <w:lang w:val="en-US" w:eastAsia="zh-CN" w:bidi="ar-SA"/>
        </w:rPr>
        <w:t>。成交供应商必须严格按照已经确认的</w:t>
      </w:r>
      <w:r>
        <w:rPr>
          <w:rFonts w:hint="eastAsia" w:ascii="宋体" w:hAnsi="宋体" w:cs="宋体"/>
          <w:b w:val="0"/>
          <w:bCs w:val="0"/>
          <w:color w:val="000000"/>
          <w:sz w:val="24"/>
          <w:szCs w:val="24"/>
          <w:highlight w:val="none"/>
          <w:lang w:val="en-US" w:eastAsia="zh-CN" w:bidi="ar-SA"/>
        </w:rPr>
        <w:t>咨询</w:t>
      </w:r>
      <w:r>
        <w:rPr>
          <w:rFonts w:hint="eastAsia" w:ascii="宋体" w:hAnsi="宋体" w:eastAsia="宋体" w:cs="宋体"/>
          <w:b w:val="0"/>
          <w:bCs w:val="0"/>
          <w:color w:val="000000"/>
          <w:sz w:val="24"/>
          <w:szCs w:val="24"/>
          <w:highlight w:val="none"/>
          <w:lang w:val="en-US" w:eastAsia="zh-CN" w:bidi="ar-SA"/>
        </w:rPr>
        <w:t>方案组织</w:t>
      </w:r>
      <w:r>
        <w:rPr>
          <w:rFonts w:hint="eastAsia" w:ascii="宋体" w:hAnsi="宋体" w:cs="宋体"/>
          <w:b w:val="0"/>
          <w:bCs w:val="0"/>
          <w:color w:val="000000"/>
          <w:sz w:val="24"/>
          <w:szCs w:val="24"/>
          <w:highlight w:val="none"/>
          <w:lang w:val="en-US" w:eastAsia="zh-CN" w:bidi="ar-SA"/>
        </w:rPr>
        <w:t>勘察</w:t>
      </w:r>
      <w:r>
        <w:rPr>
          <w:rFonts w:hint="eastAsia" w:ascii="宋体" w:hAnsi="宋体" w:eastAsia="宋体" w:cs="宋体"/>
          <w:b w:val="0"/>
          <w:bCs w:val="0"/>
          <w:color w:val="000000"/>
          <w:sz w:val="24"/>
          <w:szCs w:val="24"/>
          <w:highlight w:val="none"/>
          <w:lang w:val="en-US" w:eastAsia="zh-CN" w:bidi="ar-SA"/>
        </w:rPr>
        <w:t>，并接受采购人对质量、工期、安全、环保的监督和管理。</w:t>
      </w:r>
    </w:p>
    <w:p w14:paraId="7845C75C">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采购人不提供</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所需的食宿、办公场地，均由成交供应商自行解决，其费用成交供应商自理。</w:t>
      </w:r>
    </w:p>
    <w:p w14:paraId="63D2CEC0">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成交供应商一旦进场，必须严格遵守采购人的各项规章制度，包括但不限于：①在规定的地域施工和活动；②项目管理人员必须坚守岗位，因事需离开的，需提前向采购人请假，经采购人同意方可离开。</w:t>
      </w:r>
    </w:p>
    <w:p w14:paraId="0BF2EEF3">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成交供应商在</w:t>
      </w:r>
      <w:r>
        <w:rPr>
          <w:rFonts w:hint="eastAsia" w:ascii="宋体" w:hAnsi="宋体" w:cs="宋体"/>
          <w:b w:val="0"/>
          <w:bCs w:val="0"/>
          <w:color w:val="000000"/>
          <w:sz w:val="24"/>
          <w:szCs w:val="24"/>
          <w:highlight w:val="none"/>
          <w:lang w:val="en-US" w:eastAsia="zh-CN" w:bidi="ar-SA"/>
        </w:rPr>
        <w:t>勘察服务</w:t>
      </w:r>
      <w:r>
        <w:rPr>
          <w:rFonts w:hint="eastAsia" w:ascii="宋体" w:hAnsi="宋体" w:eastAsia="宋体" w:cs="宋体"/>
          <w:b w:val="0"/>
          <w:bCs w:val="0"/>
          <w:color w:val="000000"/>
          <w:sz w:val="24"/>
          <w:szCs w:val="24"/>
          <w:highlight w:val="none"/>
          <w:lang w:val="en-US" w:eastAsia="zh-CN" w:bidi="ar-SA"/>
        </w:rPr>
        <w:t>期间应严格遵守国家、省、市有关防火、防爆、环卫、治安与城管等规定，并制定和落实安全生产及文明施工措施，</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期间必须严格管理</w:t>
      </w:r>
      <w:r>
        <w:rPr>
          <w:rFonts w:hint="eastAsia" w:ascii="宋体" w:hAnsi="宋体" w:cs="宋体"/>
          <w:b w:val="0"/>
          <w:bCs w:val="0"/>
          <w:color w:val="000000"/>
          <w:sz w:val="24"/>
          <w:szCs w:val="24"/>
          <w:highlight w:val="none"/>
          <w:lang w:val="en-US" w:eastAsia="zh-CN" w:bidi="ar-SA"/>
        </w:rPr>
        <w:t>现场</w:t>
      </w:r>
      <w:r>
        <w:rPr>
          <w:rFonts w:hint="eastAsia" w:ascii="宋体" w:hAnsi="宋体" w:eastAsia="宋体" w:cs="宋体"/>
          <w:b w:val="0"/>
          <w:bCs w:val="0"/>
          <w:color w:val="000000"/>
          <w:sz w:val="24"/>
          <w:szCs w:val="24"/>
          <w:highlight w:val="none"/>
          <w:lang w:val="en-US" w:eastAsia="zh-CN" w:bidi="ar-SA"/>
        </w:rPr>
        <w:t>人员，发生一切安全事故均由成交供应商自行负责。</w:t>
      </w:r>
    </w:p>
    <w:p w14:paraId="0A4E717C">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成交供应商在</w:t>
      </w:r>
      <w:r>
        <w:rPr>
          <w:rFonts w:hint="eastAsia" w:ascii="宋体" w:hAnsi="宋体" w:cs="宋体"/>
          <w:b w:val="0"/>
          <w:bCs w:val="0"/>
          <w:color w:val="000000"/>
          <w:sz w:val="24"/>
          <w:szCs w:val="24"/>
          <w:highlight w:val="none"/>
          <w:lang w:val="en-US" w:eastAsia="zh-CN" w:bidi="ar-SA"/>
        </w:rPr>
        <w:t>勘察服务</w:t>
      </w:r>
      <w:r>
        <w:rPr>
          <w:rFonts w:hint="eastAsia" w:ascii="宋体" w:hAnsi="宋体" w:eastAsia="宋体" w:cs="宋体"/>
          <w:b w:val="0"/>
          <w:bCs w:val="0"/>
          <w:color w:val="000000"/>
          <w:sz w:val="24"/>
          <w:szCs w:val="24"/>
          <w:highlight w:val="none"/>
          <w:lang w:val="en-US" w:eastAsia="zh-CN" w:bidi="ar-SA"/>
        </w:rPr>
        <w:t>过程中，如遇到需与外部相关的单位协调的问题时，应自行解决，采购人只负责协助。</w:t>
      </w:r>
    </w:p>
    <w:p w14:paraId="45B67B30">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成交供应商所提供的资料必须属实，如发现虚假资料，采购人有权单方面终止合同，工程项目将另行处理，由此而造成的经济损失由成交供应商负责赔偿。</w:t>
      </w:r>
    </w:p>
    <w:p w14:paraId="2A9CEB9B">
      <w:pPr>
        <w:pStyle w:val="18"/>
        <w:keepNext w:val="0"/>
        <w:pageBreakBefore w:val="0"/>
        <w:numPr>
          <w:ilvl w:val="0"/>
          <w:numId w:val="0"/>
        </w:numPr>
        <w:tabs>
          <w:tab w:val="left" w:pos="1194"/>
        </w:tabs>
        <w:kinsoku/>
        <w:wordWrap/>
        <w:overflowPunct/>
        <w:topLinePunct w:val="0"/>
        <w:autoSpaceDE/>
        <w:autoSpaceDN/>
        <w:bidi w:val="0"/>
        <w:spacing w:before="0" w:line="360" w:lineRule="auto"/>
        <w:ind w:left="0" w:leftChars="0" w:right="0" w:rightChars="0"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中标人负责其派出现场人员人身意外保险，保额不低于50万元（提供承诺函，格式自拟）</w:t>
      </w:r>
      <w:bookmarkStart w:id="0" w:name="_GoBack"/>
      <w:r>
        <w:rPr>
          <w:rFonts w:hint="eastAsia" w:ascii="宋体" w:hAnsi="宋体" w:eastAsia="宋体" w:cs="宋体"/>
          <w:color w:val="000000"/>
          <w:sz w:val="24"/>
          <w:szCs w:val="24"/>
          <w:highlight w:val="none"/>
          <w:lang w:val="en-US" w:eastAsia="zh-CN" w:bidi="ar-SA"/>
        </w:rPr>
        <w:t>。</w:t>
      </w:r>
      <w:bookmarkEnd w:id="0"/>
    </w:p>
    <w:p w14:paraId="09F855FF">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★为确保本项目顺利完成，供应商必须承诺：承诺在中标后所投入的专业技术人员为本企业人专业技术人员，并与投标文件提供的专业技术人员一致的承诺书。</w:t>
      </w:r>
    </w:p>
    <w:p w14:paraId="40E1868D">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六、</w:t>
      </w:r>
      <w:r>
        <w:rPr>
          <w:rFonts w:hint="default" w:ascii="宋体" w:hAnsi="宋体" w:cs="宋体"/>
          <w:color w:val="auto"/>
          <w:kern w:val="0"/>
          <w:sz w:val="24"/>
          <w:szCs w:val="24"/>
          <w:lang w:val="en-US" w:eastAsia="zh-CN" w:bidi="ar"/>
        </w:rPr>
        <w:t>付款方式：</w:t>
      </w:r>
      <w:r>
        <w:rPr>
          <w:rFonts w:hint="eastAsia" w:ascii="宋体" w:hAnsi="宋体" w:cs="宋体"/>
          <w:color w:val="auto"/>
          <w:kern w:val="0"/>
          <w:sz w:val="24"/>
          <w:szCs w:val="24"/>
          <w:lang w:val="en-US" w:eastAsia="zh-CN" w:bidi="ar"/>
        </w:rPr>
        <w:t>具体以合同签订为准</w:t>
      </w:r>
    </w:p>
    <w:p w14:paraId="7EEED04E">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七、替补候选人的设定与使用</w:t>
      </w:r>
    </w:p>
    <w:p w14:paraId="654E3740">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73AF6247">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2.★如果所有中标候选人均无法签订合同，采购人将依法重新招标或更改采购形式，对受影响的响应供应商不承担任何责任。</w:t>
      </w:r>
    </w:p>
    <w:p w14:paraId="3E69863B">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p>
    <w:p w14:paraId="681F8C5B">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注：</w:t>
      </w:r>
      <w:r>
        <w:rPr>
          <w:rFonts w:hint="default" w:ascii="宋体" w:hAnsi="宋体" w:cs="宋体"/>
          <w:color w:val="auto"/>
          <w:kern w:val="0"/>
          <w:sz w:val="24"/>
          <w:szCs w:val="24"/>
          <w:lang w:val="en-US" w:eastAsia="zh-CN" w:bidi="ar"/>
        </w:rPr>
        <w:t>采购需求中标注“★”号条款为实质性条款，必须逐条进行响应，有任何一条负偏离的，将导致投标无效。</w:t>
      </w:r>
    </w:p>
    <w:p w14:paraId="18115AC4">
      <w:pPr>
        <w:numPr>
          <w:ilvl w:val="0"/>
          <w:numId w:val="0"/>
        </w:numPr>
        <w:spacing w:line="360" w:lineRule="auto"/>
        <w:jc w:val="both"/>
        <w:rPr>
          <w:rFonts w:hint="default" w:ascii="宋体" w:hAnsi="宋体" w:cs="宋体"/>
          <w:color w:val="auto"/>
          <w:kern w:val="0"/>
          <w:sz w:val="24"/>
          <w:szCs w:val="24"/>
          <w:lang w:val="en-US" w:eastAsia="zh-CN" w:bidi="ar"/>
        </w:rPr>
      </w:pPr>
    </w:p>
    <w:p w14:paraId="74E59EF8">
      <w:pPr>
        <w:numPr>
          <w:ilvl w:val="0"/>
          <w:numId w:val="0"/>
        </w:numPr>
        <w:spacing w:line="360" w:lineRule="auto"/>
        <w:jc w:val="both"/>
        <w:rPr>
          <w:rFonts w:hint="default" w:ascii="宋体" w:hAnsi="宋体" w:cs="宋体"/>
          <w:color w:val="auto"/>
          <w:kern w:val="0"/>
          <w:sz w:val="24"/>
          <w:szCs w:val="24"/>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E7C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8EA2A">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4B8EA2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EB00"/>
    <w:multiLevelType w:val="singleLevel"/>
    <w:tmpl w:val="A151EB00"/>
    <w:lvl w:ilvl="0" w:tentative="0">
      <w:start w:val="1"/>
      <w:numFmt w:val="decimal"/>
      <w:suff w:val="nothing"/>
      <w:lvlText w:val="（%1）"/>
      <w:lvlJc w:val="left"/>
    </w:lvl>
  </w:abstractNum>
  <w:abstractNum w:abstractNumId="1">
    <w:nsid w:val="B7FCFDCA"/>
    <w:multiLevelType w:val="singleLevel"/>
    <w:tmpl w:val="B7FCFDCA"/>
    <w:lvl w:ilvl="0" w:tentative="0">
      <w:start w:val="1"/>
      <w:numFmt w:val="decimal"/>
      <w:suff w:val="nothing"/>
      <w:lvlText w:val="%1．"/>
      <w:lvlJc w:val="left"/>
      <w:pPr>
        <w:ind w:left="0" w:firstLine="400"/>
      </w:pPr>
      <w:rPr>
        <w:rFonts w:hint="default"/>
      </w:rPr>
    </w:lvl>
  </w:abstractNum>
  <w:abstractNum w:abstractNumId="2">
    <w:nsid w:val="23F32BAE"/>
    <w:multiLevelType w:val="singleLevel"/>
    <w:tmpl w:val="23F32BA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mNiZDNiMGU4YWY0MTQ1MDEwMjViMmY4ZjQyZjgifQ=="/>
  </w:docVars>
  <w:rsids>
    <w:rsidRoot w:val="38203E3A"/>
    <w:rsid w:val="01A45297"/>
    <w:rsid w:val="02261F00"/>
    <w:rsid w:val="05E11832"/>
    <w:rsid w:val="05F872A7"/>
    <w:rsid w:val="064546D9"/>
    <w:rsid w:val="068E5189"/>
    <w:rsid w:val="088B7378"/>
    <w:rsid w:val="0C6424DA"/>
    <w:rsid w:val="0C9A27CA"/>
    <w:rsid w:val="0C9F4D5E"/>
    <w:rsid w:val="14B60FEF"/>
    <w:rsid w:val="164F4B0E"/>
    <w:rsid w:val="180052A4"/>
    <w:rsid w:val="19135554"/>
    <w:rsid w:val="198C562B"/>
    <w:rsid w:val="1B247BB0"/>
    <w:rsid w:val="1C737059"/>
    <w:rsid w:val="1D5D5F49"/>
    <w:rsid w:val="1EA43174"/>
    <w:rsid w:val="20AE14FE"/>
    <w:rsid w:val="236316A2"/>
    <w:rsid w:val="238C4087"/>
    <w:rsid w:val="276C144B"/>
    <w:rsid w:val="27AD0F2A"/>
    <w:rsid w:val="29AE3DC1"/>
    <w:rsid w:val="2B0100FD"/>
    <w:rsid w:val="2D104627"/>
    <w:rsid w:val="2DFB52D7"/>
    <w:rsid w:val="2FD94831"/>
    <w:rsid w:val="30C95111"/>
    <w:rsid w:val="355346A8"/>
    <w:rsid w:val="36F454AC"/>
    <w:rsid w:val="38203E3A"/>
    <w:rsid w:val="39CB3DB0"/>
    <w:rsid w:val="3AFC0714"/>
    <w:rsid w:val="40E045E4"/>
    <w:rsid w:val="425F2F15"/>
    <w:rsid w:val="443F0EEB"/>
    <w:rsid w:val="461322BD"/>
    <w:rsid w:val="484D6167"/>
    <w:rsid w:val="4CFC32FF"/>
    <w:rsid w:val="4D1E0EFC"/>
    <w:rsid w:val="4DA73CCC"/>
    <w:rsid w:val="4E0B4731"/>
    <w:rsid w:val="50457832"/>
    <w:rsid w:val="51AC5384"/>
    <w:rsid w:val="5483555B"/>
    <w:rsid w:val="5A881636"/>
    <w:rsid w:val="5C115759"/>
    <w:rsid w:val="5D093BF6"/>
    <w:rsid w:val="5E133FAB"/>
    <w:rsid w:val="61384406"/>
    <w:rsid w:val="64E103E4"/>
    <w:rsid w:val="653A1C66"/>
    <w:rsid w:val="660B15C9"/>
    <w:rsid w:val="6B357E4A"/>
    <w:rsid w:val="6D0D4104"/>
    <w:rsid w:val="6D77157D"/>
    <w:rsid w:val="70BA0784"/>
    <w:rsid w:val="72313F77"/>
    <w:rsid w:val="726171AD"/>
    <w:rsid w:val="733B335F"/>
    <w:rsid w:val="752B2B24"/>
    <w:rsid w:val="753D2147"/>
    <w:rsid w:val="75A93784"/>
    <w:rsid w:val="769C3861"/>
    <w:rsid w:val="769E035B"/>
    <w:rsid w:val="784212A3"/>
    <w:rsid w:val="78CB7DC1"/>
    <w:rsid w:val="79AB2CDA"/>
    <w:rsid w:val="79AE3727"/>
    <w:rsid w:val="79FF4EE4"/>
    <w:rsid w:val="7A2A0D3D"/>
    <w:rsid w:val="7AD91B49"/>
    <w:rsid w:val="7D32679C"/>
    <w:rsid w:val="7E011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0"/>
      <w:szCs w:val="22"/>
    </w:rPr>
  </w:style>
  <w:style w:type="paragraph" w:styleId="3">
    <w:name w:val="heading 2"/>
    <w:basedOn w:val="1"/>
    <w:next w:val="1"/>
    <w:autoRedefine/>
    <w:unhideWhenUsed/>
    <w:qFormat/>
    <w:uiPriority w:val="0"/>
    <w:pPr>
      <w:keepNext/>
      <w:keepLines/>
      <w:spacing w:before="140" w:after="140" w:line="360" w:lineRule="auto"/>
      <w:outlineLvl w:val="1"/>
    </w:pPr>
    <w:rPr>
      <w:rFonts w:ascii="Cambria" w:hAnsi="Cambria" w:cs="Times New Roman"/>
      <w:b/>
      <w:bCs/>
      <w:sz w:val="30"/>
      <w:szCs w:val="32"/>
    </w:rPr>
  </w:style>
  <w:style w:type="paragraph" w:styleId="4">
    <w:name w:val="heading 3"/>
    <w:basedOn w:val="1"/>
    <w:next w:val="1"/>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spacing w:after="200" w:line="276" w:lineRule="auto"/>
      <w:ind w:firstLine="420" w:firstLineChars="200"/>
      <w:jc w:val="left"/>
    </w:pPr>
    <w:rPr>
      <w:rFonts w:eastAsia="宋体"/>
      <w:sz w:val="22"/>
      <w:szCs w:val="24"/>
      <w:lang w:eastAsia="en-US" w:bidi="en-US"/>
    </w:rPr>
  </w:style>
  <w:style w:type="paragraph" w:styleId="7">
    <w:name w:val="Body Text"/>
    <w:basedOn w:val="1"/>
    <w:next w:val="1"/>
    <w:autoRedefine/>
    <w:qFormat/>
    <w:uiPriority w:val="0"/>
    <w:pPr>
      <w:tabs>
        <w:tab w:val="left" w:pos="567"/>
      </w:tabs>
      <w:spacing w:before="120" w:line="22" w:lineRule="atLeast"/>
    </w:pPr>
    <w:rPr>
      <w:rFonts w:ascii="宋体" w:hAnsi="宋体"/>
      <w:sz w:val="24"/>
    </w:rPr>
  </w:style>
  <w:style w:type="paragraph" w:styleId="8">
    <w:name w:val="Plain Text"/>
    <w:basedOn w:val="1"/>
    <w:autoRedefine/>
    <w:qFormat/>
    <w:uiPriority w:val="0"/>
    <w:rPr>
      <w:rFonts w:ascii="宋体" w:hAnsi="Courier New"/>
      <w:szCs w:val="21"/>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footnote text"/>
    <w:basedOn w:val="1"/>
    <w:autoRedefine/>
    <w:qFormat/>
    <w:uiPriority w:val="0"/>
    <w:pPr>
      <w:snapToGrid w:val="0"/>
      <w:jc w:val="left"/>
    </w:pPr>
    <w:rPr>
      <w:sz w:val="18"/>
    </w:rPr>
  </w:style>
  <w:style w:type="paragraph" w:styleId="11">
    <w:name w:val="Title"/>
    <w:basedOn w:val="1"/>
    <w:next w:val="1"/>
    <w:autoRedefine/>
    <w:qFormat/>
    <w:uiPriority w:val="10"/>
    <w:pPr>
      <w:spacing w:before="240" w:after="60"/>
      <w:jc w:val="center"/>
      <w:outlineLvl w:val="0"/>
    </w:pPr>
    <w:rPr>
      <w:rFonts w:ascii="Cambria" w:hAnsi="Cambria"/>
      <w:b/>
      <w:bCs/>
      <w:sz w:val="32"/>
      <w:szCs w:val="32"/>
    </w:rPr>
  </w:style>
  <w:style w:type="paragraph" w:styleId="12">
    <w:name w:val="Body Text First Indent"/>
    <w:basedOn w:val="7"/>
    <w:autoRedefine/>
    <w:qFormat/>
    <w:uiPriority w:val="0"/>
    <w:pPr>
      <w:spacing w:line="360" w:lineRule="auto"/>
      <w:ind w:firstLine="880" w:firstLineChars="200"/>
    </w:pPr>
    <w:rPr>
      <w:rFonts w:ascii="宋体" w:hAnsi="宋体" w:eastAsia="宋体" w:cs="Times New Roman"/>
      <w:sz w:val="24"/>
      <w:szCs w:val="2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微格一级标题"/>
    <w:basedOn w:val="1"/>
    <w:autoRedefine/>
    <w:qFormat/>
    <w:uiPriority w:val="0"/>
    <w:pPr>
      <w:spacing w:line="300" w:lineRule="auto"/>
    </w:pPr>
    <w:rPr>
      <w:rFonts w:ascii="Times New Roman" w:hAnsi="Times New Roman" w:eastAsia="宋体"/>
      <w:b/>
      <w:sz w:val="21"/>
      <w:szCs w:val="21"/>
    </w:rPr>
  </w:style>
  <w:style w:type="paragraph" w:customStyle="1" w:styleId="17">
    <w:name w:val="Fließtext"/>
    <w:basedOn w:val="1"/>
    <w:autoRedefine/>
    <w:qFormat/>
    <w:uiPriority w:val="99"/>
    <w:pPr>
      <w:overflowPunct w:val="0"/>
      <w:autoSpaceDE w:val="0"/>
      <w:autoSpaceDN w:val="0"/>
      <w:adjustRightInd w:val="0"/>
      <w:textAlignment w:val="baseline"/>
    </w:pPr>
    <w:rPr>
      <w:kern w:val="28"/>
    </w:rPr>
  </w:style>
  <w:style w:type="paragraph" w:styleId="18">
    <w:name w:val="List Paragraph"/>
    <w:basedOn w:val="1"/>
    <w:autoRedefine/>
    <w:qFormat/>
    <w:uiPriority w:val="34"/>
    <w:pPr>
      <w:spacing w:line="360" w:lineRule="auto"/>
      <w:ind w:firstLine="420" w:firstLineChars="200"/>
    </w:pPr>
    <w:rPr>
      <w:rFonts w:ascii="Calibri" w:hAnsi="Calibri"/>
      <w:sz w:val="24"/>
      <w:szCs w:val="22"/>
    </w:rPr>
  </w:style>
  <w:style w:type="paragraph" w:customStyle="1" w:styleId="19">
    <w:name w:val="正文文本_1_0"/>
    <w:basedOn w:val="20"/>
    <w:autoRedefine/>
    <w:unhideWhenUsed/>
    <w:qFormat/>
    <w:uiPriority w:val="0"/>
    <w:rPr>
      <w:rFonts w:ascii="Calibri" w:hAnsi="Calibri" w:eastAsia="黑体" w:cs="Times New Roman"/>
      <w:sz w:val="36"/>
    </w:rPr>
  </w:style>
  <w:style w:type="paragraph" w:customStyle="1" w:styleId="20">
    <w:name w:val="正文_2_0"/>
    <w:next w:val="21"/>
    <w:autoRedefine/>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1">
    <w:name w:val="表格文字_1_0"/>
    <w:basedOn w:val="20"/>
    <w:autoRedefine/>
    <w:qFormat/>
    <w:uiPriority w:val="0"/>
    <w:pPr>
      <w:adjustRightInd w:val="0"/>
      <w:spacing w:line="420" w:lineRule="atLeast"/>
      <w:jc w:val="left"/>
    </w:pPr>
    <w:rPr>
      <w:rFonts w:ascii="Calibri" w:hAnsi="Calibri" w:eastAsia="宋体" w:cs="Times New Roman"/>
      <w:kern w:val="0"/>
      <w:szCs w:val="20"/>
    </w:rPr>
  </w:style>
  <w:style w:type="paragraph" w:customStyle="1" w:styleId="22">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2443</Words>
  <Characters>2527</Characters>
  <Lines>0</Lines>
  <Paragraphs>0</Paragraphs>
  <TotalTime>0</TotalTime>
  <ScaleCrop>false</ScaleCrop>
  <LinksUpToDate>false</LinksUpToDate>
  <CharactersWithSpaces>2531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admin</cp:lastModifiedBy>
  <dcterms:modified xsi:type="dcterms:W3CDTF">2025-01-19T07:33:14Z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E04C2FC3D20E48FF93E77E41BED967BA_13</vt:lpwstr>
  </property>
  <property fmtid="{D5CDD505-2E9C-101B-9397-08002B2CF9AE}" pid="4" name="KSOTemplateDocerSaveRecord">
    <vt:lpwstr>eyJoZGlkIjoiOTlmNDczNTJkZGFmNWEwOWQxYTY5YWI1ZGFkZTlhNGEifQ==</vt:lpwstr>
  </property>
</Properties>
</file>