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480" w:firstLineChars="200"/>
        <w:jc w:val="both"/>
        <w:rPr>
          <w:rFonts w:hint="eastAsia" w:ascii="宋体" w:hAnsi="宋体" w:eastAsia="宋体" w:cs="宋体"/>
          <w:b w:val="0"/>
          <w:bCs w:val="0"/>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一、</w:t>
      </w:r>
      <w:r>
        <w:rPr>
          <w:rFonts w:hint="eastAsia" w:ascii="宋体" w:hAnsi="宋体" w:eastAsia="宋体" w:cs="宋体"/>
          <w:b w:val="0"/>
          <w:bCs w:val="0"/>
          <w:color w:val="auto"/>
          <w:kern w:val="0"/>
          <w:sz w:val="24"/>
          <w:szCs w:val="24"/>
          <w:lang w:val="en-US" w:eastAsia="zh-CN" w:bidi="ar"/>
        </w:rPr>
        <w:t>采购项目概况</w:t>
      </w:r>
    </w:p>
    <w:p>
      <w:pPr>
        <w:numPr>
          <w:ilvl w:val="0"/>
          <w:numId w:val="0"/>
        </w:numPr>
        <w:spacing w:line="360" w:lineRule="auto"/>
        <w:ind w:firstLine="480" w:firstLineChars="200"/>
        <w:jc w:val="both"/>
        <w:rPr>
          <w:rFonts w:hint="eastAsia" w:ascii="宋体" w:hAnsi="宋体" w:eastAsia="宋体" w:cs="宋体"/>
          <w:b w:val="0"/>
          <w:bCs w:val="0"/>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和田地区维吾尔医医院</w:t>
      </w:r>
      <w:r>
        <w:rPr>
          <w:rFonts w:hint="eastAsia" w:ascii="宋体" w:hAnsi="宋体" w:eastAsia="宋体" w:cs="宋体"/>
          <w:b w:val="0"/>
          <w:bCs w:val="0"/>
          <w:color w:val="auto"/>
          <w:kern w:val="0"/>
          <w:sz w:val="24"/>
          <w:szCs w:val="24"/>
          <w:lang w:val="en-US" w:eastAsia="zh-CN" w:bidi="ar"/>
        </w:rPr>
        <w:t>拟采购消防</w:t>
      </w:r>
      <w:r>
        <w:rPr>
          <w:rFonts w:hint="eastAsia" w:ascii="宋体" w:hAnsi="宋体" w:cs="宋体"/>
          <w:b w:val="0"/>
          <w:bCs w:val="0"/>
          <w:color w:val="auto"/>
          <w:kern w:val="0"/>
          <w:sz w:val="24"/>
          <w:szCs w:val="24"/>
          <w:lang w:val="en-US" w:eastAsia="zh-CN" w:bidi="ar"/>
        </w:rPr>
        <w:t>检测</w:t>
      </w:r>
      <w:r>
        <w:rPr>
          <w:rFonts w:hint="eastAsia" w:ascii="宋体" w:hAnsi="宋体" w:eastAsia="宋体" w:cs="宋体"/>
          <w:b w:val="0"/>
          <w:bCs w:val="0"/>
          <w:color w:val="auto"/>
          <w:kern w:val="0"/>
          <w:sz w:val="24"/>
          <w:szCs w:val="24"/>
          <w:lang w:val="en-US" w:eastAsia="zh-CN" w:bidi="ar"/>
        </w:rPr>
        <w:t>服务项目，院区配置有</w:t>
      </w:r>
      <w:r>
        <w:rPr>
          <w:rFonts w:hint="eastAsia" w:ascii="宋体" w:hAnsi="宋体" w:cs="宋体"/>
          <w:b w:val="0"/>
          <w:bCs w:val="0"/>
          <w:color w:val="auto"/>
          <w:kern w:val="0"/>
          <w:sz w:val="24"/>
          <w:szCs w:val="24"/>
          <w:lang w:val="en-US" w:eastAsia="zh-CN" w:bidi="ar"/>
        </w:rPr>
        <w:t>各类消防设施</w:t>
      </w:r>
      <w:r>
        <w:rPr>
          <w:rFonts w:hint="eastAsia" w:ascii="宋体" w:hAnsi="宋体" w:eastAsia="宋体" w:cs="宋体"/>
          <w:b w:val="0"/>
          <w:bCs w:val="0"/>
          <w:color w:val="auto"/>
          <w:kern w:val="0"/>
          <w:sz w:val="24"/>
          <w:szCs w:val="24"/>
          <w:lang w:val="en-US" w:eastAsia="zh-CN" w:bidi="ar"/>
        </w:rPr>
        <w:t>，现需对</w:t>
      </w:r>
      <w:r>
        <w:rPr>
          <w:rFonts w:hint="eastAsia" w:ascii="宋体" w:hAnsi="宋体" w:cs="宋体"/>
          <w:b w:val="0"/>
          <w:bCs w:val="0"/>
          <w:color w:val="auto"/>
          <w:kern w:val="0"/>
          <w:sz w:val="24"/>
          <w:szCs w:val="24"/>
          <w:lang w:val="en-US" w:eastAsia="zh-CN" w:bidi="ar"/>
        </w:rPr>
        <w:t>院区</w:t>
      </w:r>
      <w:r>
        <w:rPr>
          <w:rFonts w:hint="eastAsia" w:ascii="宋体" w:hAnsi="宋体" w:eastAsia="宋体" w:cs="宋体"/>
          <w:b w:val="0"/>
          <w:bCs w:val="0"/>
          <w:color w:val="auto"/>
          <w:kern w:val="0"/>
          <w:sz w:val="24"/>
          <w:szCs w:val="24"/>
          <w:lang w:val="en-US" w:eastAsia="zh-CN" w:bidi="ar"/>
        </w:rPr>
        <w:t>的消防</w:t>
      </w:r>
      <w:r>
        <w:rPr>
          <w:rFonts w:hint="eastAsia" w:ascii="宋体" w:hAnsi="宋体" w:cs="宋体"/>
          <w:b w:val="0"/>
          <w:bCs w:val="0"/>
          <w:color w:val="auto"/>
          <w:kern w:val="0"/>
          <w:sz w:val="24"/>
          <w:szCs w:val="24"/>
          <w:lang w:val="en-US" w:eastAsia="zh-CN" w:bidi="ar"/>
        </w:rPr>
        <w:t>检测</w:t>
      </w:r>
      <w:r>
        <w:rPr>
          <w:rFonts w:hint="eastAsia" w:ascii="宋体" w:hAnsi="宋体" w:eastAsia="宋体" w:cs="宋体"/>
          <w:b w:val="0"/>
          <w:bCs w:val="0"/>
          <w:color w:val="auto"/>
          <w:kern w:val="0"/>
          <w:sz w:val="24"/>
          <w:szCs w:val="24"/>
          <w:lang w:val="en-US" w:eastAsia="zh-CN" w:bidi="ar"/>
        </w:rPr>
        <w:t>项目进行采购</w:t>
      </w:r>
      <w:r>
        <w:rPr>
          <w:rFonts w:hint="eastAsia" w:ascii="宋体" w:hAnsi="宋体" w:cs="宋体"/>
          <w:b w:val="0"/>
          <w:bCs w:val="0"/>
          <w:color w:val="auto"/>
          <w:kern w:val="0"/>
          <w:sz w:val="24"/>
          <w:szCs w:val="24"/>
          <w:lang w:val="en-US" w:eastAsia="zh-CN" w:bidi="ar"/>
        </w:rPr>
        <w:t>，院区检测面积约</w:t>
      </w:r>
      <w:r>
        <w:rPr>
          <w:rFonts w:hint="eastAsia"/>
          <w:b/>
          <w:bCs/>
          <w:color w:val="auto"/>
          <w:sz w:val="28"/>
          <w:szCs w:val="28"/>
          <w:lang w:val="en-US" w:eastAsia="zh-CN"/>
        </w:rPr>
        <w:t>98870.91</w:t>
      </w:r>
      <w:bookmarkStart w:id="0" w:name="_GoBack"/>
      <w:bookmarkEnd w:id="0"/>
      <w:r>
        <w:rPr>
          <w:rFonts w:hint="eastAsia"/>
          <w:b/>
          <w:bCs/>
          <w:color w:val="auto"/>
          <w:sz w:val="28"/>
          <w:szCs w:val="28"/>
          <w:lang w:val="en-US" w:eastAsia="zh-CN"/>
        </w:rPr>
        <w:t>㎡</w:t>
      </w:r>
      <w:r>
        <w:rPr>
          <w:rFonts w:hint="eastAsia" w:ascii="宋体" w:hAnsi="宋体" w:eastAsia="宋体" w:cs="宋体"/>
          <w:b w:val="0"/>
          <w:bCs w:val="0"/>
          <w:color w:val="auto"/>
          <w:kern w:val="0"/>
          <w:sz w:val="24"/>
          <w:szCs w:val="24"/>
          <w:lang w:val="en-US" w:eastAsia="zh-CN" w:bidi="ar"/>
        </w:rPr>
        <w:t>平方米</w:t>
      </w:r>
      <w:r>
        <w:rPr>
          <w:rFonts w:hint="eastAsia" w:ascii="宋体" w:hAnsi="宋体" w:cs="宋体"/>
          <w:b w:val="0"/>
          <w:bCs w:val="0"/>
          <w:color w:val="auto"/>
          <w:kern w:val="0"/>
          <w:sz w:val="24"/>
          <w:szCs w:val="24"/>
          <w:lang w:val="en-US" w:eastAsia="zh-CN" w:bidi="ar"/>
        </w:rPr>
        <w:t>。</w:t>
      </w:r>
    </w:p>
    <w:p>
      <w:pPr>
        <w:numPr>
          <w:ilvl w:val="0"/>
          <w:numId w:val="0"/>
        </w:numPr>
        <w:spacing w:line="360" w:lineRule="auto"/>
        <w:ind w:firstLine="480" w:firstLineChars="200"/>
        <w:jc w:val="both"/>
        <w:rPr>
          <w:rFonts w:hint="eastAsia" w:ascii="宋体" w:hAnsi="宋体" w:eastAsia="宋体" w:cs="宋体"/>
          <w:b w:val="0"/>
          <w:bCs w:val="0"/>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二、</w:t>
      </w:r>
      <w:r>
        <w:rPr>
          <w:rFonts w:hint="eastAsia" w:ascii="宋体" w:hAnsi="宋体" w:eastAsia="宋体" w:cs="宋体"/>
          <w:b w:val="0"/>
          <w:bCs w:val="0"/>
          <w:color w:val="auto"/>
          <w:kern w:val="0"/>
          <w:sz w:val="24"/>
          <w:szCs w:val="24"/>
          <w:lang w:val="en-US" w:eastAsia="zh-CN" w:bidi="ar"/>
        </w:rPr>
        <w:t>资格要求</w:t>
      </w:r>
    </w:p>
    <w:p>
      <w:pPr>
        <w:numPr>
          <w:ilvl w:val="0"/>
          <w:numId w:val="0"/>
        </w:numPr>
        <w:spacing w:line="360" w:lineRule="auto"/>
        <w:ind w:firstLine="480" w:firstLineChars="200"/>
        <w:jc w:val="both"/>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1.满足《中华人民共和国政府采购法》第二十二条规定：</w:t>
      </w:r>
    </w:p>
    <w:p>
      <w:pPr>
        <w:numPr>
          <w:ilvl w:val="0"/>
          <w:numId w:val="1"/>
        </w:numPr>
        <w:spacing w:line="360" w:lineRule="auto"/>
        <w:ind w:firstLine="480" w:firstLineChars="200"/>
        <w:jc w:val="both"/>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具有有效的营业执照；</w:t>
      </w:r>
    </w:p>
    <w:p>
      <w:pPr>
        <w:numPr>
          <w:ilvl w:val="0"/>
          <w:numId w:val="1"/>
        </w:numPr>
        <w:spacing w:line="360" w:lineRule="auto"/>
        <w:ind w:firstLine="480" w:firstLineChars="20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b w:val="0"/>
          <w:bCs w:val="0"/>
          <w:color w:val="auto"/>
          <w:kern w:val="0"/>
          <w:sz w:val="24"/>
          <w:szCs w:val="24"/>
          <w:lang w:val="en-US" w:eastAsia="zh-CN" w:bidi="ar"/>
        </w:rPr>
        <w:t>提供2022年度或2023年度由第三方财务审计机构出具的财务审计报告或提供银行</w:t>
      </w:r>
      <w:r>
        <w:rPr>
          <w:rFonts w:hint="eastAsia" w:ascii="宋体" w:hAnsi="宋体" w:eastAsia="宋体" w:cs="宋体"/>
          <w:color w:val="auto"/>
          <w:kern w:val="0"/>
          <w:sz w:val="24"/>
          <w:szCs w:val="24"/>
          <w:lang w:val="en-US" w:eastAsia="zh-CN" w:bidi="ar"/>
        </w:rPr>
        <w:t>出具的近一个月的资信证明；</w:t>
      </w:r>
    </w:p>
    <w:p>
      <w:pPr>
        <w:numPr>
          <w:ilvl w:val="0"/>
          <w:numId w:val="1"/>
        </w:numPr>
        <w:spacing w:line="360" w:lineRule="auto"/>
        <w:ind w:firstLine="480" w:firstLineChars="20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lang w:val="en-US" w:eastAsia="zh-CN" w:bidi="ar"/>
        </w:rPr>
        <w:t>提供税务机关出具近三个月的完税证明（新成立不足3个月的公司按实际发生提供，零申报的需提供依法报税资料），注：以完税证明税款所属日期为准，代缴税的完税证明不作为税务缴费凭证（如社保缴税等）</w:t>
      </w:r>
      <w:r>
        <w:rPr>
          <w:rFonts w:hint="eastAsia" w:ascii="宋体" w:hAnsi="宋体" w:cs="宋体"/>
          <w:color w:val="auto"/>
          <w:kern w:val="0"/>
          <w:sz w:val="24"/>
          <w:szCs w:val="24"/>
          <w:lang w:val="en-US" w:eastAsia="zh-CN" w:bidi="ar"/>
        </w:rPr>
        <w:t>；</w:t>
      </w:r>
    </w:p>
    <w:p>
      <w:pPr>
        <w:numPr>
          <w:ilvl w:val="0"/>
          <w:numId w:val="1"/>
        </w:numPr>
        <w:spacing w:line="360" w:lineRule="auto"/>
        <w:ind w:firstLine="480" w:firstLineChars="20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lang w:val="en-US" w:eastAsia="zh-CN" w:bidi="ar"/>
        </w:rPr>
        <w:t>提供本单位缴纳的近三个月社保缴纳证明（单位社保缴费凭证</w:t>
      </w:r>
      <w:r>
        <w:rPr>
          <w:rFonts w:hint="eastAsia" w:ascii="宋体" w:hAnsi="宋体" w:cs="宋体"/>
          <w:color w:val="auto"/>
          <w:kern w:val="0"/>
          <w:sz w:val="24"/>
          <w:szCs w:val="24"/>
          <w:lang w:val="en-US" w:eastAsia="zh-CN" w:bidi="ar"/>
        </w:rPr>
        <w:t>或个人缴纳明细</w:t>
      </w:r>
      <w:r>
        <w:rPr>
          <w:rFonts w:hint="eastAsia" w:ascii="宋体" w:hAnsi="宋体" w:eastAsia="宋体" w:cs="宋体"/>
          <w:color w:val="auto"/>
          <w:kern w:val="0"/>
          <w:sz w:val="24"/>
          <w:szCs w:val="24"/>
          <w:lang w:val="en-US" w:eastAsia="zh-CN" w:bidi="ar"/>
        </w:rPr>
        <w:t>，2023年</w:t>
      </w:r>
      <w:r>
        <w:rPr>
          <w:rFonts w:hint="eastAsia" w:ascii="宋体" w:hAnsi="宋体" w:cs="宋体"/>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月份后成立的公司按实际发生提供）；</w:t>
      </w:r>
    </w:p>
    <w:p>
      <w:pPr>
        <w:numPr>
          <w:ilvl w:val="0"/>
          <w:numId w:val="1"/>
        </w:numPr>
        <w:spacing w:line="360" w:lineRule="auto"/>
        <w:ind w:firstLine="480" w:firstLineChars="20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提供履行合同所必需的设备和专业技术能力的书面声明；</w:t>
      </w:r>
    </w:p>
    <w:p>
      <w:pPr>
        <w:numPr>
          <w:ilvl w:val="0"/>
          <w:numId w:val="1"/>
        </w:numPr>
        <w:spacing w:line="360" w:lineRule="auto"/>
        <w:ind w:firstLine="480" w:firstLineChars="20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提供参加政府采购活动前三年内在经营活动中没有重大违法记录的书面声明</w:t>
      </w:r>
      <w:r>
        <w:rPr>
          <w:rFonts w:hint="eastAsia" w:ascii="宋体" w:hAnsi="宋体" w:cs="宋体"/>
          <w:color w:val="auto"/>
          <w:kern w:val="0"/>
          <w:sz w:val="24"/>
          <w:szCs w:val="24"/>
          <w:highlight w:val="none"/>
          <w:lang w:val="en-US" w:eastAsia="zh-CN" w:bidi="ar"/>
        </w:rPr>
        <w:t>；</w:t>
      </w:r>
    </w:p>
    <w:p>
      <w:pPr>
        <w:numPr>
          <w:ilvl w:val="0"/>
          <w:numId w:val="1"/>
        </w:numPr>
        <w:spacing w:line="360" w:lineRule="auto"/>
        <w:ind w:firstLine="480" w:firstLineChars="20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lang w:val="en-US" w:eastAsia="zh-CN" w:bidi="ar"/>
        </w:rPr>
        <w:t>提供《法定代表人身份证明书》或《法定代表人授权委托书》；</w:t>
      </w:r>
    </w:p>
    <w:p>
      <w:pPr>
        <w:numPr>
          <w:ilvl w:val="0"/>
          <w:numId w:val="1"/>
        </w:numPr>
        <w:spacing w:line="360" w:lineRule="auto"/>
        <w:ind w:firstLine="480" w:firstLineChars="20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lang w:val="en-US" w:eastAsia="zh-CN" w:bidi="ar"/>
        </w:rPr>
        <w:t>近三年内（本项目投标截止期前）如在“信用中国（www.creditchina.gov.cn）”被列入失信被执行人、企业经营异常名录、税收违法黑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的将拒绝其参本次政府采购活动（截屏盖章）</w:t>
      </w:r>
    </w:p>
    <w:p>
      <w:pPr>
        <w:numPr>
          <w:ilvl w:val="0"/>
          <w:numId w:val="0"/>
        </w:numPr>
        <w:spacing w:line="360" w:lineRule="auto"/>
        <w:jc w:val="both"/>
        <w:rPr>
          <w:rFonts w:hint="default" w:ascii="宋体" w:hAnsi="宋体" w:eastAsia="宋体" w:cs="宋体"/>
          <w:color w:val="auto"/>
          <w:kern w:val="0"/>
          <w:sz w:val="24"/>
          <w:szCs w:val="24"/>
          <w:highlight w:val="none"/>
          <w:lang w:val="en-US" w:eastAsia="zh-CN" w:bidi="ar"/>
        </w:rPr>
      </w:pPr>
      <w:r>
        <w:rPr>
          <w:rFonts w:hint="default" w:ascii="宋体" w:hAnsi="宋体" w:eastAsia="宋体" w:cs="宋体"/>
          <w:color w:val="auto"/>
          <w:kern w:val="0"/>
          <w:sz w:val="24"/>
          <w:szCs w:val="24"/>
          <w:highlight w:val="none"/>
          <w:lang w:val="en-US" w:eastAsia="zh-CN" w:bidi="ar"/>
        </w:rPr>
        <w:t>2.落实政府采购政策需满足的资格要求：</w:t>
      </w:r>
    </w:p>
    <w:p>
      <w:pPr>
        <w:numPr>
          <w:ilvl w:val="0"/>
          <w:numId w:val="0"/>
        </w:numPr>
        <w:spacing w:line="360" w:lineRule="auto"/>
        <w:ind w:firstLine="480" w:firstLineChars="200"/>
        <w:jc w:val="both"/>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本项目专门面向中小企业采购，提供有效的中小企业声明函；本项目所属行业为：其他未列明行业；</w:t>
      </w:r>
    </w:p>
    <w:p>
      <w:pPr>
        <w:numPr>
          <w:ilvl w:val="0"/>
          <w:numId w:val="0"/>
        </w:numPr>
        <w:spacing w:line="360" w:lineRule="auto"/>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3.本项目的特定资格要求：</w:t>
      </w:r>
    </w:p>
    <w:p>
      <w:pPr>
        <w:numPr>
          <w:ilvl w:val="0"/>
          <w:numId w:val="0"/>
        </w:numPr>
        <w:spacing w:line="360" w:lineRule="auto"/>
        <w:ind w:firstLine="480" w:firstLineChars="200"/>
        <w:jc w:val="both"/>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供应商应满足《消防技术服务机构从业条件》(应急[2019]88号)文件要求，并在“社会消防技术服务信息系统”登记备案。</w:t>
      </w:r>
    </w:p>
    <w:p>
      <w:pPr>
        <w:numPr>
          <w:ilvl w:val="0"/>
          <w:numId w:val="0"/>
        </w:numPr>
        <w:spacing w:line="360" w:lineRule="auto"/>
        <w:ind w:firstLine="480" w:firstLineChars="200"/>
        <w:jc w:val="both"/>
        <w:rPr>
          <w:rFonts w:hint="eastAsia" w:ascii="宋体" w:hAnsi="宋体" w:cs="宋体"/>
          <w:b w:val="0"/>
          <w:bCs w:val="0"/>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三、技术、服务要求</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1、根据国家和地方有关建筑消防设施的法规和技术规范，提供</w:t>
      </w:r>
      <w:r>
        <w:rPr>
          <w:rFonts w:hint="eastAsia" w:ascii="宋体" w:hAnsi="宋体" w:eastAsia="宋体" w:cs="宋体"/>
          <w:b w:val="0"/>
          <w:bCs w:val="0"/>
          <w:color w:val="auto"/>
          <w:kern w:val="0"/>
          <w:sz w:val="24"/>
          <w:szCs w:val="24"/>
          <w:lang w:val="en-US" w:eastAsia="zh-CN" w:bidi="ar"/>
        </w:rPr>
        <w:t>消防</w:t>
      </w:r>
      <w:r>
        <w:rPr>
          <w:rFonts w:hint="eastAsia" w:ascii="宋体" w:hAnsi="宋体" w:cs="宋体"/>
          <w:b w:val="0"/>
          <w:bCs w:val="0"/>
          <w:color w:val="auto"/>
          <w:kern w:val="0"/>
          <w:sz w:val="24"/>
          <w:szCs w:val="24"/>
          <w:lang w:val="en-US" w:eastAsia="zh-CN" w:bidi="ar"/>
        </w:rPr>
        <w:t>检测</w:t>
      </w:r>
      <w:r>
        <w:rPr>
          <w:rFonts w:hint="default" w:ascii="宋体" w:hAnsi="宋体" w:cs="宋体"/>
          <w:color w:val="auto"/>
          <w:kern w:val="0"/>
          <w:sz w:val="24"/>
          <w:szCs w:val="24"/>
          <w:lang w:val="en-US" w:eastAsia="zh-CN" w:bidi="ar"/>
        </w:rPr>
        <w:t>服务，</w:t>
      </w:r>
      <w:r>
        <w:rPr>
          <w:rFonts w:hint="eastAsia" w:ascii="宋体" w:hAnsi="宋体" w:cs="宋体"/>
          <w:color w:val="auto"/>
          <w:kern w:val="0"/>
          <w:sz w:val="24"/>
          <w:szCs w:val="24"/>
          <w:lang w:val="en-US" w:eastAsia="zh-CN" w:bidi="ar"/>
        </w:rPr>
        <w:t>测试所有</w:t>
      </w:r>
      <w:r>
        <w:rPr>
          <w:rFonts w:hint="default" w:ascii="宋体" w:hAnsi="宋体" w:cs="宋体"/>
          <w:color w:val="auto"/>
          <w:kern w:val="0"/>
          <w:sz w:val="24"/>
          <w:szCs w:val="24"/>
          <w:lang w:val="en-US" w:eastAsia="zh-CN" w:bidi="ar"/>
        </w:rPr>
        <w:t>消防设施设备</w:t>
      </w:r>
      <w:r>
        <w:rPr>
          <w:rFonts w:hint="eastAsia" w:ascii="宋体" w:hAnsi="宋体" w:cs="宋体"/>
          <w:color w:val="auto"/>
          <w:kern w:val="0"/>
          <w:sz w:val="24"/>
          <w:szCs w:val="24"/>
          <w:lang w:val="en-US" w:eastAsia="zh-CN" w:bidi="ar"/>
        </w:rPr>
        <w:t>是否</w:t>
      </w:r>
      <w:r>
        <w:rPr>
          <w:rFonts w:hint="default" w:ascii="宋体" w:hAnsi="宋体" w:cs="宋体"/>
          <w:color w:val="auto"/>
          <w:kern w:val="0"/>
          <w:sz w:val="24"/>
          <w:szCs w:val="24"/>
          <w:lang w:val="en-US" w:eastAsia="zh-CN" w:bidi="ar"/>
        </w:rPr>
        <w:t>正常运行，</w:t>
      </w:r>
      <w:r>
        <w:rPr>
          <w:rFonts w:hint="eastAsia" w:ascii="宋体" w:hAnsi="宋体" w:cs="宋体"/>
          <w:color w:val="auto"/>
          <w:kern w:val="0"/>
          <w:sz w:val="24"/>
          <w:szCs w:val="24"/>
          <w:lang w:val="en-US" w:eastAsia="zh-CN" w:bidi="ar"/>
        </w:rPr>
        <w:t>检测</w:t>
      </w:r>
      <w:r>
        <w:rPr>
          <w:rFonts w:hint="default" w:ascii="宋体" w:hAnsi="宋体" w:cs="宋体"/>
          <w:color w:val="auto"/>
          <w:kern w:val="0"/>
          <w:sz w:val="24"/>
          <w:szCs w:val="24"/>
          <w:lang w:val="en-US" w:eastAsia="zh-CN" w:bidi="ar"/>
        </w:rPr>
        <w:t>人员需具备相应资质并持证上岗</w:t>
      </w:r>
      <w:r>
        <w:rPr>
          <w:rFonts w:hint="eastAsia" w:ascii="宋体" w:hAnsi="宋体" w:cs="宋体"/>
          <w:color w:val="auto"/>
          <w:kern w:val="0"/>
          <w:sz w:val="24"/>
          <w:szCs w:val="24"/>
          <w:lang w:val="en-US" w:eastAsia="zh-CN" w:bidi="ar"/>
        </w:rPr>
        <w:t>（提供有效的证书）</w:t>
      </w:r>
      <w:r>
        <w:rPr>
          <w:rFonts w:hint="default" w:ascii="宋体" w:hAnsi="宋体" w:cs="宋体"/>
          <w:color w:val="auto"/>
          <w:kern w:val="0"/>
          <w:sz w:val="24"/>
          <w:szCs w:val="24"/>
          <w:lang w:val="en-US" w:eastAsia="zh-CN" w:bidi="ar"/>
        </w:rPr>
        <w:t>。</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2、对</w:t>
      </w:r>
      <w:r>
        <w:rPr>
          <w:rFonts w:hint="eastAsia" w:ascii="宋体" w:hAnsi="宋体" w:cs="宋体"/>
          <w:color w:val="auto"/>
          <w:kern w:val="0"/>
          <w:sz w:val="24"/>
          <w:szCs w:val="24"/>
          <w:lang w:val="en-US" w:eastAsia="zh-CN" w:bidi="ar"/>
        </w:rPr>
        <w:t>所有</w:t>
      </w:r>
      <w:r>
        <w:rPr>
          <w:rFonts w:hint="default" w:ascii="宋体" w:hAnsi="宋体" w:cs="宋体"/>
          <w:color w:val="auto"/>
          <w:kern w:val="0"/>
          <w:sz w:val="24"/>
          <w:szCs w:val="24"/>
          <w:lang w:val="en-US" w:eastAsia="zh-CN" w:bidi="ar"/>
        </w:rPr>
        <w:t>消防设施设备</w:t>
      </w:r>
      <w:r>
        <w:rPr>
          <w:rFonts w:hint="eastAsia" w:ascii="宋体" w:hAnsi="宋体" w:cs="宋体"/>
          <w:color w:val="auto"/>
          <w:kern w:val="0"/>
          <w:sz w:val="24"/>
          <w:szCs w:val="24"/>
          <w:lang w:val="en-US" w:eastAsia="zh-CN" w:bidi="ar"/>
        </w:rPr>
        <w:t>逐一</w:t>
      </w:r>
      <w:r>
        <w:rPr>
          <w:rFonts w:hint="default" w:ascii="宋体" w:hAnsi="宋体" w:cs="宋体"/>
          <w:color w:val="auto"/>
          <w:kern w:val="0"/>
          <w:sz w:val="24"/>
          <w:szCs w:val="24"/>
          <w:lang w:val="en-US" w:eastAsia="zh-CN" w:bidi="ar"/>
        </w:rPr>
        <w:t>进行</w:t>
      </w:r>
      <w:r>
        <w:rPr>
          <w:rFonts w:hint="eastAsia" w:ascii="宋体" w:hAnsi="宋体" w:cs="宋体"/>
          <w:color w:val="auto"/>
          <w:kern w:val="0"/>
          <w:sz w:val="24"/>
          <w:szCs w:val="24"/>
          <w:lang w:val="en-US" w:eastAsia="zh-CN" w:bidi="ar"/>
        </w:rPr>
        <w:t>检测</w:t>
      </w:r>
      <w:r>
        <w:rPr>
          <w:rFonts w:hint="default" w:ascii="宋体" w:hAnsi="宋体" w:cs="宋体"/>
          <w:color w:val="auto"/>
          <w:kern w:val="0"/>
          <w:sz w:val="24"/>
          <w:szCs w:val="24"/>
          <w:lang w:val="en-US" w:eastAsia="zh-CN" w:bidi="ar"/>
        </w:rPr>
        <w:t>，提供详细的消防系统设施设备检测记录及</w:t>
      </w:r>
      <w:r>
        <w:rPr>
          <w:rFonts w:hint="eastAsia" w:ascii="宋体" w:hAnsi="宋体" w:cs="宋体"/>
          <w:color w:val="auto"/>
          <w:kern w:val="0"/>
          <w:sz w:val="24"/>
          <w:szCs w:val="24"/>
          <w:lang w:val="en-US" w:eastAsia="zh-CN" w:bidi="ar"/>
        </w:rPr>
        <w:t>检测</w:t>
      </w:r>
      <w:r>
        <w:rPr>
          <w:rFonts w:hint="default" w:ascii="宋体" w:hAnsi="宋体" w:cs="宋体"/>
          <w:color w:val="auto"/>
          <w:kern w:val="0"/>
          <w:sz w:val="24"/>
          <w:szCs w:val="24"/>
          <w:lang w:val="en-US" w:eastAsia="zh-CN" w:bidi="ar"/>
        </w:rPr>
        <w:t>报告，及时反馈消防设施设备的运行情况</w:t>
      </w:r>
      <w:r>
        <w:rPr>
          <w:rFonts w:hint="eastAsia" w:ascii="宋体" w:hAnsi="宋体" w:cs="宋体"/>
          <w:color w:val="auto"/>
          <w:kern w:val="0"/>
          <w:sz w:val="24"/>
          <w:szCs w:val="24"/>
          <w:lang w:val="en-US" w:eastAsia="zh-CN" w:bidi="ar"/>
        </w:rPr>
        <w:t>，检测过程中对消防设施设备存在的问题及时向甲方反馈并提出整改意见，最终出具合格检测报告。</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四</w:t>
      </w:r>
      <w:r>
        <w:rPr>
          <w:rFonts w:hint="default" w:ascii="宋体" w:hAnsi="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检测</w:t>
      </w:r>
      <w:r>
        <w:rPr>
          <w:rFonts w:hint="default" w:ascii="宋体" w:hAnsi="宋体" w:cs="宋体"/>
          <w:color w:val="auto"/>
          <w:kern w:val="0"/>
          <w:sz w:val="24"/>
          <w:szCs w:val="24"/>
          <w:lang w:val="en-US" w:eastAsia="zh-CN" w:bidi="ar"/>
        </w:rPr>
        <w:t>内容</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（一）火灾自动报警系统</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（二）消火栓系统</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（三）自动喷水灭火系统</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（四）气体灭火系统</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（五）防火分隔设施</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六</w:t>
      </w:r>
      <w:r>
        <w:rPr>
          <w:rFonts w:hint="default" w:ascii="宋体" w:hAnsi="宋体" w:cs="宋体"/>
          <w:color w:val="auto"/>
          <w:kern w:val="0"/>
          <w:sz w:val="24"/>
          <w:szCs w:val="24"/>
          <w:lang w:val="en-US" w:eastAsia="zh-CN" w:bidi="ar"/>
        </w:rPr>
        <w:t>）防排烟系统</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七</w:t>
      </w:r>
      <w:r>
        <w:rPr>
          <w:rFonts w:hint="default" w:ascii="宋体" w:hAnsi="宋体" w:cs="宋体"/>
          <w:color w:val="auto"/>
          <w:kern w:val="0"/>
          <w:sz w:val="24"/>
          <w:szCs w:val="24"/>
          <w:lang w:val="en-US" w:eastAsia="zh-CN" w:bidi="ar"/>
        </w:rPr>
        <w:t>）应急照明及疏散指示系统</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八</w:t>
      </w:r>
      <w:r>
        <w:rPr>
          <w:rFonts w:hint="default" w:ascii="宋体" w:hAnsi="宋体" w:cs="宋体"/>
          <w:color w:val="auto"/>
          <w:kern w:val="0"/>
          <w:sz w:val="24"/>
          <w:szCs w:val="24"/>
          <w:lang w:val="en-US" w:eastAsia="zh-CN" w:bidi="ar"/>
        </w:rPr>
        <w:t>）相关消防设施设备</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default" w:ascii="宋体" w:hAnsi="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九</w:t>
      </w:r>
      <w:r>
        <w:rPr>
          <w:rFonts w:hint="default" w:ascii="宋体" w:hAnsi="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防火卷帘</w:t>
      </w: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注：</w:t>
      </w:r>
      <w:r>
        <w:rPr>
          <w:rFonts w:hint="default" w:ascii="宋体" w:hAnsi="宋体" w:cs="宋体"/>
          <w:color w:val="auto"/>
          <w:kern w:val="0"/>
          <w:sz w:val="24"/>
          <w:szCs w:val="24"/>
          <w:lang w:val="en-US" w:eastAsia="zh-CN" w:bidi="ar"/>
        </w:rPr>
        <w:t>消防设施设备</w:t>
      </w:r>
      <w:r>
        <w:rPr>
          <w:rFonts w:hint="eastAsia" w:ascii="宋体" w:hAnsi="宋体" w:cs="宋体"/>
          <w:color w:val="auto"/>
          <w:kern w:val="0"/>
          <w:sz w:val="24"/>
          <w:szCs w:val="24"/>
          <w:lang w:val="en-US" w:eastAsia="zh-CN" w:bidi="ar"/>
        </w:rPr>
        <w:t>检测</w:t>
      </w:r>
      <w:r>
        <w:rPr>
          <w:rFonts w:hint="default" w:ascii="宋体" w:hAnsi="宋体" w:cs="宋体"/>
          <w:color w:val="auto"/>
          <w:kern w:val="0"/>
          <w:sz w:val="24"/>
          <w:szCs w:val="24"/>
          <w:lang w:val="en-US" w:eastAsia="zh-CN" w:bidi="ar"/>
        </w:rPr>
        <w:t>内容包括但不限于以上</w:t>
      </w:r>
      <w:r>
        <w:rPr>
          <w:rFonts w:hint="eastAsia" w:ascii="宋体" w:hAnsi="宋体" w:cs="宋体"/>
          <w:color w:val="auto"/>
          <w:kern w:val="0"/>
          <w:sz w:val="24"/>
          <w:szCs w:val="24"/>
          <w:lang w:val="en-US" w:eastAsia="zh-CN" w:bidi="ar"/>
        </w:rPr>
        <w:t>设施设备</w:t>
      </w:r>
      <w:r>
        <w:rPr>
          <w:rFonts w:hint="default" w:ascii="宋体" w:hAnsi="宋体" w:cs="宋体"/>
          <w:color w:val="auto"/>
          <w:kern w:val="0"/>
          <w:sz w:val="24"/>
          <w:szCs w:val="24"/>
          <w:lang w:val="en-US" w:eastAsia="zh-CN" w:bidi="ar"/>
        </w:rPr>
        <w:t>，与消防系统相关联的都应在内。</w:t>
      </w:r>
    </w:p>
    <w:p>
      <w:pPr>
        <w:keepNext w:val="0"/>
        <w:pageBreakBefore w:val="0"/>
        <w:kinsoku/>
        <w:wordWrap/>
        <w:overflowPunct/>
        <w:topLinePunct w:val="0"/>
        <w:autoSpaceDE/>
        <w:autoSpaceDN/>
        <w:bidi w:val="0"/>
        <w:spacing w:line="360" w:lineRule="auto"/>
        <w:ind w:left="0" w:leftChars="0" w:right="0" w:firstLine="480" w:firstLineChars="200"/>
        <w:rPr>
          <w:rFonts w:hint="eastAsia" w:ascii="宋体" w:hAnsi="宋体" w:eastAsia="宋体" w:cs="宋体"/>
          <w:color w:val="000000"/>
          <w:sz w:val="24"/>
          <w:szCs w:val="24"/>
          <w:highlight w:val="none"/>
          <w:lang w:val="en-US" w:eastAsia="zh-CN"/>
        </w:rPr>
      </w:pPr>
      <w:r>
        <w:rPr>
          <w:rFonts w:hint="default" w:ascii="宋体" w:hAnsi="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五</w:t>
      </w:r>
      <w:r>
        <w:rPr>
          <w:rFonts w:hint="default" w:ascii="宋体" w:hAnsi="宋体" w:cs="宋体"/>
          <w:color w:val="auto"/>
          <w:kern w:val="0"/>
          <w:sz w:val="24"/>
          <w:szCs w:val="24"/>
          <w:lang w:val="en-US" w:eastAsia="zh-CN" w:bidi="ar"/>
        </w:rPr>
        <w:t>、</w:t>
      </w:r>
      <w:r>
        <w:rPr>
          <w:rFonts w:hint="eastAsia" w:ascii="宋体" w:hAnsi="宋体" w:eastAsia="宋体" w:cs="宋体"/>
          <w:color w:val="000000"/>
          <w:sz w:val="24"/>
          <w:szCs w:val="24"/>
          <w:highlight w:val="none"/>
          <w:lang w:val="en-US" w:eastAsia="zh-CN"/>
        </w:rPr>
        <w:t>报价要求</w:t>
      </w:r>
    </w:p>
    <w:p>
      <w:pPr>
        <w:keepNext w:val="0"/>
        <w:pageBreakBefore w:val="0"/>
        <w:numPr>
          <w:ilvl w:val="0"/>
          <w:numId w:val="2"/>
        </w:numPr>
        <w:kinsoku/>
        <w:wordWrap/>
        <w:overflowPunct/>
        <w:topLinePunct w:val="0"/>
        <w:autoSpaceDE/>
        <w:autoSpaceDN/>
        <w:bidi w:val="0"/>
        <w:spacing w:line="360" w:lineRule="auto"/>
        <w:ind w:left="0" w:leftChars="0" w:right="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总报价应包括各种人力成本、设备成本、资料费、服务费、税费及合同实施过程中的所有费用。</w:t>
      </w:r>
    </w:p>
    <w:p>
      <w:pPr>
        <w:keepNext w:val="0"/>
        <w:pageBreakBefore w:val="0"/>
        <w:kinsoku/>
        <w:wordWrap/>
        <w:overflowPunct/>
        <w:topLinePunct w:val="0"/>
        <w:autoSpaceDE/>
        <w:autoSpaceDN/>
        <w:bidi w:val="0"/>
        <w:spacing w:line="360" w:lineRule="auto"/>
        <w:ind w:left="0" w:leftChars="0" w:right="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2、报价不能超过该项目的最高限价，须精确到小数点后两位，如未按要求报价则为无效投标文件处理。</w:t>
      </w:r>
    </w:p>
    <w:p>
      <w:pPr>
        <w:keepNext w:val="0"/>
        <w:pageBreakBefore w:val="0"/>
        <w:kinsoku/>
        <w:wordWrap/>
        <w:overflowPunct/>
        <w:topLinePunct w:val="0"/>
        <w:autoSpaceDE/>
        <w:autoSpaceDN/>
        <w:bidi w:val="0"/>
        <w:spacing w:line="360" w:lineRule="auto"/>
        <w:ind w:left="0" w:leftChars="0" w:right="0" w:firstLine="720" w:firstLineChars="3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投标报价风险</w:t>
      </w:r>
    </w:p>
    <w:p>
      <w:pPr>
        <w:keepNext w:val="0"/>
        <w:pageBreakBefore w:val="0"/>
        <w:kinsoku/>
        <w:wordWrap/>
        <w:overflowPunct/>
        <w:topLinePunct w:val="0"/>
        <w:autoSpaceDE/>
        <w:autoSpaceDN/>
        <w:bidi w:val="0"/>
        <w:spacing w:line="360" w:lineRule="auto"/>
        <w:ind w:left="0" w:leftChars="0" w:right="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★投标报价已包含完成本项目所需的人力成本、投入成本、利润、税金、交通、中标服务费及其他相关费用等，采购人将不予支付除招标文件及承包合同约定的由投标人承担的风险因素之外的任何补偿。</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firstLine="480" w:firstLineChars="200"/>
        <w:textAlignment w:val="baseline"/>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本项目周围环境等客观因素对项目实施影响</w:t>
      </w:r>
      <w:r>
        <w:rPr>
          <w:rFonts w:hint="eastAsia" w:cs="宋体"/>
          <w:color w:val="000000"/>
          <w:sz w:val="24"/>
          <w:szCs w:val="24"/>
          <w:highlight w:val="none"/>
          <w:lang w:val="en-US" w:eastAsia="zh-CN"/>
        </w:rPr>
        <w:t>较</w:t>
      </w:r>
      <w:r>
        <w:rPr>
          <w:rFonts w:hint="eastAsia" w:ascii="宋体" w:hAnsi="宋体" w:eastAsia="宋体" w:cs="宋体"/>
          <w:color w:val="000000"/>
          <w:sz w:val="24"/>
          <w:szCs w:val="24"/>
          <w:highlight w:val="none"/>
          <w:lang w:val="en-US" w:eastAsia="zh-CN"/>
        </w:rPr>
        <w:t>大，难以将具体情况描述到位，投标人可通过自行现场踏勘掌握本项目的客观资料，便于制定科学的实施方案和风险分析，也可以准确拟定投标价格标准。投标人因未进行现场踏勘影响投标报价、方案编制的，由投标人自行承担。</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firstLine="480" w:firstLineChars="200"/>
        <w:textAlignment w:val="baseline"/>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bidi="ar-SA"/>
        </w:rPr>
        <w:t>因供应商自身不能参加现场勘查或现场踏勘不全面的，供应商不得因此提出修改投标报价或提出索赔等要求，须在投标文件中提供书面承诺书。</w:t>
      </w:r>
    </w:p>
    <w:p>
      <w:pPr>
        <w:keepNext w:val="0"/>
        <w:pageBreakBefore w:val="0"/>
        <w:numPr>
          <w:ilvl w:val="0"/>
          <w:numId w:val="0"/>
        </w:numPr>
        <w:kinsoku/>
        <w:wordWrap/>
        <w:overflowPunct/>
        <w:topLinePunct w:val="0"/>
        <w:autoSpaceDE/>
        <w:autoSpaceDN/>
        <w:bidi w:val="0"/>
        <w:spacing w:line="360" w:lineRule="auto"/>
        <w:ind w:leftChars="200" w:right="0" w:rightChars="0"/>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管理要求</w:t>
      </w:r>
    </w:p>
    <w:p>
      <w:pPr>
        <w:pStyle w:val="5"/>
        <w:pageBreakBefore w:val="0"/>
        <w:numPr>
          <w:ilvl w:val="0"/>
          <w:numId w:val="3"/>
        </w:numPr>
        <w:tabs>
          <w:tab w:val="left" w:pos="1281"/>
        </w:tabs>
        <w:kinsoku/>
        <w:wordWrap/>
        <w:overflowPunct/>
        <w:topLinePunct w:val="0"/>
        <w:autoSpaceDE/>
        <w:autoSpaceDN/>
        <w:bidi w:val="0"/>
        <w:spacing w:before="0" w:after="0" w:line="360" w:lineRule="auto"/>
        <w:ind w:left="0" w:leftChars="0" w:right="0" w:rightChars="0" w:firstLine="480" w:firstLineChars="200"/>
        <w:jc w:val="left"/>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★成交供应商必须切实做好安全工作，加强作业时的安全保障，在任何情况下都要注意安全。一切安全事故均由成交供应商自行负责（响应时须提供承诺函，格式自定）。</w:t>
      </w:r>
    </w:p>
    <w:p>
      <w:pPr>
        <w:pStyle w:val="5"/>
        <w:pageBreakBefore w:val="0"/>
        <w:numPr>
          <w:ilvl w:val="0"/>
          <w:numId w:val="3"/>
        </w:numPr>
        <w:tabs>
          <w:tab w:val="left" w:pos="1281"/>
        </w:tabs>
        <w:kinsoku/>
        <w:wordWrap/>
        <w:overflowPunct/>
        <w:topLinePunct w:val="0"/>
        <w:autoSpaceDE/>
        <w:autoSpaceDN/>
        <w:bidi w:val="0"/>
        <w:spacing w:before="0" w:after="0" w:line="360" w:lineRule="auto"/>
        <w:ind w:left="0" w:leftChars="0" w:right="0" w:rightChars="0" w:firstLine="480" w:firstLineChars="200"/>
        <w:jc w:val="both"/>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★成交供应商不得将本项目的全部或任何部分分包和转包给他人，如在项目实施过程中，经采购人发现有此情况，采购人有权终止合同，由此造成的责任由成交供应商负责（响应时须提供承诺函</w:t>
      </w:r>
      <w:r>
        <w:rPr>
          <w:rFonts w:hint="eastAsia" w:ascii="宋体" w:hAnsi="宋体" w:cs="宋体"/>
          <w:b w:val="0"/>
          <w:bCs w:val="0"/>
          <w:color w:val="000000"/>
          <w:sz w:val="24"/>
          <w:szCs w:val="24"/>
          <w:highlight w:val="none"/>
          <w:lang w:val="en-US" w:eastAsia="zh-CN" w:bidi="ar-SA"/>
        </w:rPr>
        <w:t>，</w:t>
      </w:r>
      <w:r>
        <w:rPr>
          <w:rFonts w:hint="eastAsia" w:ascii="宋体" w:hAnsi="宋体" w:eastAsia="宋体" w:cs="宋体"/>
          <w:b w:val="0"/>
          <w:bCs w:val="0"/>
          <w:color w:val="000000"/>
          <w:sz w:val="24"/>
          <w:szCs w:val="24"/>
          <w:highlight w:val="none"/>
          <w:lang w:val="en-US" w:eastAsia="zh-CN" w:bidi="ar-SA"/>
        </w:rPr>
        <w:t>格式自定）。</w:t>
      </w:r>
    </w:p>
    <w:p>
      <w:pPr>
        <w:pStyle w:val="18"/>
        <w:pageBreakBefore w:val="0"/>
        <w:numPr>
          <w:ilvl w:val="0"/>
          <w:numId w:val="3"/>
        </w:numPr>
        <w:tabs>
          <w:tab w:val="left" w:pos="1281"/>
        </w:tabs>
        <w:kinsoku/>
        <w:wordWrap/>
        <w:overflowPunct/>
        <w:topLinePunct w:val="0"/>
        <w:autoSpaceDE/>
        <w:autoSpaceDN/>
        <w:bidi w:val="0"/>
        <w:spacing w:before="0" w:after="0" w:line="360" w:lineRule="auto"/>
        <w:ind w:left="0" w:leftChars="0" w:right="0" w:rightChars="0" w:firstLine="480" w:firstLineChars="200"/>
        <w:jc w:val="left"/>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成交供应商必须严格按国家现行的相关标准及技术规范</w:t>
      </w:r>
      <w:r>
        <w:rPr>
          <w:rFonts w:hint="eastAsia" w:ascii="宋体" w:hAnsi="宋体" w:cs="宋体"/>
          <w:b w:val="0"/>
          <w:bCs w:val="0"/>
          <w:color w:val="000000"/>
          <w:sz w:val="24"/>
          <w:szCs w:val="24"/>
          <w:highlight w:val="none"/>
          <w:lang w:val="en-US" w:eastAsia="zh-CN" w:bidi="ar-SA"/>
        </w:rPr>
        <w:t>开展工作</w:t>
      </w:r>
      <w:r>
        <w:rPr>
          <w:rFonts w:hint="eastAsia" w:ascii="宋体" w:hAnsi="宋体" w:eastAsia="宋体" w:cs="宋体"/>
          <w:b w:val="0"/>
          <w:bCs w:val="0"/>
          <w:color w:val="000000"/>
          <w:sz w:val="24"/>
          <w:szCs w:val="24"/>
          <w:highlight w:val="none"/>
          <w:lang w:val="en-US" w:eastAsia="zh-CN" w:bidi="ar-SA"/>
        </w:rPr>
        <w:t>。成交供应商必须严格按照已经确认的</w:t>
      </w:r>
      <w:r>
        <w:rPr>
          <w:rFonts w:hint="eastAsia" w:ascii="宋体" w:hAnsi="宋体" w:cs="宋体"/>
          <w:b w:val="0"/>
          <w:bCs w:val="0"/>
          <w:color w:val="000000"/>
          <w:sz w:val="24"/>
          <w:szCs w:val="24"/>
          <w:highlight w:val="none"/>
          <w:lang w:val="en-US" w:eastAsia="zh-CN" w:bidi="ar-SA"/>
        </w:rPr>
        <w:t>咨询</w:t>
      </w:r>
      <w:r>
        <w:rPr>
          <w:rFonts w:hint="eastAsia" w:ascii="宋体" w:hAnsi="宋体" w:eastAsia="宋体" w:cs="宋体"/>
          <w:b w:val="0"/>
          <w:bCs w:val="0"/>
          <w:color w:val="000000"/>
          <w:sz w:val="24"/>
          <w:szCs w:val="24"/>
          <w:highlight w:val="none"/>
          <w:lang w:val="en-US" w:eastAsia="zh-CN" w:bidi="ar-SA"/>
        </w:rPr>
        <w:t>方案组织</w:t>
      </w:r>
      <w:r>
        <w:rPr>
          <w:rFonts w:hint="eastAsia" w:ascii="宋体" w:hAnsi="宋体" w:cs="宋体"/>
          <w:b w:val="0"/>
          <w:bCs w:val="0"/>
          <w:color w:val="000000"/>
          <w:sz w:val="24"/>
          <w:szCs w:val="24"/>
          <w:highlight w:val="none"/>
          <w:lang w:val="en-US" w:eastAsia="zh-CN" w:bidi="ar-SA"/>
        </w:rPr>
        <w:t>勘察</w:t>
      </w:r>
      <w:r>
        <w:rPr>
          <w:rFonts w:hint="eastAsia" w:ascii="宋体" w:hAnsi="宋体" w:eastAsia="宋体" w:cs="宋体"/>
          <w:b w:val="0"/>
          <w:bCs w:val="0"/>
          <w:color w:val="000000"/>
          <w:sz w:val="24"/>
          <w:szCs w:val="24"/>
          <w:highlight w:val="none"/>
          <w:lang w:val="en-US" w:eastAsia="zh-CN" w:bidi="ar-SA"/>
        </w:rPr>
        <w:t>，并接受采购人对质量、工期、安全、环保的监督和管理。</w:t>
      </w:r>
    </w:p>
    <w:p>
      <w:pPr>
        <w:pStyle w:val="18"/>
        <w:pageBreakBefore w:val="0"/>
        <w:numPr>
          <w:ilvl w:val="0"/>
          <w:numId w:val="3"/>
        </w:numPr>
        <w:tabs>
          <w:tab w:val="left" w:pos="1281"/>
        </w:tabs>
        <w:kinsoku/>
        <w:wordWrap/>
        <w:overflowPunct/>
        <w:topLinePunct w:val="0"/>
        <w:autoSpaceDE/>
        <w:autoSpaceDN/>
        <w:bidi w:val="0"/>
        <w:spacing w:before="0" w:after="0" w:line="360" w:lineRule="auto"/>
        <w:ind w:left="0" w:leftChars="0" w:right="0" w:rightChars="0" w:firstLine="480" w:firstLineChars="200"/>
        <w:jc w:val="left"/>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采购人不提供</w:t>
      </w:r>
      <w:r>
        <w:rPr>
          <w:rFonts w:hint="eastAsia" w:ascii="宋体" w:hAnsi="宋体" w:cs="宋体"/>
          <w:b w:val="0"/>
          <w:bCs w:val="0"/>
          <w:color w:val="000000"/>
          <w:sz w:val="24"/>
          <w:szCs w:val="24"/>
          <w:highlight w:val="none"/>
          <w:lang w:val="en-US" w:eastAsia="zh-CN" w:bidi="ar-SA"/>
        </w:rPr>
        <w:t>服务</w:t>
      </w:r>
      <w:r>
        <w:rPr>
          <w:rFonts w:hint="eastAsia" w:ascii="宋体" w:hAnsi="宋体" w:eastAsia="宋体" w:cs="宋体"/>
          <w:b w:val="0"/>
          <w:bCs w:val="0"/>
          <w:color w:val="000000"/>
          <w:sz w:val="24"/>
          <w:szCs w:val="24"/>
          <w:highlight w:val="none"/>
          <w:lang w:val="en-US" w:eastAsia="zh-CN" w:bidi="ar-SA"/>
        </w:rPr>
        <w:t>所需的食宿、办公场地，均由成交供应商自行解决，其费用成交供应商自理。</w:t>
      </w:r>
    </w:p>
    <w:p>
      <w:pPr>
        <w:pStyle w:val="18"/>
        <w:pageBreakBefore w:val="0"/>
        <w:numPr>
          <w:ilvl w:val="0"/>
          <w:numId w:val="3"/>
        </w:numPr>
        <w:tabs>
          <w:tab w:val="left" w:pos="1281"/>
        </w:tabs>
        <w:kinsoku/>
        <w:wordWrap/>
        <w:overflowPunct/>
        <w:topLinePunct w:val="0"/>
        <w:autoSpaceDE/>
        <w:autoSpaceDN/>
        <w:bidi w:val="0"/>
        <w:spacing w:before="0" w:after="0" w:line="360" w:lineRule="auto"/>
        <w:ind w:left="0" w:leftChars="0" w:right="0" w:rightChars="0" w:firstLine="480" w:firstLineChars="200"/>
        <w:jc w:val="left"/>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成交供应商一旦进场，必须严格遵守采购人的各项规章制度，包括但不限于：①在规定的地域施工和活动；②项目管理人员必须坚守岗位，因事需离开的，需提前向采购人请假，经采购人同意方可离开。</w:t>
      </w:r>
    </w:p>
    <w:p>
      <w:pPr>
        <w:pStyle w:val="18"/>
        <w:pageBreakBefore w:val="0"/>
        <w:numPr>
          <w:ilvl w:val="0"/>
          <w:numId w:val="3"/>
        </w:numPr>
        <w:tabs>
          <w:tab w:val="left" w:pos="1281"/>
        </w:tabs>
        <w:kinsoku/>
        <w:wordWrap/>
        <w:overflowPunct/>
        <w:topLinePunct w:val="0"/>
        <w:autoSpaceDE/>
        <w:autoSpaceDN/>
        <w:bidi w:val="0"/>
        <w:spacing w:before="0" w:after="0" w:line="360" w:lineRule="auto"/>
        <w:ind w:left="0" w:leftChars="0" w:right="0" w:rightChars="0" w:firstLine="480" w:firstLineChars="200"/>
        <w:jc w:val="left"/>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成交供应商在</w:t>
      </w:r>
      <w:r>
        <w:rPr>
          <w:rFonts w:hint="eastAsia" w:ascii="宋体" w:hAnsi="宋体" w:cs="宋体"/>
          <w:b w:val="0"/>
          <w:bCs w:val="0"/>
          <w:color w:val="000000"/>
          <w:sz w:val="24"/>
          <w:szCs w:val="24"/>
          <w:highlight w:val="none"/>
          <w:lang w:val="en-US" w:eastAsia="zh-CN" w:bidi="ar-SA"/>
        </w:rPr>
        <w:t>勘察服务</w:t>
      </w:r>
      <w:r>
        <w:rPr>
          <w:rFonts w:hint="eastAsia" w:ascii="宋体" w:hAnsi="宋体" w:eastAsia="宋体" w:cs="宋体"/>
          <w:b w:val="0"/>
          <w:bCs w:val="0"/>
          <w:color w:val="000000"/>
          <w:sz w:val="24"/>
          <w:szCs w:val="24"/>
          <w:highlight w:val="none"/>
          <w:lang w:val="en-US" w:eastAsia="zh-CN" w:bidi="ar-SA"/>
        </w:rPr>
        <w:t>期间应严格遵守国家、省、市有关防火、防爆、环卫、治安与城管等规定，并制定和落实安全生产及文明施工措施，</w:t>
      </w:r>
      <w:r>
        <w:rPr>
          <w:rFonts w:hint="eastAsia" w:ascii="宋体" w:hAnsi="宋体" w:cs="宋体"/>
          <w:b w:val="0"/>
          <w:bCs w:val="0"/>
          <w:color w:val="000000"/>
          <w:sz w:val="24"/>
          <w:szCs w:val="24"/>
          <w:highlight w:val="none"/>
          <w:lang w:val="en-US" w:eastAsia="zh-CN" w:bidi="ar-SA"/>
        </w:rPr>
        <w:t>服务</w:t>
      </w:r>
      <w:r>
        <w:rPr>
          <w:rFonts w:hint="eastAsia" w:ascii="宋体" w:hAnsi="宋体" w:eastAsia="宋体" w:cs="宋体"/>
          <w:b w:val="0"/>
          <w:bCs w:val="0"/>
          <w:color w:val="000000"/>
          <w:sz w:val="24"/>
          <w:szCs w:val="24"/>
          <w:highlight w:val="none"/>
          <w:lang w:val="en-US" w:eastAsia="zh-CN" w:bidi="ar-SA"/>
        </w:rPr>
        <w:t>期间必须严格管理</w:t>
      </w:r>
      <w:r>
        <w:rPr>
          <w:rFonts w:hint="eastAsia" w:ascii="宋体" w:hAnsi="宋体" w:cs="宋体"/>
          <w:b w:val="0"/>
          <w:bCs w:val="0"/>
          <w:color w:val="000000"/>
          <w:sz w:val="24"/>
          <w:szCs w:val="24"/>
          <w:highlight w:val="none"/>
          <w:lang w:val="en-US" w:eastAsia="zh-CN" w:bidi="ar-SA"/>
        </w:rPr>
        <w:t>现场</w:t>
      </w:r>
      <w:r>
        <w:rPr>
          <w:rFonts w:hint="eastAsia" w:ascii="宋体" w:hAnsi="宋体" w:eastAsia="宋体" w:cs="宋体"/>
          <w:b w:val="0"/>
          <w:bCs w:val="0"/>
          <w:color w:val="000000"/>
          <w:sz w:val="24"/>
          <w:szCs w:val="24"/>
          <w:highlight w:val="none"/>
          <w:lang w:val="en-US" w:eastAsia="zh-CN" w:bidi="ar-SA"/>
        </w:rPr>
        <w:t>人员，发生一切安全事故均由成交供应商自行负责。</w:t>
      </w:r>
    </w:p>
    <w:p>
      <w:pPr>
        <w:pStyle w:val="18"/>
        <w:pageBreakBefore w:val="0"/>
        <w:numPr>
          <w:ilvl w:val="0"/>
          <w:numId w:val="3"/>
        </w:numPr>
        <w:tabs>
          <w:tab w:val="left" w:pos="1281"/>
        </w:tabs>
        <w:kinsoku/>
        <w:wordWrap/>
        <w:overflowPunct/>
        <w:topLinePunct w:val="0"/>
        <w:autoSpaceDE/>
        <w:autoSpaceDN/>
        <w:bidi w:val="0"/>
        <w:spacing w:before="0" w:after="0" w:line="360" w:lineRule="auto"/>
        <w:ind w:left="0" w:leftChars="0" w:right="0" w:rightChars="0" w:firstLine="480" w:firstLineChars="200"/>
        <w:jc w:val="left"/>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成交供应商在</w:t>
      </w:r>
      <w:r>
        <w:rPr>
          <w:rFonts w:hint="eastAsia" w:ascii="宋体" w:hAnsi="宋体" w:cs="宋体"/>
          <w:b w:val="0"/>
          <w:bCs w:val="0"/>
          <w:color w:val="000000"/>
          <w:sz w:val="24"/>
          <w:szCs w:val="24"/>
          <w:highlight w:val="none"/>
          <w:lang w:val="en-US" w:eastAsia="zh-CN" w:bidi="ar-SA"/>
        </w:rPr>
        <w:t>勘察服务</w:t>
      </w:r>
      <w:r>
        <w:rPr>
          <w:rFonts w:hint="eastAsia" w:ascii="宋体" w:hAnsi="宋体" w:eastAsia="宋体" w:cs="宋体"/>
          <w:b w:val="0"/>
          <w:bCs w:val="0"/>
          <w:color w:val="000000"/>
          <w:sz w:val="24"/>
          <w:szCs w:val="24"/>
          <w:highlight w:val="none"/>
          <w:lang w:val="en-US" w:eastAsia="zh-CN" w:bidi="ar-SA"/>
        </w:rPr>
        <w:t>过程中，如遇到需与外部相关的单位协调的问题时，应自行解决，采购人只负责协助。</w:t>
      </w:r>
    </w:p>
    <w:p>
      <w:pPr>
        <w:pStyle w:val="18"/>
        <w:pageBreakBefore w:val="0"/>
        <w:numPr>
          <w:ilvl w:val="0"/>
          <w:numId w:val="3"/>
        </w:numPr>
        <w:tabs>
          <w:tab w:val="left" w:pos="1281"/>
        </w:tabs>
        <w:kinsoku/>
        <w:wordWrap/>
        <w:overflowPunct/>
        <w:topLinePunct w:val="0"/>
        <w:autoSpaceDE/>
        <w:autoSpaceDN/>
        <w:bidi w:val="0"/>
        <w:spacing w:before="0" w:after="0" w:line="360" w:lineRule="auto"/>
        <w:ind w:left="0" w:leftChars="0" w:right="0" w:rightChars="0" w:firstLine="480" w:firstLineChars="200"/>
        <w:jc w:val="left"/>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成交供应商所提供的资料必须属实，如发现虚假资料，采购人有权单方面终止合同，工程项目将另行处理，由此而造成的经济损失由成交供应商负责赔偿。</w:t>
      </w:r>
    </w:p>
    <w:p>
      <w:pPr>
        <w:pStyle w:val="18"/>
        <w:keepNext w:val="0"/>
        <w:pageBreakBefore w:val="0"/>
        <w:numPr>
          <w:ilvl w:val="0"/>
          <w:numId w:val="0"/>
        </w:numPr>
        <w:tabs>
          <w:tab w:val="left" w:pos="1194"/>
        </w:tabs>
        <w:kinsoku/>
        <w:wordWrap/>
        <w:overflowPunct/>
        <w:topLinePunct w:val="0"/>
        <w:autoSpaceDE/>
        <w:autoSpaceDN/>
        <w:bidi w:val="0"/>
        <w:spacing w:before="0" w:line="360" w:lineRule="auto"/>
        <w:ind w:left="0" w:leftChars="0" w:right="0" w:rightChars="0" w:firstLine="480" w:firstLineChars="20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bidi="ar-SA"/>
        </w:rPr>
        <w:t>中标人负责其派出现场人员人身意外保险，保额不低于50万元。（提供承诺函，格式自拟）</w:t>
      </w:r>
    </w:p>
    <w:p>
      <w:pPr>
        <w:keepNext w:val="0"/>
        <w:keepLines w:val="0"/>
        <w:pageBreakBefore w:val="0"/>
        <w:widowControl/>
        <w:tabs>
          <w:tab w:val="left" w:pos="360"/>
          <w:tab w:val="left" w:pos="1030"/>
        </w:tabs>
        <w:kinsoku/>
        <w:wordWrap/>
        <w:overflowPunct/>
        <w:topLinePunct w:val="0"/>
        <w:autoSpaceDE/>
        <w:autoSpaceDN/>
        <w:bidi w:val="0"/>
        <w:adjustRightInd/>
        <w:snapToGrid w:val="0"/>
        <w:spacing w:line="360" w:lineRule="auto"/>
        <w:ind w:left="0" w:leftChars="0" w:right="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★为确保本项目顺利完成，供应商必须承诺：承诺在中标后所投入的专业技术人员为本企业人专业技术人员，并与投标文件提供的专业技术人员一致的承诺书。</w:t>
      </w:r>
    </w:p>
    <w:p>
      <w:pPr>
        <w:keepNext w:val="0"/>
        <w:keepLines w:val="0"/>
        <w:pageBreakBefore w:val="0"/>
        <w:widowControl/>
        <w:tabs>
          <w:tab w:val="left" w:pos="360"/>
          <w:tab w:val="left" w:pos="1030"/>
        </w:tabs>
        <w:kinsoku/>
        <w:wordWrap/>
        <w:overflowPunct/>
        <w:topLinePunct w:val="0"/>
        <w:autoSpaceDE/>
        <w:autoSpaceDN/>
        <w:bidi w:val="0"/>
        <w:adjustRightInd/>
        <w:snapToGrid w:val="0"/>
        <w:spacing w:line="360" w:lineRule="auto"/>
        <w:ind w:left="0" w:leftChars="0" w:right="0" w:firstLine="480" w:firstLineChars="200"/>
        <w:textAlignment w:val="auto"/>
        <w:rPr>
          <w:rFonts w:hint="default"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六、</w:t>
      </w:r>
      <w:r>
        <w:rPr>
          <w:rFonts w:hint="default" w:ascii="宋体" w:hAnsi="宋体" w:cs="宋体"/>
          <w:color w:val="auto"/>
          <w:kern w:val="0"/>
          <w:sz w:val="24"/>
          <w:szCs w:val="24"/>
          <w:lang w:val="en-US" w:eastAsia="zh-CN" w:bidi="ar"/>
        </w:rPr>
        <w:t>付款方式：</w:t>
      </w:r>
      <w:r>
        <w:rPr>
          <w:rFonts w:hint="eastAsia" w:ascii="宋体" w:hAnsi="宋体" w:cs="宋体"/>
          <w:color w:val="auto"/>
          <w:kern w:val="0"/>
          <w:sz w:val="24"/>
          <w:szCs w:val="24"/>
          <w:lang w:val="en-US" w:eastAsia="zh-CN" w:bidi="ar"/>
        </w:rPr>
        <w:t>具体以合同签订为准</w:t>
      </w:r>
    </w:p>
    <w:p>
      <w:pPr>
        <w:numPr>
          <w:ilvl w:val="0"/>
          <w:numId w:val="0"/>
        </w:numPr>
        <w:spacing w:line="360" w:lineRule="auto"/>
        <w:ind w:firstLine="480" w:firstLineChars="200"/>
        <w:jc w:val="both"/>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七、替补候选人的设定与使用</w:t>
      </w:r>
    </w:p>
    <w:p>
      <w:pPr>
        <w:numPr>
          <w:ilvl w:val="0"/>
          <w:numId w:val="0"/>
        </w:numPr>
        <w:spacing w:line="360" w:lineRule="auto"/>
        <w:ind w:firstLine="480" w:firstLineChars="200"/>
        <w:jc w:val="both"/>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1.★如果中标供应商不能按照招标文件要求及投标文件的承诺签订中标合同，或经核定中标供应商的投标文件与事实不符，从而影响公平、公正及影响中标合同执行时，采购人有权取消该其中标供应商的中标资格，确定排名在中标供应商之后第一位的投标供应商为中标供应商或依法重新招标。</w:t>
      </w:r>
    </w:p>
    <w:p>
      <w:pPr>
        <w:numPr>
          <w:ilvl w:val="0"/>
          <w:numId w:val="0"/>
        </w:numPr>
        <w:spacing w:line="360" w:lineRule="auto"/>
        <w:ind w:firstLine="480" w:firstLineChars="200"/>
        <w:jc w:val="both"/>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2.★如果所有中标候选人均无法签订合同，采购人将依法重新招标或更改采购形式，对受影响的响应供应商不承担任何责任。</w:t>
      </w:r>
    </w:p>
    <w:p>
      <w:pPr>
        <w:numPr>
          <w:ilvl w:val="0"/>
          <w:numId w:val="0"/>
        </w:numPr>
        <w:spacing w:line="360" w:lineRule="auto"/>
        <w:ind w:firstLine="480" w:firstLineChars="200"/>
        <w:jc w:val="both"/>
        <w:rPr>
          <w:rFonts w:hint="eastAsia" w:ascii="宋体" w:hAnsi="宋体" w:cs="宋体"/>
          <w:color w:val="auto"/>
          <w:kern w:val="0"/>
          <w:sz w:val="24"/>
          <w:szCs w:val="24"/>
          <w:lang w:val="en-US" w:eastAsia="zh-CN" w:bidi="ar"/>
        </w:rPr>
      </w:pPr>
    </w:p>
    <w:p>
      <w:pPr>
        <w:numPr>
          <w:ilvl w:val="0"/>
          <w:numId w:val="0"/>
        </w:numPr>
        <w:spacing w:line="360" w:lineRule="auto"/>
        <w:ind w:firstLine="480" w:firstLineChars="200"/>
        <w:jc w:val="both"/>
        <w:rPr>
          <w:rFonts w:hint="default"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注：</w:t>
      </w:r>
      <w:r>
        <w:rPr>
          <w:rFonts w:hint="default" w:ascii="宋体" w:hAnsi="宋体" w:cs="宋体"/>
          <w:color w:val="auto"/>
          <w:kern w:val="0"/>
          <w:sz w:val="24"/>
          <w:szCs w:val="24"/>
          <w:lang w:val="en-US" w:eastAsia="zh-CN" w:bidi="ar"/>
        </w:rPr>
        <w:t>采购需求中标注“★”号条款为实质性条款，必须逐条进行响应，有任何一条负偏离的，将导致投标无效。</w:t>
      </w:r>
    </w:p>
    <w:p>
      <w:pPr>
        <w:numPr>
          <w:ilvl w:val="0"/>
          <w:numId w:val="0"/>
        </w:numPr>
        <w:spacing w:line="360" w:lineRule="auto"/>
        <w:jc w:val="both"/>
        <w:rPr>
          <w:rFonts w:hint="default" w:ascii="宋体" w:hAnsi="宋体" w:cs="宋体"/>
          <w:color w:val="auto"/>
          <w:kern w:val="0"/>
          <w:sz w:val="24"/>
          <w:szCs w:val="24"/>
          <w:lang w:val="en-US" w:eastAsia="zh-CN" w:bidi="ar"/>
        </w:rPr>
      </w:pPr>
    </w:p>
    <w:p>
      <w:pPr>
        <w:numPr>
          <w:ilvl w:val="0"/>
          <w:numId w:val="0"/>
        </w:numPr>
        <w:spacing w:line="360" w:lineRule="auto"/>
        <w:jc w:val="both"/>
        <w:rPr>
          <w:rFonts w:hint="default" w:ascii="宋体" w:hAnsi="宋体" w:cs="宋体"/>
          <w:color w:val="auto"/>
          <w:kern w:val="0"/>
          <w:sz w:val="24"/>
          <w:szCs w:val="24"/>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51EB00"/>
    <w:multiLevelType w:val="singleLevel"/>
    <w:tmpl w:val="A151EB00"/>
    <w:lvl w:ilvl="0" w:tentative="0">
      <w:start w:val="1"/>
      <w:numFmt w:val="decimal"/>
      <w:suff w:val="nothing"/>
      <w:lvlText w:val="（%1）"/>
      <w:lvlJc w:val="left"/>
    </w:lvl>
  </w:abstractNum>
  <w:abstractNum w:abstractNumId="1">
    <w:nsid w:val="B7FCFDCA"/>
    <w:multiLevelType w:val="singleLevel"/>
    <w:tmpl w:val="B7FCFDCA"/>
    <w:lvl w:ilvl="0" w:tentative="0">
      <w:start w:val="1"/>
      <w:numFmt w:val="decimal"/>
      <w:suff w:val="nothing"/>
      <w:lvlText w:val="%1．"/>
      <w:lvlJc w:val="left"/>
      <w:pPr>
        <w:ind w:left="0" w:firstLine="400"/>
      </w:pPr>
      <w:rPr>
        <w:rFonts w:hint="default"/>
      </w:rPr>
    </w:lvl>
  </w:abstractNum>
  <w:abstractNum w:abstractNumId="2">
    <w:nsid w:val="23F32BAE"/>
    <w:multiLevelType w:val="singleLevel"/>
    <w:tmpl w:val="23F32BAE"/>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OTAxOTNhNWRlMzllYTU0MGJhMzNlN2Q2ODEyZTkifQ=="/>
  </w:docVars>
  <w:rsids>
    <w:rsidRoot w:val="38203E3A"/>
    <w:rsid w:val="01A45297"/>
    <w:rsid w:val="01BD3D26"/>
    <w:rsid w:val="02261F00"/>
    <w:rsid w:val="05E11832"/>
    <w:rsid w:val="05F872A7"/>
    <w:rsid w:val="064546D9"/>
    <w:rsid w:val="068E5189"/>
    <w:rsid w:val="088B7378"/>
    <w:rsid w:val="0C6424DA"/>
    <w:rsid w:val="0C9A27CA"/>
    <w:rsid w:val="0C9F4D5E"/>
    <w:rsid w:val="14B60FEF"/>
    <w:rsid w:val="180052A4"/>
    <w:rsid w:val="19070B51"/>
    <w:rsid w:val="19135554"/>
    <w:rsid w:val="198C562B"/>
    <w:rsid w:val="1ADF2E87"/>
    <w:rsid w:val="1B247BB0"/>
    <w:rsid w:val="1C737059"/>
    <w:rsid w:val="1D5D5F49"/>
    <w:rsid w:val="1EA43174"/>
    <w:rsid w:val="20AE14FE"/>
    <w:rsid w:val="236316A2"/>
    <w:rsid w:val="238C4087"/>
    <w:rsid w:val="276C144B"/>
    <w:rsid w:val="27AD0F2A"/>
    <w:rsid w:val="29AE3DC1"/>
    <w:rsid w:val="2B0100FD"/>
    <w:rsid w:val="2D104627"/>
    <w:rsid w:val="2DFB52D7"/>
    <w:rsid w:val="2FD94831"/>
    <w:rsid w:val="355346A8"/>
    <w:rsid w:val="36F454AC"/>
    <w:rsid w:val="38203E3A"/>
    <w:rsid w:val="39CB3DB0"/>
    <w:rsid w:val="3AFC0714"/>
    <w:rsid w:val="40E045E4"/>
    <w:rsid w:val="425F2F15"/>
    <w:rsid w:val="443F0EEB"/>
    <w:rsid w:val="461322BD"/>
    <w:rsid w:val="484D6167"/>
    <w:rsid w:val="4CFC32FF"/>
    <w:rsid w:val="4D1E0EFC"/>
    <w:rsid w:val="4DA73CCC"/>
    <w:rsid w:val="51AC5384"/>
    <w:rsid w:val="53E204C8"/>
    <w:rsid w:val="5483555B"/>
    <w:rsid w:val="58035F41"/>
    <w:rsid w:val="5A881636"/>
    <w:rsid w:val="5C115759"/>
    <w:rsid w:val="5D093BF6"/>
    <w:rsid w:val="5E133FAB"/>
    <w:rsid w:val="64E103E4"/>
    <w:rsid w:val="653A1C66"/>
    <w:rsid w:val="660B15C9"/>
    <w:rsid w:val="6B357E4A"/>
    <w:rsid w:val="6D0D4104"/>
    <w:rsid w:val="6D77157D"/>
    <w:rsid w:val="70BA0784"/>
    <w:rsid w:val="72313F77"/>
    <w:rsid w:val="726171AD"/>
    <w:rsid w:val="752B2B24"/>
    <w:rsid w:val="753D2147"/>
    <w:rsid w:val="75A93784"/>
    <w:rsid w:val="769C3861"/>
    <w:rsid w:val="769E035B"/>
    <w:rsid w:val="784212A3"/>
    <w:rsid w:val="78CB7DC1"/>
    <w:rsid w:val="79AB2CDA"/>
    <w:rsid w:val="79AE3727"/>
    <w:rsid w:val="79F258AE"/>
    <w:rsid w:val="79FF4EE4"/>
    <w:rsid w:val="7A2A0D3D"/>
    <w:rsid w:val="7AD91B49"/>
    <w:rsid w:val="7D32679C"/>
    <w:rsid w:val="7E011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240" w:beforeLines="0" w:beforeAutospacing="0" w:after="240" w:afterLines="0" w:afterAutospacing="0" w:line="240" w:lineRule="auto"/>
      <w:jc w:val="center"/>
      <w:outlineLvl w:val="0"/>
    </w:pPr>
    <w:rPr>
      <w:rFonts w:ascii="Calibri" w:hAnsi="Calibri" w:eastAsia="宋体" w:cs="Times New Roman"/>
      <w:b/>
      <w:kern w:val="44"/>
      <w:sz w:val="30"/>
      <w:szCs w:val="22"/>
    </w:rPr>
  </w:style>
  <w:style w:type="paragraph" w:styleId="3">
    <w:name w:val="heading 2"/>
    <w:basedOn w:val="1"/>
    <w:next w:val="1"/>
    <w:unhideWhenUsed/>
    <w:qFormat/>
    <w:uiPriority w:val="0"/>
    <w:pPr>
      <w:keepNext/>
      <w:keepLines/>
      <w:spacing w:before="140" w:after="140" w:line="360" w:lineRule="auto"/>
      <w:outlineLvl w:val="1"/>
    </w:pPr>
    <w:rPr>
      <w:rFonts w:ascii="Cambria" w:hAnsi="Cambria" w:cs="Times New Roman"/>
      <w:b/>
      <w:bCs/>
      <w:sz w:val="30"/>
      <w:szCs w:val="32"/>
    </w:rPr>
  </w:style>
  <w:style w:type="paragraph" w:styleId="4">
    <w:name w:val="heading 3"/>
    <w:basedOn w:val="1"/>
    <w:next w:val="1"/>
    <w:qFormat/>
    <w:uiPriority w:val="0"/>
    <w:pPr>
      <w:keepNext/>
      <w:keepLines/>
      <w:spacing w:before="120" w:after="120" w:line="360" w:lineRule="auto"/>
      <w:ind w:left="1069" w:hanging="1069"/>
      <w:jc w:val="center"/>
      <w:outlineLvl w:val="2"/>
    </w:pPr>
    <w:rPr>
      <w:rFonts w:ascii="宋体" w:hAnsi="宋体"/>
      <w:b/>
      <w:bCs/>
      <w:kern w:val="0"/>
      <w:sz w:val="36"/>
      <w:szCs w:val="18"/>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6">
    <w:name w:val="Body Text First Indent"/>
    <w:basedOn w:val="7"/>
    <w:qFormat/>
    <w:uiPriority w:val="0"/>
    <w:pPr>
      <w:tabs>
        <w:tab w:val="left" w:pos="567"/>
      </w:tabs>
      <w:spacing w:line="360" w:lineRule="auto"/>
      <w:ind w:firstLine="880" w:firstLineChars="200"/>
    </w:pPr>
    <w:rPr>
      <w:rFonts w:ascii="宋体" w:hAnsi="宋体" w:eastAsia="宋体" w:cs="Times New Roman"/>
      <w:sz w:val="24"/>
      <w:szCs w:val="20"/>
    </w:rPr>
  </w:style>
  <w:style w:type="paragraph" w:styleId="7">
    <w:name w:val="Body Text"/>
    <w:basedOn w:val="1"/>
    <w:next w:val="1"/>
    <w:qFormat/>
    <w:uiPriority w:val="0"/>
    <w:pPr>
      <w:tabs>
        <w:tab w:val="left" w:pos="567"/>
      </w:tabs>
      <w:spacing w:before="120" w:line="22" w:lineRule="atLeast"/>
    </w:pPr>
    <w:rPr>
      <w:rFonts w:ascii="宋体" w:hAnsi="宋体"/>
      <w:sz w:val="24"/>
    </w:rPr>
  </w:style>
  <w:style w:type="paragraph" w:styleId="8">
    <w:name w:val="Normal Indent"/>
    <w:basedOn w:val="1"/>
    <w:next w:val="1"/>
    <w:qFormat/>
    <w:uiPriority w:val="0"/>
    <w:pPr>
      <w:widowControl/>
      <w:spacing w:after="200" w:line="276" w:lineRule="auto"/>
      <w:ind w:firstLine="420" w:firstLineChars="200"/>
      <w:jc w:val="left"/>
    </w:pPr>
    <w:rPr>
      <w:rFonts w:eastAsia="宋体"/>
      <w:sz w:val="22"/>
      <w:szCs w:val="24"/>
      <w:lang w:eastAsia="en-US" w:bidi="en-US"/>
    </w:rPr>
  </w:style>
  <w:style w:type="paragraph" w:styleId="9">
    <w:name w:val="Plain Text"/>
    <w:basedOn w:val="1"/>
    <w:qFormat/>
    <w:uiPriority w:val="0"/>
    <w:rPr>
      <w:rFonts w:ascii="宋体" w:hAnsi="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footnote text"/>
    <w:basedOn w:val="1"/>
    <w:qFormat/>
    <w:uiPriority w:val="0"/>
    <w:pPr>
      <w:snapToGrid w:val="0"/>
      <w:jc w:val="left"/>
    </w:pPr>
    <w:rPr>
      <w:sz w:val="18"/>
    </w:rPr>
  </w:style>
  <w:style w:type="paragraph" w:styleId="12">
    <w:name w:val="Title"/>
    <w:basedOn w:val="1"/>
    <w:next w:val="1"/>
    <w:qFormat/>
    <w:uiPriority w:val="10"/>
    <w:pPr>
      <w:spacing w:before="240" w:after="60"/>
      <w:jc w:val="center"/>
      <w:outlineLvl w:val="0"/>
    </w:pPr>
    <w:rPr>
      <w:rFonts w:ascii="Cambria" w:hAnsi="Cambria"/>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微格一级标题"/>
    <w:basedOn w:val="1"/>
    <w:qFormat/>
    <w:uiPriority w:val="0"/>
    <w:pPr>
      <w:spacing w:line="300" w:lineRule="auto"/>
    </w:pPr>
    <w:rPr>
      <w:rFonts w:ascii="Times New Roman" w:hAnsi="Times New Roman" w:eastAsia="宋体"/>
      <w:b/>
      <w:sz w:val="21"/>
      <w:szCs w:val="21"/>
    </w:rPr>
  </w:style>
  <w:style w:type="paragraph" w:customStyle="1" w:styleId="17">
    <w:name w:val="Fließtext"/>
    <w:basedOn w:val="1"/>
    <w:qFormat/>
    <w:uiPriority w:val="99"/>
    <w:pPr>
      <w:overflowPunct w:val="0"/>
      <w:autoSpaceDE w:val="0"/>
      <w:autoSpaceDN w:val="0"/>
      <w:adjustRightInd w:val="0"/>
      <w:textAlignment w:val="baseline"/>
    </w:pPr>
    <w:rPr>
      <w:kern w:val="28"/>
    </w:rPr>
  </w:style>
  <w:style w:type="paragraph" w:styleId="18">
    <w:name w:val="List Paragraph"/>
    <w:basedOn w:val="1"/>
    <w:qFormat/>
    <w:uiPriority w:val="34"/>
    <w:pPr>
      <w:spacing w:line="360" w:lineRule="auto"/>
      <w:ind w:firstLine="420" w:firstLineChars="200"/>
    </w:pPr>
    <w:rPr>
      <w:rFonts w:ascii="Calibri" w:hAnsi="Calibri"/>
      <w:sz w:val="24"/>
      <w:szCs w:val="22"/>
    </w:rPr>
  </w:style>
  <w:style w:type="paragraph" w:customStyle="1" w:styleId="19">
    <w:name w:val="正文文本_1_0"/>
    <w:basedOn w:val="20"/>
    <w:unhideWhenUsed/>
    <w:qFormat/>
    <w:uiPriority w:val="0"/>
    <w:rPr>
      <w:rFonts w:ascii="Calibri" w:hAnsi="Calibri" w:eastAsia="黑体" w:cs="Times New Roman"/>
      <w:sz w:val="36"/>
    </w:rPr>
  </w:style>
  <w:style w:type="paragraph" w:customStyle="1" w:styleId="20">
    <w:name w:val="正文_2_0"/>
    <w:next w:val="21"/>
    <w:qFormat/>
    <w:uiPriority w:val="0"/>
    <w:pPr>
      <w:widowControl w:val="0"/>
      <w:jc w:val="both"/>
    </w:pPr>
    <w:rPr>
      <w:rFonts w:ascii="Calibri" w:hAnsi="Calibri" w:eastAsia="Calibri" w:cs="Times New Roman"/>
      <w:kern w:val="2"/>
      <w:sz w:val="21"/>
      <w:szCs w:val="22"/>
      <w:lang w:val="en-US" w:eastAsia="zh-CN" w:bidi="ar-SA"/>
    </w:rPr>
  </w:style>
  <w:style w:type="paragraph" w:customStyle="1" w:styleId="21">
    <w:name w:val="表格文字_1_0"/>
    <w:basedOn w:val="20"/>
    <w:qFormat/>
    <w:uiPriority w:val="0"/>
    <w:pPr>
      <w:adjustRightInd w:val="0"/>
      <w:spacing w:line="420" w:lineRule="atLeast"/>
      <w:jc w:val="left"/>
    </w:pPr>
    <w:rPr>
      <w:rFonts w:ascii="Calibri" w:hAnsi="Calibri" w:eastAsia="宋体" w:cs="Times New Roman"/>
      <w:kern w:val="0"/>
      <w:szCs w:val="20"/>
    </w:rPr>
  </w:style>
  <w:style w:type="paragraph" w:customStyle="1" w:styleId="22">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2739</Words>
  <Characters>2832</Characters>
  <Lines>0</Lines>
  <Paragraphs>0</Paragraphs>
  <TotalTime>2</TotalTime>
  <ScaleCrop>false</ScaleCrop>
  <LinksUpToDate>false</LinksUpToDate>
  <CharactersWithSpaces>2874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2023-05-23T15:11:00Z</dcterms:created>
  <dc:creator>蓬蓬莲子</dc:creator>
  <cp:lastModifiedBy>Htut</cp:lastModifiedBy>
  <dcterms:modified xsi:type="dcterms:W3CDTF">2024-03-26T05:48:21Z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18F43D7288344B9E8BCE7D2484873172_13</vt:lpwstr>
  </property>
</Properties>
</file>