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E55AD">
      <w:pPr>
        <w:pStyle w:val="4"/>
        <w:keepNext/>
        <w:keepLines/>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highlight w:val="none"/>
        </w:rPr>
      </w:pPr>
      <w:r>
        <w:rPr>
          <w:rFonts w:hint="eastAsia" w:ascii="黑体" w:hAnsi="黑体" w:eastAsia="黑体" w:cs="黑体"/>
          <w:highlight w:val="none"/>
        </w:rPr>
        <w:t>招标参数</w:t>
      </w:r>
    </w:p>
    <w:p w14:paraId="3C66368B">
      <w:pPr>
        <w:pageBreakBefore w:val="0"/>
        <w:kinsoku/>
        <w:wordWrap/>
        <w:overflowPunct/>
        <w:topLinePunct w:val="0"/>
        <w:autoSpaceDE/>
        <w:autoSpaceDN/>
        <w:bidi w:val="0"/>
        <w:adjustRightInd/>
        <w:snapToGrid/>
        <w:spacing w:line="240" w:lineRule="auto"/>
        <w:ind w:left="482" w:hanging="482" w:firstLineChars="0"/>
        <w:jc w:val="left"/>
        <w:textAlignment w:val="auto"/>
        <w:rPr>
          <w:rFonts w:hint="eastAsia" w:ascii="宋体" w:hAnsi="宋体" w:eastAsia="宋体" w:cs="宋体"/>
          <w:b w:val="0"/>
          <w:bCs w:val="0"/>
          <w:color w:val="auto"/>
          <w:highlight w:val="none"/>
        </w:rPr>
      </w:pPr>
    </w:p>
    <w:p w14:paraId="6520EA75">
      <w:pPr>
        <w:rPr>
          <w:rFonts w:hint="eastAsia" w:ascii="宋体" w:hAnsi="宋体" w:eastAsia="宋体" w:cs="宋体"/>
          <w:sz w:val="22"/>
          <w:szCs w:val="24"/>
        </w:rPr>
      </w:pPr>
      <w:r>
        <w:rPr>
          <w:rFonts w:hint="eastAsia" w:ascii="宋体" w:hAnsi="宋体" w:eastAsia="宋体" w:cs="宋体"/>
          <w:sz w:val="22"/>
          <w:szCs w:val="24"/>
        </w:rPr>
        <w:t>注意：</w:t>
      </w:r>
    </w:p>
    <w:p w14:paraId="61869D02">
      <w:pPr>
        <w:rPr>
          <w:rFonts w:hint="eastAsia" w:ascii="宋体" w:hAnsi="宋体" w:eastAsia="宋体" w:cs="宋体"/>
          <w:sz w:val="22"/>
          <w:szCs w:val="24"/>
        </w:rPr>
      </w:pPr>
      <w:r>
        <w:rPr>
          <w:rFonts w:hint="eastAsia" w:ascii="宋体" w:hAnsi="宋体" w:eastAsia="宋体" w:cs="宋体"/>
          <w:sz w:val="22"/>
          <w:szCs w:val="24"/>
        </w:rPr>
        <w:t>1．此参数仅作为参考，不作为标底的终稿。</w:t>
      </w:r>
    </w:p>
    <w:p w14:paraId="011155CC">
      <w:pPr>
        <w:rPr>
          <w:rFonts w:hint="eastAsia" w:ascii="宋体" w:hAnsi="宋体" w:eastAsia="宋体" w:cs="宋体"/>
          <w:color w:val="FF0000"/>
          <w:sz w:val="22"/>
          <w:szCs w:val="24"/>
        </w:rPr>
      </w:pPr>
      <w:r>
        <w:rPr>
          <w:rFonts w:hint="eastAsia" w:ascii="宋体" w:hAnsi="宋体" w:eastAsia="宋体" w:cs="宋体"/>
          <w:sz w:val="22"/>
          <w:szCs w:val="24"/>
        </w:rPr>
        <w:t>2．带“</w:t>
      </w:r>
      <w:r>
        <w:rPr>
          <w:rFonts w:hint="eastAsia" w:ascii="宋体" w:hAnsi="宋体" w:eastAsia="宋体" w:cs="宋体"/>
          <w:color w:val="FF0000"/>
          <w:sz w:val="22"/>
          <w:szCs w:val="24"/>
        </w:rPr>
        <w:t>★</w:t>
      </w:r>
      <w:r>
        <w:rPr>
          <w:rFonts w:hint="eastAsia" w:ascii="宋体" w:hAnsi="宋体" w:eastAsia="宋体" w:cs="宋体"/>
          <w:sz w:val="22"/>
          <w:szCs w:val="24"/>
        </w:rPr>
        <w:t>”号项为我公司产品的优势项，带“▲”为相对优势项，</w:t>
      </w:r>
      <w:r>
        <w:rPr>
          <w:rFonts w:hint="eastAsia" w:ascii="宋体" w:hAnsi="宋体" w:eastAsia="宋体" w:cs="宋体"/>
          <w:color w:val="FF0000"/>
          <w:sz w:val="22"/>
          <w:szCs w:val="24"/>
        </w:rPr>
        <w:t>具体内容投标时可根据具体竞争对手情况删减！</w:t>
      </w:r>
    </w:p>
    <w:p w14:paraId="150DFFA4">
      <w:pPr>
        <w:pStyle w:val="5"/>
        <w:rPr>
          <w:rFonts w:hint="eastAsia" w:ascii="宋体" w:hAnsi="宋体" w:eastAsia="宋体" w:cs="宋体"/>
        </w:rPr>
      </w:pPr>
      <w:bookmarkStart w:id="1" w:name="_GoBack"/>
      <w:bookmarkEnd w:id="1"/>
    </w:p>
    <w:p w14:paraId="45908183">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5" w:leftChars="0" w:hanging="425" w:firstLineChars="0"/>
        <w:jc w:val="lef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整机要求</w:t>
      </w:r>
    </w:p>
    <w:p w14:paraId="0F2CB72F">
      <w:pPr>
        <w:keepNext w:val="0"/>
        <w:keepLines w:val="0"/>
        <w:pageBreakBefore w:val="0"/>
        <w:widowControl w:val="0"/>
        <w:numPr>
          <w:ilvl w:val="1"/>
          <w:numId w:val="2"/>
        </w:numPr>
        <w:kinsoku/>
        <w:wordWrap/>
        <w:overflowPunct/>
        <w:topLinePunct w:val="0"/>
        <w:autoSpaceDE/>
        <w:autoSpaceDN/>
        <w:bidi w:val="0"/>
        <w:adjustRightInd/>
        <w:snapToGrid/>
        <w:spacing w:line="440" w:lineRule="exact"/>
        <w:ind w:left="567" w:leftChars="0" w:hanging="567" w:firstLineChars="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投标产品镜头和工作站同时在国内组合注册，且必须是同一个产品名称通过CFDA注册，不接受镜头或工作站单独注册产品或组合投标，提供注册证证明其符合要求；</w:t>
      </w:r>
    </w:p>
    <w:p w14:paraId="02215E79">
      <w:pPr>
        <w:keepNext w:val="0"/>
        <w:keepLines w:val="0"/>
        <w:pageBreakBefore w:val="0"/>
        <w:widowControl w:val="0"/>
        <w:numPr>
          <w:ilvl w:val="1"/>
          <w:numId w:val="2"/>
        </w:numPr>
        <w:kinsoku/>
        <w:wordWrap/>
        <w:overflowPunct/>
        <w:topLinePunct w:val="0"/>
        <w:autoSpaceDE/>
        <w:autoSpaceDN/>
        <w:bidi w:val="0"/>
        <w:adjustRightInd/>
        <w:snapToGrid/>
        <w:spacing w:line="440" w:lineRule="exact"/>
        <w:ind w:left="567" w:leftChars="0" w:hanging="567" w:firstLineChars="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生产厂家</w:t>
      </w:r>
      <w:r>
        <w:rPr>
          <w:rFonts w:hint="eastAsia" w:ascii="宋体" w:hAnsi="宋体" w:eastAsia="宋体" w:cs="宋体"/>
          <w:b w:val="0"/>
          <w:bCs w:val="0"/>
          <w:color w:val="auto"/>
          <w:highlight w:val="none"/>
        </w:rPr>
        <w:t>需通过ISO13485质量管理体系和ISO14001环境管理体系认证</w:t>
      </w:r>
      <w:r>
        <w:rPr>
          <w:rFonts w:hint="eastAsia" w:ascii="宋体" w:hAnsi="宋体" w:eastAsia="宋体" w:cs="宋体"/>
          <w:b w:val="0"/>
          <w:bCs w:val="0"/>
          <w:color w:val="auto"/>
          <w:highlight w:val="none"/>
          <w:lang w:val="en-US" w:eastAsia="zh-CN"/>
        </w:rPr>
        <w:t>（提供证明文件并加盖厂家公章）</w:t>
      </w:r>
      <w:r>
        <w:rPr>
          <w:rFonts w:hint="eastAsia" w:ascii="宋体" w:hAnsi="宋体" w:eastAsia="宋体" w:cs="宋体"/>
          <w:b w:val="0"/>
          <w:bCs w:val="0"/>
          <w:color w:val="auto"/>
          <w:highlight w:val="none"/>
        </w:rPr>
        <w:t>；</w:t>
      </w:r>
    </w:p>
    <w:p w14:paraId="66947521">
      <w:pPr>
        <w:keepNext w:val="0"/>
        <w:keepLines w:val="0"/>
        <w:pageBreakBefore w:val="0"/>
        <w:widowControl w:val="0"/>
        <w:numPr>
          <w:ilvl w:val="1"/>
          <w:numId w:val="2"/>
        </w:numPr>
        <w:kinsoku/>
        <w:wordWrap/>
        <w:overflowPunct/>
        <w:topLinePunct w:val="0"/>
        <w:autoSpaceDE/>
        <w:autoSpaceDN/>
        <w:bidi w:val="0"/>
        <w:adjustRightInd/>
        <w:snapToGrid/>
        <w:spacing w:line="440" w:lineRule="exact"/>
        <w:ind w:left="567" w:leftChars="0" w:hanging="567" w:firstLineChars="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产品符合以下标准：GB9706.1-2007、GB/T25000.51-2016、GB/T14710-2009、YY1057-2016、YY0505-2012、IOS12233：2000。</w:t>
      </w:r>
    </w:p>
    <w:p w14:paraId="75CA99E6">
      <w:pPr>
        <w:keepNext w:val="0"/>
        <w:keepLines w:val="0"/>
        <w:pageBreakBefore w:val="0"/>
        <w:widowControl w:val="0"/>
        <w:numPr>
          <w:ilvl w:val="1"/>
          <w:numId w:val="2"/>
        </w:numPr>
        <w:kinsoku/>
        <w:wordWrap/>
        <w:overflowPunct/>
        <w:topLinePunct w:val="0"/>
        <w:autoSpaceDE/>
        <w:autoSpaceDN/>
        <w:bidi w:val="0"/>
        <w:adjustRightInd/>
        <w:snapToGrid/>
        <w:spacing w:line="440" w:lineRule="exact"/>
        <w:ind w:left="567" w:leftChars="0" w:hanging="567" w:firstLineChars="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设备使用年限：10年（提供设备铭牌图片并加盖厂家公章）。</w:t>
      </w:r>
    </w:p>
    <w:p w14:paraId="0FB0C7A4">
      <w:pPr>
        <w:keepNext w:val="0"/>
        <w:keepLines w:val="0"/>
        <w:pageBreakBefore w:val="0"/>
        <w:widowControl w:val="0"/>
        <w:numPr>
          <w:ilvl w:val="1"/>
          <w:numId w:val="2"/>
        </w:numPr>
        <w:kinsoku/>
        <w:wordWrap/>
        <w:overflowPunct/>
        <w:topLinePunct w:val="0"/>
        <w:autoSpaceDE/>
        <w:autoSpaceDN/>
        <w:bidi w:val="0"/>
        <w:adjustRightInd/>
        <w:snapToGrid/>
        <w:spacing w:line="440" w:lineRule="exact"/>
        <w:ind w:left="567" w:leftChars="0" w:hanging="567" w:firstLineChars="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阴道镜工作站台面，要求无凹槽或杯槽以防藏污纳垢，以减少感染风险和清洁消毒难度；配置内嵌式键盘和鼠标托盘，节省设备空间，性能稳定。（提供产品图片或者彩页证明并加盖厂家公章）。</w:t>
      </w:r>
    </w:p>
    <w:p w14:paraId="22F9C712">
      <w:pPr>
        <w:pStyle w:val="5"/>
        <w:keepNext w:val="0"/>
        <w:keepLines w:val="0"/>
        <w:pageBreakBefore w:val="0"/>
        <w:kinsoku/>
        <w:wordWrap/>
        <w:overflowPunct/>
        <w:topLinePunct w:val="0"/>
        <w:autoSpaceDE/>
        <w:autoSpaceDN/>
        <w:bidi w:val="0"/>
        <w:adjustRightInd/>
        <w:snapToGrid/>
        <w:spacing w:line="336" w:lineRule="auto"/>
        <w:textAlignment w:val="auto"/>
        <w:rPr>
          <w:rFonts w:hint="eastAsia"/>
        </w:rPr>
      </w:pPr>
    </w:p>
    <w:p w14:paraId="5A62D2A1">
      <w:pPr>
        <w:keepNext w:val="0"/>
        <w:keepLines w:val="0"/>
        <w:pageBreakBefore w:val="0"/>
        <w:widowControl w:val="0"/>
        <w:numPr>
          <w:ilvl w:val="0"/>
          <w:numId w:val="1"/>
        </w:numPr>
        <w:kinsoku/>
        <w:wordWrap/>
        <w:overflowPunct/>
        <w:topLinePunct w:val="0"/>
        <w:autoSpaceDE/>
        <w:autoSpaceDN/>
        <w:bidi w:val="0"/>
        <w:adjustRightInd/>
        <w:snapToGrid/>
        <w:spacing w:line="336" w:lineRule="auto"/>
        <w:ind w:left="425" w:leftChars="0" w:hanging="425" w:firstLineChars="0"/>
        <w:jc w:val="left"/>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具体参数</w:t>
      </w:r>
    </w:p>
    <w:p w14:paraId="57E3A3DD">
      <w:pPr>
        <w:keepNext w:val="0"/>
        <w:keepLines w:val="0"/>
        <w:pageBreakBefore w:val="0"/>
        <w:widowControl w:val="0"/>
        <w:numPr>
          <w:ilvl w:val="1"/>
          <w:numId w:val="3"/>
        </w:numPr>
        <w:kinsoku/>
        <w:wordWrap/>
        <w:overflowPunct/>
        <w:topLinePunct w:val="0"/>
        <w:autoSpaceDE/>
        <w:autoSpaceDN/>
        <w:bidi w:val="0"/>
        <w:adjustRightInd/>
        <w:snapToGrid/>
        <w:spacing w:line="336" w:lineRule="auto"/>
        <w:ind w:left="567" w:leftChars="0" w:hanging="567" w:firstLineChars="0"/>
        <w:jc w:val="left"/>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阴道镜镜头性能</w:t>
      </w:r>
    </w:p>
    <w:p w14:paraId="637A18BF">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镜头具有连续变焦、自动聚焦和高清CMOS成像功能，输出FULL HD 1080P信号。</w:t>
      </w:r>
    </w:p>
    <w:p w14:paraId="720D2902">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高清摄像模块像素≥213万，成像系统水平分辨率≥1100TVL。</w:t>
      </w:r>
    </w:p>
    <w:p w14:paraId="6B7B9822">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FF0000"/>
          <w:highlight w:val="none"/>
          <w:lang w:val="en-US" w:eastAsia="zh-CN"/>
        </w:rPr>
      </w:pPr>
      <w:r>
        <w:rPr>
          <w:rFonts w:hint="eastAsia" w:ascii="宋体" w:hAnsi="宋体" w:eastAsia="宋体" w:cs="宋体"/>
          <w:b w:val="0"/>
          <w:bCs w:val="0"/>
          <w:color w:val="FF0000"/>
          <w:highlight w:val="none"/>
          <w:lang w:val="en-US" w:eastAsia="zh-CN"/>
        </w:rPr>
        <w:t>★支持1-80倍连续变倍，有效操作距离：160mm-340mm（提供检测报告并加盖厂家公章）。</w:t>
      </w:r>
    </w:p>
    <w:p w14:paraId="658118AD">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FF0000"/>
          <w:highlight w:val="none"/>
          <w:lang w:val="en-US" w:eastAsia="zh-CN"/>
        </w:rPr>
      </w:pPr>
      <w:r>
        <w:rPr>
          <w:rFonts w:hint="eastAsia" w:ascii="宋体" w:hAnsi="宋体" w:eastAsia="宋体" w:cs="宋体"/>
          <w:b w:val="0"/>
          <w:bCs w:val="0"/>
          <w:color w:val="FF0000"/>
          <w:highlight w:val="none"/>
          <w:lang w:val="en-US" w:eastAsia="zh-CN"/>
        </w:rPr>
        <w:t>★视场范围：≥Ø100mm(3X)，≥Ø15mm(18X)（提供检测报告并加盖厂家公章）。</w:t>
      </w:r>
    </w:p>
    <w:p w14:paraId="7838D5DD">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FF0000"/>
          <w:highlight w:val="none"/>
          <w:lang w:val="en-US" w:eastAsia="zh-CN"/>
        </w:rPr>
      </w:pPr>
      <w:r>
        <w:rPr>
          <w:rFonts w:hint="eastAsia" w:ascii="宋体" w:hAnsi="宋体" w:eastAsia="宋体" w:cs="宋体"/>
          <w:b w:val="0"/>
          <w:bCs w:val="0"/>
          <w:color w:val="FF0000"/>
          <w:highlight w:val="none"/>
          <w:lang w:val="en-US" w:eastAsia="zh-CN"/>
        </w:rPr>
        <w:t>★景深：≥150mm(3X)，≥50mm(18X)。（提供检测报告并加盖厂家公章）。</w:t>
      </w:r>
    </w:p>
    <w:p w14:paraId="5BF606AC">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▲光斑直径≥Ø70mm，</w:t>
      </w:r>
      <w:r>
        <w:rPr>
          <w:rFonts w:hint="eastAsia" w:ascii="宋体" w:hAnsi="宋体" w:eastAsia="宋体" w:cs="宋体"/>
          <w:szCs w:val="21"/>
          <w:lang w:val="en-US" w:eastAsia="zh-CN"/>
        </w:rPr>
        <w:t>光斑直径内</w:t>
      </w:r>
      <w:r>
        <w:rPr>
          <w:rFonts w:hint="eastAsia" w:ascii="宋体" w:hAnsi="宋体" w:eastAsia="宋体" w:cs="宋体"/>
          <w:szCs w:val="21"/>
        </w:rPr>
        <w:t>照度均匀性≥</w:t>
      </w:r>
      <w:r>
        <w:rPr>
          <w:rFonts w:hint="eastAsia" w:ascii="宋体" w:hAnsi="宋体" w:eastAsia="宋体" w:cs="宋体"/>
          <w:szCs w:val="21"/>
          <w:lang w:val="en-US" w:eastAsia="zh-CN"/>
        </w:rPr>
        <w:t>80</w:t>
      </w:r>
      <w:r>
        <w:rPr>
          <w:rFonts w:hint="eastAsia" w:ascii="宋体" w:hAnsi="宋体" w:eastAsia="宋体" w:cs="宋体"/>
          <w:szCs w:val="21"/>
        </w:rPr>
        <w:t>%</w:t>
      </w:r>
      <w:r>
        <w:rPr>
          <w:rFonts w:hint="eastAsia" w:ascii="宋体" w:hAnsi="宋体" w:eastAsia="宋体" w:cs="宋体"/>
          <w:b w:val="0"/>
          <w:bCs w:val="0"/>
          <w:color w:val="auto"/>
          <w:highlight w:val="none"/>
          <w:lang w:val="en-US" w:eastAsia="zh-CN"/>
        </w:rPr>
        <w:t>，显色指数Ra≥90,工作距离为20cm处光源中心温升≤1℃（提供检测报告并加盖厂家公章）。</w:t>
      </w:r>
    </w:p>
    <w:p w14:paraId="545413EF">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空间分辨率：≥14 lp/mm；图像几何失真度≤1%；</w:t>
      </w:r>
    </w:p>
    <w:p w14:paraId="751933B8">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防水按键设计，9按键扇形布局，可实现视野变换、焦距调节、白光变色温成像、电子绿色滤镜成像、计时显示、自动图像采集和图像冻结控制，支持镜头手柄控制图像采集。</w:t>
      </w:r>
    </w:p>
    <w:p w14:paraId="5856E1BC">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▲可通过镜头操作按键独立控制醋酸计时显示/关闭功能，计时时长可自定义设置，最高支持90分钟，并可在打印报告中显示时长标记。</w:t>
      </w:r>
    </w:p>
    <w:p w14:paraId="726090A7">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▲镜头手柄后方按键具备定位宫颈口、采集图像、按时序对比图像功能。（提供证明文件并加盖厂家公章）。</w:t>
      </w:r>
    </w:p>
    <w:p w14:paraId="4992E2EA">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FF0000"/>
          <w:highlight w:val="none"/>
          <w:lang w:val="en-US" w:eastAsia="zh-CN"/>
        </w:rPr>
      </w:pPr>
      <w:r>
        <w:rPr>
          <w:rFonts w:hint="eastAsia" w:ascii="宋体" w:hAnsi="宋体" w:eastAsia="宋体" w:cs="宋体"/>
          <w:b w:val="0"/>
          <w:bCs w:val="0"/>
          <w:color w:val="FF0000"/>
          <w:highlight w:val="none"/>
          <w:lang w:val="en-US" w:eastAsia="zh-CN"/>
        </w:rPr>
        <w:t>★设备具有两个独立的视频输出接口，与工作站集成一体，无需通过转换器可扩展显示镜头原始图像，可实现双屏实时同步显示进行操作培训或与便于医患沟通交流（提供检测报告并加盖厂家公章）。</w:t>
      </w:r>
    </w:p>
    <w:p w14:paraId="6D144F4F">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lang w:val="en-US" w:eastAsia="zh-CN"/>
        </w:rPr>
      </w:pPr>
      <w:r>
        <w:rPr>
          <w:rFonts w:hint="eastAsia" w:ascii="宋体" w:hAnsi="宋体" w:eastAsia="宋体" w:cs="宋体"/>
          <w:b w:val="0"/>
          <w:bCs w:val="0"/>
          <w:color w:val="auto"/>
          <w:highlight w:val="none"/>
          <w:lang w:val="en-US" w:eastAsia="zh-CN"/>
        </w:rPr>
        <w:t>配置即插即用的脚踏开关，支持采集图像/冻结并采集图像/开启计时功能/切换界面等功能，与镜头支架独立，保证图像采集的稳定性。</w:t>
      </w:r>
    </w:p>
    <w:p w14:paraId="29797905">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采用全金属模具结构可升降直立式支架，镜头可调，确保其使用的稳定性，升降固定可靠性及操作的灵敏性。</w:t>
      </w:r>
    </w:p>
    <w:p w14:paraId="77D19632">
      <w:pPr>
        <w:keepNext w:val="0"/>
        <w:keepLines w:val="0"/>
        <w:pageBreakBefore w:val="0"/>
        <w:numPr>
          <w:ilvl w:val="0"/>
          <w:numId w:val="0"/>
        </w:numPr>
        <w:kinsoku/>
        <w:wordWrap/>
        <w:overflowPunct/>
        <w:topLinePunct w:val="0"/>
        <w:autoSpaceDE/>
        <w:autoSpaceDN/>
        <w:bidi w:val="0"/>
        <w:adjustRightInd/>
        <w:snapToGrid/>
        <w:spacing w:line="336" w:lineRule="auto"/>
        <w:ind w:leftChars="0"/>
        <w:jc w:val="left"/>
        <w:textAlignment w:val="auto"/>
        <w:rPr>
          <w:rFonts w:hint="eastAsia" w:ascii="宋体" w:hAnsi="宋体" w:eastAsia="宋体" w:cs="宋体"/>
          <w:b w:val="0"/>
          <w:bCs w:val="0"/>
          <w:color w:val="auto"/>
          <w:highlight w:val="none"/>
        </w:rPr>
      </w:pPr>
    </w:p>
    <w:p w14:paraId="2C9084ED">
      <w:pPr>
        <w:keepNext w:val="0"/>
        <w:keepLines w:val="0"/>
        <w:pageBreakBefore w:val="0"/>
        <w:widowControl w:val="0"/>
        <w:numPr>
          <w:ilvl w:val="1"/>
          <w:numId w:val="3"/>
        </w:numPr>
        <w:kinsoku/>
        <w:wordWrap/>
        <w:overflowPunct/>
        <w:topLinePunct w:val="0"/>
        <w:autoSpaceDE/>
        <w:autoSpaceDN/>
        <w:bidi w:val="0"/>
        <w:adjustRightInd/>
        <w:snapToGrid/>
        <w:spacing w:line="336" w:lineRule="auto"/>
        <w:ind w:left="567" w:leftChars="0" w:hanging="567" w:firstLineChars="0"/>
        <w:jc w:val="left"/>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阴道镜工作站性能参数</w:t>
      </w:r>
    </w:p>
    <w:p w14:paraId="51E02C98">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具有自动提示患者随访管理功能，医护人员可根据患者需求转入预约。</w:t>
      </w:r>
    </w:p>
    <w:p w14:paraId="52F35BE8">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具有</w:t>
      </w:r>
      <w:r>
        <w:rPr>
          <w:rFonts w:hint="eastAsia" w:ascii="Calibri" w:hAnsi="Calibri"/>
        </w:rPr>
        <w:t>病例重点关注功能</w:t>
      </w:r>
      <w:r>
        <w:rPr>
          <w:rFonts w:hint="eastAsia" w:ascii="宋体" w:hAnsi="宋体" w:eastAsia="宋体" w:cs="宋体"/>
          <w:b w:val="0"/>
          <w:bCs w:val="0"/>
          <w:color w:val="auto"/>
          <w:highlight w:val="none"/>
          <w:lang w:val="en-US" w:eastAsia="zh-CN"/>
        </w:rPr>
        <w:t>，医生可以快速标记需要关注的重点患者，便于医生分级管理和快速查找患者信息。</w:t>
      </w:r>
    </w:p>
    <w:p w14:paraId="0014B57C">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▲能将采集的图像按时间顺序同屏显示（图像数量≥12幅），并且可以通过镜头扣手按键一键控制，方便医生对比分析患者病变部位醋白变化和碘染色的关联。</w:t>
      </w:r>
    </w:p>
    <w:p w14:paraId="13690C65">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提供≥2种方式开启计时功能，支持≥4种采图方式（手扣采图、软件按键采图、自动计时采图、脚踏开关采图）。</w:t>
      </w:r>
    </w:p>
    <w:p w14:paraId="38A4843A">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FF0000"/>
          <w:highlight w:val="none"/>
          <w:lang w:val="en-US" w:eastAsia="zh-CN"/>
        </w:rPr>
      </w:pPr>
      <w:r>
        <w:rPr>
          <w:rFonts w:hint="eastAsia" w:ascii="宋体" w:hAnsi="宋体" w:eastAsia="宋体" w:cs="宋体"/>
          <w:b w:val="0"/>
          <w:bCs w:val="0"/>
          <w:color w:val="FF0000"/>
          <w:highlight w:val="none"/>
          <w:lang w:val="en-US" w:eastAsia="zh-CN"/>
        </w:rPr>
        <w:t>★具有语音播报操作提示功能，自动给出临床检查流的操作提示信息，便于临床规范阴道镜检查操作（提供检测报告并加盖厂家公章）。</w:t>
      </w:r>
    </w:p>
    <w:p w14:paraId="1E38ED4E">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提供IFCPC2011/ASCCP 2017阴道镜专业术语以及临床参考图谱，具有国际认可的RCI评估和Swede评估。</w:t>
      </w:r>
    </w:p>
    <w:p w14:paraId="730DDD56">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▲在观察检查页面具有独立的历史检查图像显示框。同一患者历史检查图像会自动加载，并与当前检查图像并排显示，便于医生对比分析、追溯患者检查治疗过程（提供证明文件并加盖厂家公章）。</w:t>
      </w:r>
    </w:p>
    <w:p w14:paraId="1D55AE64">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color w:val="FF0000"/>
          <w:lang w:val="en-US" w:eastAsia="zh-CN"/>
        </w:rPr>
      </w:pPr>
      <w:r>
        <w:rPr>
          <w:rFonts w:hint="eastAsia" w:ascii="宋体" w:hAnsi="宋体"/>
          <w:color w:val="FF0000"/>
          <w:szCs w:val="21"/>
        </w:rPr>
        <w:t>★提供R-way阴道镜诊断评估方法，具有阴道镜操作提醒及自动采图功能，量化检查流程，提供基于三种不同溶液实验结果关联“特征”的智能评估和报告系统，根据HPV/TCT 阴道镜图像特征进行自动关联，智能提示病变级别和活检点位置，自动给出处理建议</w:t>
      </w:r>
      <w:r>
        <w:rPr>
          <w:rFonts w:hint="eastAsia" w:ascii="宋体" w:hAnsi="宋体" w:eastAsia="宋体" w:cs="宋体"/>
          <w:b w:val="0"/>
          <w:bCs w:val="0"/>
          <w:color w:val="FF0000"/>
          <w:highlight w:val="none"/>
          <w:lang w:val="en-US" w:eastAsia="zh-CN"/>
        </w:rPr>
        <w:t>（提供检测报告并加盖厂家公章）。</w:t>
      </w:r>
    </w:p>
    <w:p w14:paraId="14207717">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提供不少于100份病例供临床医生操作练习。</w:t>
      </w:r>
    </w:p>
    <w:p w14:paraId="312FC966">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可对阴道镜检查、手术治疗进行针对性的记录和随访管理，提供不少于6种打印报告模版，支持自定义报告模板，提交患者打印报告后系统自动生成PDF文件备份。</w:t>
      </w:r>
    </w:p>
    <w:p w14:paraId="50FD4E09">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bookmarkStart w:id="0" w:name="_Hlk77584447"/>
      <w:r>
        <w:rPr>
          <w:rFonts w:hint="eastAsia" w:ascii="宋体" w:hAnsi="宋体" w:eastAsia="宋体" w:cs="宋体"/>
          <w:b w:val="0"/>
          <w:bCs w:val="0"/>
          <w:color w:val="auto"/>
          <w:highlight w:val="none"/>
          <w:lang w:val="en-US" w:eastAsia="zh-CN"/>
        </w:rPr>
        <w:t>▲具有打印报告、编辑&amp;报告两种报告生成模式。支持可编辑式报告模板，并且可对报告中图像进行处理，调节图像亮度、对比度、色调、饱和度等</w:t>
      </w:r>
      <w:bookmarkEnd w:id="0"/>
      <w:r>
        <w:rPr>
          <w:rFonts w:hint="eastAsia" w:ascii="宋体" w:hAnsi="宋体" w:eastAsia="宋体" w:cs="宋体"/>
          <w:b w:val="0"/>
          <w:bCs w:val="0"/>
          <w:color w:val="auto"/>
          <w:highlight w:val="none"/>
          <w:lang w:val="en-US" w:eastAsia="zh-CN"/>
        </w:rPr>
        <w:t>。</w:t>
      </w:r>
    </w:p>
    <w:p w14:paraId="2074A071">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可对拟诊结果、病理结果、实验室检查结果、医生工作量等进行统计分析，统计结果可通过饼图、直方图和折线图形式进行显示，并可输出到Excel表。</w:t>
      </w:r>
    </w:p>
    <w:p w14:paraId="13ED14CB">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▲具有软件操作留痕功能。系统可对软件用户各项历史操作留痕记录，自动记录用户对病人数据的新增、修改、删除、报告打印等操作，满足用户对软件操作可追溯的需求（提供证明文件并加盖厂家公章）。</w:t>
      </w:r>
    </w:p>
    <w:p w14:paraId="7F01E024">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0"/>
        <w:jc w:val="left"/>
        <w:textAlignment w:val="auto"/>
        <w:rPr>
          <w:rFonts w:hint="eastAsia" w:ascii="宋体" w:hAnsi="宋体" w:eastAsia="宋体" w:cs="宋体"/>
          <w:b w:val="0"/>
          <w:bCs w:val="0"/>
          <w:color w:val="auto"/>
          <w:highlight w:val="none"/>
        </w:rPr>
      </w:pPr>
    </w:p>
    <w:p w14:paraId="2B17E32C">
      <w:pPr>
        <w:keepNext w:val="0"/>
        <w:keepLines w:val="0"/>
        <w:pageBreakBefore w:val="0"/>
        <w:widowControl w:val="0"/>
        <w:numPr>
          <w:ilvl w:val="1"/>
          <w:numId w:val="3"/>
        </w:numPr>
        <w:kinsoku/>
        <w:wordWrap/>
        <w:overflowPunct/>
        <w:topLinePunct w:val="0"/>
        <w:autoSpaceDE/>
        <w:autoSpaceDN/>
        <w:bidi w:val="0"/>
        <w:adjustRightInd/>
        <w:snapToGrid/>
        <w:spacing w:line="336" w:lineRule="auto"/>
        <w:ind w:left="567" w:leftChars="0" w:hanging="567" w:firstLineChars="0"/>
        <w:jc w:val="left"/>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工作站拓展功能及网络应用</w:t>
      </w:r>
    </w:p>
    <w:p w14:paraId="4FE8DDE3">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支持身份证读取功能，可刷病人身份证直接读取病人身份证病人姓名及身份证号码。</w:t>
      </w:r>
    </w:p>
    <w:p w14:paraId="48E6EFBA">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具有DICOM 3.0 数据交换接口，可支持下载病人信息，回传病人报告和图像；支持标准HL7协议，可以方便对接HIS系统。</w:t>
      </w:r>
    </w:p>
    <w:p w14:paraId="5EACC0D5">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支持局域网连接功能，支持护士工作站、医生工作站和阴道镜工作站互联构成门诊应用网络，提供四级用户权限管理。</w:t>
      </w:r>
    </w:p>
    <w:p w14:paraId="6EA9FE8B">
      <w:pPr>
        <w:keepNext w:val="0"/>
        <w:keepLines w:val="0"/>
        <w:pageBreakBefore w:val="0"/>
        <w:widowControl w:val="0"/>
        <w:numPr>
          <w:ilvl w:val="2"/>
          <w:numId w:val="3"/>
        </w:numPr>
        <w:kinsoku/>
        <w:wordWrap/>
        <w:overflowPunct/>
        <w:topLinePunct w:val="0"/>
        <w:autoSpaceDE/>
        <w:autoSpaceDN/>
        <w:bidi w:val="0"/>
        <w:adjustRightInd/>
        <w:snapToGrid/>
        <w:spacing w:line="336" w:lineRule="auto"/>
        <w:ind w:left="709" w:leftChars="0" w:hanging="709" w:firstLineChars="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支持广域网连接功能，能够与电子阴道镜数据管理系统联网，便于宫颈门诊中心或区域性子宫颈癌早诊早治质控中心更好的开展网络化应用和质控管理。</w:t>
      </w:r>
    </w:p>
    <w:p w14:paraId="42C5D3CF">
      <w:pPr>
        <w:keepNext w:val="0"/>
        <w:keepLines w:val="0"/>
        <w:pageBreakBefore w:val="0"/>
        <w:widowControl w:val="0"/>
        <w:numPr>
          <w:ilvl w:val="2"/>
          <w:numId w:val="3"/>
        </w:numPr>
        <w:kinsoku/>
        <w:wordWrap/>
        <w:overflowPunct/>
        <w:topLinePunct w:val="0"/>
        <w:autoSpaceDE/>
        <w:autoSpaceDN/>
        <w:bidi w:val="0"/>
        <w:adjustRightInd/>
        <w:snapToGrid/>
        <w:spacing w:line="440" w:lineRule="exact"/>
        <w:ind w:left="709" w:leftChars="0" w:hanging="709" w:firstLineChars="0"/>
        <w:jc w:val="left"/>
        <w:textAlignment w:val="auto"/>
        <w:rPr>
          <w:rFonts w:hint="eastAsia" w:ascii="宋体" w:hAnsi="宋体" w:eastAsia="宋体" w:cs="宋体"/>
        </w:rPr>
      </w:pPr>
      <w:r>
        <w:rPr>
          <w:rFonts w:hint="eastAsia" w:ascii="宋体" w:hAnsi="宋体" w:eastAsia="宋体" w:cs="宋体"/>
          <w:b w:val="0"/>
          <w:bCs w:val="0"/>
          <w:color w:val="FF0000"/>
          <w:highlight w:val="none"/>
          <w:lang w:val="en-US" w:eastAsia="zh-CN"/>
        </w:rPr>
        <w:t>★支持阴道镜报告多级质控管理功能。提供自动形式审核和上级复核功能，对阴道镜图像、报告等进行评估以及针对性指导，同时支持自动生成质控报表，可供医院开展本院内、跨院区阴道镜质控管理工作（提供检测报告并加盖厂家公章）。</w:t>
      </w:r>
    </w:p>
    <w:sectPr>
      <w:pgSz w:w="11906" w:h="16838"/>
      <w:pgMar w:top="1440" w:right="1800" w:bottom="1440" w:left="1800" w:header="119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47FA8"/>
    <w:multiLevelType w:val="multilevel"/>
    <w:tmpl w:val="EFD47FA8"/>
    <w:lvl w:ilvl="0" w:tentative="0">
      <w:start w:val="1"/>
      <w:numFmt w:val="chineseCounting"/>
      <w:suff w:val="nothing"/>
      <w:lvlText w:val="%1、"/>
      <w:lvlJc w:val="left"/>
      <w:pPr>
        <w:tabs>
          <w:tab w:val="left" w:pos="420"/>
        </w:tabs>
        <w:ind w:left="425" w:hanging="425"/>
      </w:pPr>
      <w:rPr>
        <w:rFonts w:hint="eastAsia" w:ascii="宋体" w:hAnsi="宋体" w:eastAsia="宋体" w:cs="宋体"/>
      </w:rPr>
    </w:lvl>
    <w:lvl w:ilvl="1" w:tentative="0">
      <w:start w:val="1"/>
      <w:numFmt w:val="decimal"/>
      <w:isLgl/>
      <w:lvlText w:val="%2."/>
      <w:lvlJc w:val="left"/>
      <w:pPr>
        <w:tabs>
          <w:tab w:val="left" w:pos="420"/>
        </w:tabs>
        <w:ind w:left="567" w:hanging="567"/>
      </w:pPr>
      <w:rPr>
        <w:rFonts w:hint="eastAsia" w:ascii="宋体" w:hAnsi="宋体" w:eastAsia="宋体" w:cs="宋体"/>
      </w:rPr>
    </w:lvl>
    <w:lvl w:ilvl="2" w:tentative="0">
      <w:start w:val="1"/>
      <w:numFmt w:val="decimal"/>
      <w:isLgl/>
      <w:lvlText w:val="%2.%3."/>
      <w:lvlJc w:val="left"/>
      <w:pPr>
        <w:ind w:left="709" w:hanging="709"/>
      </w:pPr>
      <w:rPr>
        <w:rFonts w:hint="eastAsia" w:ascii="宋体" w:hAnsi="宋体" w:eastAsia="宋体" w:cs="宋体"/>
      </w:rPr>
    </w:lvl>
    <w:lvl w:ilvl="3" w:tentative="0">
      <w:start w:val="1"/>
      <w:numFmt w:val="decimal"/>
      <w:isLgl/>
      <w:lvlText w:val="%2.%3.%4."/>
      <w:lvlJc w:val="left"/>
      <w:pPr>
        <w:ind w:left="850" w:hanging="850"/>
      </w:pPr>
      <w:rPr>
        <w:rFonts w:hint="eastAsia" w:ascii="宋体" w:hAnsi="宋体" w:eastAsia="宋体" w:cs="宋体"/>
      </w:rPr>
    </w:lvl>
    <w:lvl w:ilvl="4" w:tentative="0">
      <w:start w:val="1"/>
      <w:numFmt w:val="decimal"/>
      <w:isLgl/>
      <w:lvlText w:val="%2.%3.%4.%5."/>
      <w:lvlJc w:val="left"/>
      <w:pPr>
        <w:ind w:left="991" w:hanging="991"/>
      </w:pPr>
      <w:rPr>
        <w:rFonts w:hint="eastAsia" w:ascii="宋体" w:hAnsi="宋体" w:eastAsia="宋体" w:cs="宋体"/>
      </w:rPr>
    </w:lvl>
    <w:lvl w:ilvl="5" w:tentative="0">
      <w:start w:val="1"/>
      <w:numFmt w:val="decimal"/>
      <w:isLgl/>
      <w:lvlText w:val="%2.%3.%4.%5.%6."/>
      <w:lvlJc w:val="left"/>
      <w:pPr>
        <w:ind w:left="1134" w:hanging="1134"/>
      </w:pPr>
      <w:rPr>
        <w:rFonts w:hint="eastAsia" w:ascii="宋体" w:hAnsi="宋体" w:eastAsia="宋体" w:cs="宋体"/>
      </w:rPr>
    </w:lvl>
    <w:lvl w:ilvl="6" w:tentative="0">
      <w:start w:val="1"/>
      <w:numFmt w:val="decimal"/>
      <w:isLgl/>
      <w:lvlText w:val="%2.%3.%4.%5.%6.%7."/>
      <w:lvlJc w:val="left"/>
      <w:pPr>
        <w:ind w:left="1275" w:hanging="1275"/>
      </w:pPr>
      <w:rPr>
        <w:rFonts w:hint="eastAsia" w:ascii="宋体" w:hAnsi="宋体" w:eastAsia="宋体" w:cs="宋体"/>
      </w:rPr>
    </w:lvl>
    <w:lvl w:ilvl="7" w:tentative="0">
      <w:start w:val="1"/>
      <w:numFmt w:val="decimal"/>
      <w:isLgl/>
      <w:lvlText w:val="%2.%3.%4.%5.%6.%7.%8."/>
      <w:lvlJc w:val="left"/>
      <w:pPr>
        <w:ind w:left="1418" w:hanging="1418"/>
      </w:pPr>
      <w:rPr>
        <w:rFonts w:hint="eastAsia" w:ascii="宋体" w:hAnsi="宋体" w:eastAsia="宋体" w:cs="宋体"/>
      </w:rPr>
    </w:lvl>
    <w:lvl w:ilvl="8" w:tentative="0">
      <w:start w:val="1"/>
      <w:numFmt w:val="decimal"/>
      <w:isLgl/>
      <w:lvlText w:val="%2.%3.%4.%5.%6.%7.%8.%9."/>
      <w:lvlJc w:val="left"/>
      <w:pPr>
        <w:ind w:left="1558" w:hanging="1558"/>
      </w:pPr>
      <w:rPr>
        <w:rFonts w:hint="eastAsia" w:ascii="宋体" w:hAnsi="宋体" w:eastAsia="宋体" w:cs="宋体"/>
      </w:rPr>
    </w:lvl>
  </w:abstractNum>
  <w:abstractNum w:abstractNumId="1">
    <w:nsid w:val="15F5DE74"/>
    <w:multiLevelType w:val="multilevel"/>
    <w:tmpl w:val="15F5DE74"/>
    <w:lvl w:ilvl="0" w:tentative="0">
      <w:start w:val="1"/>
      <w:numFmt w:val="chineseCounting"/>
      <w:suff w:val="nothing"/>
      <w:lvlText w:val="%1、"/>
      <w:lvlJc w:val="left"/>
      <w:pPr>
        <w:tabs>
          <w:tab w:val="left" w:pos="420"/>
        </w:tabs>
        <w:ind w:left="425" w:hanging="425"/>
      </w:pPr>
      <w:rPr>
        <w:rFonts w:hint="eastAsia" w:ascii="宋体" w:hAnsi="宋体" w:eastAsia="宋体" w:cs="宋体"/>
      </w:rPr>
    </w:lvl>
    <w:lvl w:ilvl="1" w:tentative="0">
      <w:start w:val="1"/>
      <w:numFmt w:val="decimal"/>
      <w:isLgl/>
      <w:lvlText w:val="%2."/>
      <w:lvlJc w:val="left"/>
      <w:pPr>
        <w:tabs>
          <w:tab w:val="left" w:pos="420"/>
        </w:tabs>
        <w:ind w:left="567" w:hanging="567"/>
      </w:pPr>
      <w:rPr>
        <w:rFonts w:hint="eastAsia" w:ascii="宋体" w:hAnsi="宋体" w:eastAsia="宋体" w:cs="宋体"/>
      </w:rPr>
    </w:lvl>
    <w:lvl w:ilvl="2" w:tentative="0">
      <w:start w:val="1"/>
      <w:numFmt w:val="decimal"/>
      <w:isLgl/>
      <w:lvlText w:val="%2.%3."/>
      <w:lvlJc w:val="left"/>
      <w:pPr>
        <w:ind w:left="709" w:hanging="709"/>
      </w:pPr>
      <w:rPr>
        <w:rFonts w:hint="eastAsia" w:ascii="宋体" w:hAnsi="宋体" w:eastAsia="宋体" w:cs="宋体"/>
      </w:rPr>
    </w:lvl>
    <w:lvl w:ilvl="3" w:tentative="0">
      <w:start w:val="1"/>
      <w:numFmt w:val="decimal"/>
      <w:isLgl/>
      <w:lvlText w:val="%2.%3.%4."/>
      <w:lvlJc w:val="left"/>
      <w:pPr>
        <w:ind w:left="850" w:hanging="850"/>
      </w:pPr>
      <w:rPr>
        <w:rFonts w:hint="eastAsia" w:ascii="宋体" w:hAnsi="宋体" w:eastAsia="宋体" w:cs="宋体"/>
      </w:rPr>
    </w:lvl>
    <w:lvl w:ilvl="4" w:tentative="0">
      <w:start w:val="1"/>
      <w:numFmt w:val="decimal"/>
      <w:isLgl/>
      <w:lvlText w:val="%2.%3.%4.%5."/>
      <w:lvlJc w:val="left"/>
      <w:pPr>
        <w:ind w:left="991" w:hanging="991"/>
      </w:pPr>
      <w:rPr>
        <w:rFonts w:hint="eastAsia" w:ascii="宋体" w:hAnsi="宋体" w:eastAsia="宋体" w:cs="宋体"/>
      </w:rPr>
    </w:lvl>
    <w:lvl w:ilvl="5" w:tentative="0">
      <w:start w:val="1"/>
      <w:numFmt w:val="decimal"/>
      <w:isLgl/>
      <w:lvlText w:val="%2.%3.%4.%5.%6."/>
      <w:lvlJc w:val="left"/>
      <w:pPr>
        <w:ind w:left="1134" w:hanging="1134"/>
      </w:pPr>
      <w:rPr>
        <w:rFonts w:hint="eastAsia" w:ascii="宋体" w:hAnsi="宋体" w:eastAsia="宋体" w:cs="宋体"/>
      </w:rPr>
    </w:lvl>
    <w:lvl w:ilvl="6" w:tentative="0">
      <w:start w:val="1"/>
      <w:numFmt w:val="decimal"/>
      <w:isLgl/>
      <w:lvlText w:val="%2.%3.%4.%5.%6.%7."/>
      <w:lvlJc w:val="left"/>
      <w:pPr>
        <w:ind w:left="1275" w:hanging="1275"/>
      </w:pPr>
      <w:rPr>
        <w:rFonts w:hint="eastAsia" w:ascii="宋体" w:hAnsi="宋体" w:eastAsia="宋体" w:cs="宋体"/>
      </w:rPr>
    </w:lvl>
    <w:lvl w:ilvl="7" w:tentative="0">
      <w:start w:val="1"/>
      <w:numFmt w:val="decimal"/>
      <w:isLgl/>
      <w:lvlText w:val="%2.%3.%4.%5.%6.%7.%8."/>
      <w:lvlJc w:val="left"/>
      <w:pPr>
        <w:ind w:left="1418" w:hanging="1418"/>
      </w:pPr>
      <w:rPr>
        <w:rFonts w:hint="eastAsia" w:ascii="宋体" w:hAnsi="宋体" w:eastAsia="宋体" w:cs="宋体"/>
      </w:rPr>
    </w:lvl>
    <w:lvl w:ilvl="8" w:tentative="0">
      <w:start w:val="1"/>
      <w:numFmt w:val="decimal"/>
      <w:isLgl/>
      <w:lvlText w:val="%2.%3.%4.%5.%6.%7.%8.%9."/>
      <w:lvlJc w:val="left"/>
      <w:pPr>
        <w:ind w:left="1558" w:hanging="1558"/>
      </w:pPr>
      <w:rPr>
        <w:rFonts w:hint="eastAsia" w:ascii="宋体" w:hAnsi="宋体" w:eastAsia="宋体" w:cs="宋体"/>
      </w:rPr>
    </w:lvl>
  </w:abstractNum>
  <w:abstractNum w:abstractNumId="2">
    <w:nsid w:val="688E2656"/>
    <w:multiLevelType w:val="multilevel"/>
    <w:tmpl w:val="688E2656"/>
    <w:lvl w:ilvl="0" w:tentative="0">
      <w:start w:val="1"/>
      <w:numFmt w:val="chineseCounting"/>
      <w:lvlText w:val="%1、"/>
      <w:lvlJc w:val="left"/>
      <w:pPr>
        <w:ind w:left="425" w:hanging="425"/>
      </w:pPr>
      <w:rPr>
        <w:rFonts w:hint="eastAsia" w:ascii="宋体" w:hAnsi="宋体" w:eastAsia="宋体" w:cs="宋体"/>
      </w:rPr>
    </w:lvl>
    <w:lvl w:ilvl="1" w:tentative="0">
      <w:start w:val="1"/>
      <w:numFmt w:val="decimal"/>
      <w:lvlText w:val="%1.%2."/>
      <w:lvlJc w:val="left"/>
      <w:pPr>
        <w:ind w:left="567" w:hanging="567"/>
      </w:pPr>
      <w:rPr>
        <w:rFonts w:hint="eastAsia" w:ascii="宋体" w:hAnsi="宋体" w:eastAsia="宋体" w:cs="宋体"/>
      </w:rPr>
    </w:lvl>
    <w:lvl w:ilvl="2" w:tentative="0">
      <w:start w:val="1"/>
      <w:numFmt w:val="decimal"/>
      <w:lvlText w:val="%1.%2.%3."/>
      <w:lvlJc w:val="left"/>
      <w:pPr>
        <w:ind w:left="709" w:hanging="709"/>
      </w:pPr>
      <w:rPr>
        <w:rFonts w:hint="eastAsia" w:ascii="宋体" w:hAnsi="宋体" w:eastAsia="宋体" w:cs="宋体"/>
      </w:rPr>
    </w:lvl>
    <w:lvl w:ilvl="3" w:tentative="0">
      <w:start w:val="1"/>
      <w:numFmt w:val="decimal"/>
      <w:lvlText w:val="%1.%2.%3.%4."/>
      <w:lvlJc w:val="left"/>
      <w:pPr>
        <w:ind w:left="850" w:hanging="850"/>
      </w:pPr>
      <w:rPr>
        <w:rFonts w:hint="eastAsia"/>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ZDI1OGQwY2YyYjA5ZTM5N2YxYjk4NjE2MWZmOWUifQ=="/>
  </w:docVars>
  <w:rsids>
    <w:rsidRoot w:val="37F05470"/>
    <w:rsid w:val="04243DB5"/>
    <w:rsid w:val="15C56A7A"/>
    <w:rsid w:val="1BA2102D"/>
    <w:rsid w:val="1C060E08"/>
    <w:rsid w:val="2490558E"/>
    <w:rsid w:val="2F7640CA"/>
    <w:rsid w:val="31BD2159"/>
    <w:rsid w:val="320B6544"/>
    <w:rsid w:val="37F05470"/>
    <w:rsid w:val="3C923AA8"/>
    <w:rsid w:val="415441F0"/>
    <w:rsid w:val="42703746"/>
    <w:rsid w:val="4BBF74EC"/>
    <w:rsid w:val="4C0B38ED"/>
    <w:rsid w:val="4DC07CC7"/>
    <w:rsid w:val="4E2515D4"/>
    <w:rsid w:val="4F462178"/>
    <w:rsid w:val="51903CE9"/>
    <w:rsid w:val="56A43FA4"/>
    <w:rsid w:val="574D1E50"/>
    <w:rsid w:val="61AA2758"/>
    <w:rsid w:val="6EC579A1"/>
    <w:rsid w:val="7A7D1BC1"/>
    <w:rsid w:val="7C4B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line="578" w:lineRule="auto"/>
      <w:outlineLvl w:val="0"/>
    </w:pPr>
    <w:rPr>
      <w:rFonts w:ascii="Calibri" w:hAnsi="Calibri" w:eastAsia="黑体"/>
      <w:b/>
      <w:bCs/>
      <w:kern w:val="44"/>
      <w:sz w:val="36"/>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List 2"/>
    <w:basedOn w:val="1"/>
    <w:next w:val="3"/>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3">
    <w:name w:val="Plain Text"/>
    <w:basedOn w:val="1"/>
    <w:qFormat/>
    <w:uiPriority w:val="0"/>
    <w:rPr>
      <w:rFonts w:ascii="宋体" w:hAnsi="Calibri" w:eastAsia="宋体" w:cs="Times New Roman"/>
      <w:szCs w:val="20"/>
    </w:rPr>
  </w:style>
  <w:style w:type="paragraph" w:styleId="5">
    <w:name w:val="Body Text"/>
    <w:basedOn w:val="1"/>
    <w:next w:val="6"/>
    <w:qFormat/>
    <w:uiPriority w:val="0"/>
    <w:pPr>
      <w:spacing w:after="120"/>
    </w:pPr>
  </w:style>
  <w:style w:type="paragraph" w:styleId="6">
    <w:name w:val="Date"/>
    <w:basedOn w:val="1"/>
    <w:next w:val="1"/>
    <w:qFormat/>
    <w:uiPriority w:val="0"/>
    <w:pPr>
      <w:ind w:left="100" w:leftChars="25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2258</Words>
  <Characters>2594</Characters>
  <Lines>0</Lines>
  <Paragraphs>0</Paragraphs>
  <TotalTime>4</TotalTime>
  <ScaleCrop>false</ScaleCrop>
  <LinksUpToDate>false</LinksUpToDate>
  <CharactersWithSpaces>2605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2022-09-22T07:43:00Z</dcterms:created>
  <dc:creator>Z</dc:creator>
  <cp:lastModifiedBy>Fox</cp:lastModifiedBy>
  <dcterms:modified xsi:type="dcterms:W3CDTF">2024-12-10T05:34:25Z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3BD0F2FDEF2D45D89DA407321AAF2FC2_13</vt:lpwstr>
  </property>
</Properties>
</file>