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1B3A7">
      <w:pPr>
        <w:numPr>
          <w:ilvl w:val="0"/>
          <w:numId w:val="0"/>
        </w:numPr>
        <w:spacing w:line="360" w:lineRule="auto"/>
        <w:jc w:val="center"/>
        <w:rPr>
          <w:rFonts w:hint="eastAsia" w:ascii="宋体" w:hAnsi="宋体" w:eastAsia="宋体" w:cs="宋体"/>
          <w:b w:val="0"/>
          <w:bCs w:val="0"/>
          <w:color w:val="auto"/>
          <w:kern w:val="0"/>
          <w:sz w:val="28"/>
          <w:szCs w:val="28"/>
          <w:lang w:val="en-US" w:eastAsia="zh-CN" w:bidi="ar"/>
        </w:rPr>
      </w:pPr>
      <w:r>
        <w:rPr>
          <w:rFonts w:hint="eastAsia" w:ascii="宋体" w:hAnsi="宋体" w:cs="宋体"/>
          <w:b w:val="0"/>
          <w:bCs w:val="0"/>
          <w:color w:val="auto"/>
          <w:kern w:val="0"/>
          <w:sz w:val="28"/>
          <w:szCs w:val="28"/>
          <w:lang w:val="en-US" w:eastAsia="zh-CN" w:bidi="ar"/>
        </w:rPr>
        <w:t>洛浦县***人员意外伤害保险</w:t>
      </w:r>
    </w:p>
    <w:p w14:paraId="40838EB9">
      <w:pPr>
        <w:numPr>
          <w:ilvl w:val="0"/>
          <w:numId w:val="0"/>
        </w:numPr>
        <w:spacing w:line="360" w:lineRule="auto"/>
        <w:ind w:firstLine="480" w:firstLineChars="200"/>
        <w:jc w:val="both"/>
        <w:rPr>
          <w:rFonts w:hint="eastAsia"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一、供应商</w:t>
      </w:r>
      <w:r>
        <w:rPr>
          <w:rFonts w:hint="eastAsia" w:ascii="宋体" w:hAnsi="宋体" w:eastAsia="宋体" w:cs="宋体"/>
          <w:b w:val="0"/>
          <w:bCs w:val="0"/>
          <w:color w:val="auto"/>
          <w:kern w:val="0"/>
          <w:sz w:val="24"/>
          <w:szCs w:val="24"/>
          <w:lang w:val="en-US" w:eastAsia="zh-CN" w:bidi="ar"/>
        </w:rPr>
        <w:t>资格要求</w:t>
      </w:r>
    </w:p>
    <w:p w14:paraId="01E76ABC">
      <w:pPr>
        <w:numPr>
          <w:ilvl w:val="0"/>
          <w:numId w:val="0"/>
        </w:numPr>
        <w:spacing w:line="360" w:lineRule="auto"/>
        <w:ind w:firstLine="480" w:firstLineChars="200"/>
        <w:jc w:val="both"/>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1.满足《中华人民共和国政府采购法》第二十二条规定：</w:t>
      </w:r>
    </w:p>
    <w:p w14:paraId="191B7C3A">
      <w:pPr>
        <w:numPr>
          <w:ilvl w:val="0"/>
          <w:numId w:val="1"/>
        </w:numPr>
        <w:spacing w:line="360" w:lineRule="auto"/>
        <w:ind w:firstLine="480" w:firstLineChars="200"/>
        <w:jc w:val="both"/>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具有独立承担民事责任的能力：在中华人民共和国境内注册的法人或其他组织或自然人，投标（响应）时提交有效的营业执照（或事业法人登记证或身份证等相关证明）；分支机构投标的，须提供总公司和分公司营业执照副本，总公司出具给分支机构的授权书；</w:t>
      </w:r>
    </w:p>
    <w:p w14:paraId="44AB859B">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b w:val="0"/>
          <w:bCs w:val="0"/>
          <w:color w:val="auto"/>
          <w:kern w:val="0"/>
          <w:sz w:val="24"/>
          <w:szCs w:val="24"/>
          <w:lang w:val="en-US" w:eastAsia="zh-CN" w:bidi="ar"/>
        </w:rPr>
        <w:t>提供202</w:t>
      </w:r>
      <w:r>
        <w:rPr>
          <w:rFonts w:hint="eastAsia" w:ascii="宋体" w:hAnsi="宋体" w:cs="宋体"/>
          <w:b w:val="0"/>
          <w:bCs w:val="0"/>
          <w:color w:val="auto"/>
          <w:kern w:val="0"/>
          <w:sz w:val="24"/>
          <w:szCs w:val="24"/>
          <w:lang w:val="en-US" w:eastAsia="zh-CN" w:bidi="ar"/>
        </w:rPr>
        <w:t>3</w:t>
      </w:r>
      <w:r>
        <w:rPr>
          <w:rFonts w:hint="eastAsia" w:ascii="宋体" w:hAnsi="宋体" w:eastAsia="宋体" w:cs="宋体"/>
          <w:b w:val="0"/>
          <w:bCs w:val="0"/>
          <w:color w:val="auto"/>
          <w:kern w:val="0"/>
          <w:sz w:val="24"/>
          <w:szCs w:val="24"/>
          <w:lang w:val="en-US" w:eastAsia="zh-CN" w:bidi="ar"/>
        </w:rPr>
        <w:t>年度或202</w:t>
      </w:r>
      <w:r>
        <w:rPr>
          <w:rFonts w:hint="eastAsia" w:ascii="宋体" w:hAnsi="宋体" w:cs="宋体"/>
          <w:b w:val="0"/>
          <w:bCs w:val="0"/>
          <w:color w:val="auto"/>
          <w:kern w:val="0"/>
          <w:sz w:val="24"/>
          <w:szCs w:val="24"/>
          <w:lang w:val="en-US" w:eastAsia="zh-CN" w:bidi="ar"/>
        </w:rPr>
        <w:t>4</w:t>
      </w:r>
      <w:r>
        <w:rPr>
          <w:rFonts w:hint="eastAsia" w:ascii="宋体" w:hAnsi="宋体" w:eastAsia="宋体" w:cs="宋体"/>
          <w:b w:val="0"/>
          <w:bCs w:val="0"/>
          <w:color w:val="auto"/>
          <w:kern w:val="0"/>
          <w:sz w:val="24"/>
          <w:szCs w:val="24"/>
          <w:lang w:val="en-US" w:eastAsia="zh-CN" w:bidi="ar"/>
        </w:rPr>
        <w:t>年度由第三方财务审计机构出具的财务审计报告或提供银行</w:t>
      </w:r>
      <w:r>
        <w:rPr>
          <w:rFonts w:hint="eastAsia" w:ascii="宋体" w:hAnsi="宋体" w:eastAsia="宋体" w:cs="宋体"/>
          <w:color w:val="auto"/>
          <w:kern w:val="0"/>
          <w:sz w:val="24"/>
          <w:szCs w:val="24"/>
          <w:lang w:val="en-US" w:eastAsia="zh-CN" w:bidi="ar"/>
        </w:rPr>
        <w:t>出具的近一个月的资信证明；</w:t>
      </w:r>
    </w:p>
    <w:p w14:paraId="4C2BA121">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提供税务机关出具</w:t>
      </w:r>
      <w:r>
        <w:rPr>
          <w:rFonts w:hint="eastAsia" w:ascii="宋体" w:hAnsi="宋体" w:cs="宋体"/>
          <w:color w:val="auto"/>
          <w:kern w:val="0"/>
          <w:sz w:val="24"/>
          <w:szCs w:val="24"/>
          <w:lang w:val="en-US" w:eastAsia="zh-CN" w:bidi="ar"/>
        </w:rPr>
        <w:t>近一个月的完税证明</w:t>
      </w:r>
      <w:r>
        <w:rPr>
          <w:rFonts w:hint="eastAsia" w:ascii="宋体" w:hAnsi="宋体" w:eastAsia="宋体" w:cs="宋体"/>
          <w:color w:val="auto"/>
          <w:kern w:val="0"/>
          <w:sz w:val="24"/>
          <w:szCs w:val="24"/>
          <w:lang w:val="en-US" w:eastAsia="zh-CN" w:bidi="ar"/>
        </w:rPr>
        <w:t>（新成立不足</w:t>
      </w: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个月的公司按实际发生提供，零申报的需提供依法报税资料），注：以完税证明税款所属日期为准，代缴</w:t>
      </w:r>
      <w:r>
        <w:rPr>
          <w:rFonts w:hint="eastAsia" w:ascii="宋体" w:hAnsi="宋体" w:cs="宋体"/>
          <w:color w:val="auto"/>
          <w:kern w:val="0"/>
          <w:sz w:val="24"/>
          <w:szCs w:val="24"/>
          <w:lang w:val="en-US" w:eastAsia="zh-CN" w:bidi="ar"/>
        </w:rPr>
        <w:t>费</w:t>
      </w:r>
      <w:r>
        <w:rPr>
          <w:rFonts w:hint="eastAsia" w:ascii="宋体" w:hAnsi="宋体" w:eastAsia="宋体" w:cs="宋体"/>
          <w:color w:val="auto"/>
          <w:kern w:val="0"/>
          <w:sz w:val="24"/>
          <w:szCs w:val="24"/>
          <w:lang w:val="en-US" w:eastAsia="zh-CN" w:bidi="ar"/>
        </w:rPr>
        <w:t>的完税证明不作为税务缴费凭证（如社保缴</w:t>
      </w:r>
      <w:r>
        <w:rPr>
          <w:rFonts w:hint="eastAsia" w:ascii="宋体" w:hAnsi="宋体" w:cs="宋体"/>
          <w:color w:val="auto"/>
          <w:kern w:val="0"/>
          <w:sz w:val="24"/>
          <w:szCs w:val="24"/>
          <w:lang w:val="en-US" w:eastAsia="zh-CN" w:bidi="ar"/>
        </w:rPr>
        <w:t>费</w:t>
      </w:r>
      <w:r>
        <w:rPr>
          <w:rFonts w:hint="eastAsia" w:ascii="宋体" w:hAnsi="宋体" w:eastAsia="宋体" w:cs="宋体"/>
          <w:color w:val="auto"/>
          <w:kern w:val="0"/>
          <w:sz w:val="24"/>
          <w:szCs w:val="24"/>
          <w:lang w:val="en-US" w:eastAsia="zh-CN" w:bidi="ar"/>
        </w:rPr>
        <w:t>等）</w:t>
      </w:r>
      <w:r>
        <w:rPr>
          <w:rFonts w:hint="eastAsia" w:ascii="宋体" w:hAnsi="宋体" w:cs="宋体"/>
          <w:color w:val="auto"/>
          <w:kern w:val="0"/>
          <w:sz w:val="24"/>
          <w:szCs w:val="24"/>
          <w:lang w:val="en-US" w:eastAsia="zh-CN" w:bidi="ar"/>
        </w:rPr>
        <w:t>；</w:t>
      </w:r>
    </w:p>
    <w:p w14:paraId="7C4E6EBD">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提供本单位缴纳的近</w:t>
      </w:r>
      <w:r>
        <w:rPr>
          <w:rFonts w:hint="eastAsia" w:ascii="宋体" w:hAnsi="宋体" w:cs="宋体"/>
          <w:color w:val="auto"/>
          <w:kern w:val="0"/>
          <w:sz w:val="24"/>
          <w:szCs w:val="24"/>
          <w:lang w:val="en-US" w:eastAsia="zh-CN" w:bidi="ar"/>
        </w:rPr>
        <w:t>一年内任意连续</w:t>
      </w:r>
      <w:r>
        <w:rPr>
          <w:rFonts w:hint="eastAsia" w:ascii="宋体" w:hAnsi="宋体" w:eastAsia="宋体" w:cs="宋体"/>
          <w:color w:val="auto"/>
          <w:kern w:val="0"/>
          <w:sz w:val="24"/>
          <w:szCs w:val="24"/>
          <w:lang w:val="en-US" w:eastAsia="zh-CN" w:bidi="ar"/>
        </w:rPr>
        <w:t>三个月社保缴纳证明</w:t>
      </w:r>
      <w:r>
        <w:rPr>
          <w:rFonts w:hint="eastAsia" w:ascii="宋体" w:hAnsi="宋体" w:eastAsia="宋体" w:cs="宋体"/>
          <w:color w:val="000000" w:themeColor="text1"/>
          <w:kern w:val="0"/>
          <w:sz w:val="24"/>
          <w:szCs w:val="24"/>
          <w:lang w:val="en-US" w:eastAsia="zh-CN" w:bidi="ar"/>
          <w14:textFill>
            <w14:solidFill>
              <w14:schemeClr w14:val="tx1"/>
            </w14:solidFill>
          </w14:textFill>
        </w:rPr>
        <w:t>（单位社保缴费</w:t>
      </w:r>
      <w:r>
        <w:rPr>
          <w:rFonts w:hint="eastAsia" w:ascii="宋体" w:hAnsi="宋体" w:cs="宋体"/>
          <w:color w:val="000000" w:themeColor="text1"/>
          <w:kern w:val="0"/>
          <w:sz w:val="24"/>
          <w:szCs w:val="24"/>
          <w:lang w:val="en-US" w:eastAsia="zh-CN" w:bidi="ar"/>
          <w14:textFill>
            <w14:solidFill>
              <w14:schemeClr w14:val="tx1"/>
            </w14:solidFill>
          </w14:textFill>
        </w:rPr>
        <w:t>汇总单</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auto"/>
          <w:kern w:val="0"/>
          <w:sz w:val="24"/>
          <w:szCs w:val="24"/>
          <w:lang w:val="en-US" w:eastAsia="zh-CN" w:bidi="ar"/>
        </w:rPr>
        <w:t>202</w:t>
      </w: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年</w:t>
      </w: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月份后成立的公司按实际发生提供）；</w:t>
      </w:r>
    </w:p>
    <w:p w14:paraId="3BCD2EFF">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提供履行合同所必需的设备和专业技术能力的书面声明；</w:t>
      </w:r>
    </w:p>
    <w:p w14:paraId="6E698979">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提供参加政府采购活动前三年内在经营活动中没有重大违法记录的书面声明</w:t>
      </w:r>
      <w:r>
        <w:rPr>
          <w:rFonts w:hint="eastAsia" w:ascii="宋体" w:hAnsi="宋体" w:cs="宋体"/>
          <w:color w:val="auto"/>
          <w:kern w:val="0"/>
          <w:sz w:val="24"/>
          <w:szCs w:val="24"/>
          <w:highlight w:val="none"/>
          <w:lang w:val="en-US" w:eastAsia="zh-CN" w:bidi="ar"/>
        </w:rPr>
        <w:t>；</w:t>
      </w:r>
    </w:p>
    <w:p w14:paraId="66FC311D">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lang w:val="en-US" w:eastAsia="zh-CN" w:bidi="ar"/>
        </w:rPr>
        <w:t>法定代表人投标</w:t>
      </w:r>
      <w:r>
        <w:rPr>
          <w:rFonts w:hint="eastAsia" w:ascii="宋体" w:hAnsi="宋体" w:eastAsia="宋体" w:cs="宋体"/>
          <w:color w:val="auto"/>
          <w:kern w:val="0"/>
          <w:sz w:val="24"/>
          <w:szCs w:val="24"/>
          <w:lang w:val="en-US" w:eastAsia="zh-CN" w:bidi="ar"/>
        </w:rPr>
        <w:t>提供《法定代表人身份证明书》</w:t>
      </w:r>
      <w:r>
        <w:rPr>
          <w:rFonts w:hint="eastAsia" w:ascii="宋体" w:hAnsi="宋体" w:cs="宋体"/>
          <w:color w:val="auto"/>
          <w:kern w:val="0"/>
          <w:sz w:val="24"/>
          <w:szCs w:val="24"/>
          <w:lang w:val="en-US" w:eastAsia="zh-CN" w:bidi="ar"/>
        </w:rPr>
        <w:t>，委托代理人投标提供</w:t>
      </w:r>
      <w:r>
        <w:rPr>
          <w:rFonts w:hint="eastAsia" w:ascii="宋体" w:hAnsi="宋体" w:eastAsia="宋体" w:cs="宋体"/>
          <w:color w:val="auto"/>
          <w:kern w:val="0"/>
          <w:sz w:val="24"/>
          <w:szCs w:val="24"/>
          <w:lang w:val="en-US" w:eastAsia="zh-CN" w:bidi="ar"/>
        </w:rPr>
        <w:t>《法定代表人授权委托书》；</w:t>
      </w:r>
    </w:p>
    <w:p w14:paraId="06ABB681">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截屏盖章）</w:t>
      </w:r>
      <w:r>
        <w:rPr>
          <w:rFonts w:hint="eastAsia" w:ascii="宋体" w:hAnsi="宋体" w:cs="宋体"/>
          <w:color w:val="auto"/>
          <w:kern w:val="0"/>
          <w:sz w:val="24"/>
          <w:szCs w:val="24"/>
          <w:lang w:val="en-US" w:eastAsia="zh-CN" w:bidi="ar"/>
        </w:rPr>
        <w:t>。</w:t>
      </w:r>
    </w:p>
    <w:p w14:paraId="2E0B7920">
      <w:pPr>
        <w:numPr>
          <w:ilvl w:val="0"/>
          <w:numId w:val="0"/>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2.落实政府采购政策需满足的资格要求：</w:t>
      </w:r>
    </w:p>
    <w:p w14:paraId="77DACB31">
      <w:pPr>
        <w:numPr>
          <w:ilvl w:val="0"/>
          <w:numId w:val="0"/>
        </w:numPr>
        <w:spacing w:line="360" w:lineRule="auto"/>
        <w:ind w:firstLine="480" w:firstLineChars="200"/>
        <w:jc w:val="both"/>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本项目为非专门面向中小企业（含中型、小型、微型企业）采购项目，根据《政府采购促进中小企业发展管理办法》（财库[2020]46号）的规定，评标时将给予此类企业进行价格10%的优惠，用优惠后的价格参与评审。本项目所属行业为：其他未列明行业。</w:t>
      </w:r>
    </w:p>
    <w:p w14:paraId="7A9DF186">
      <w:pPr>
        <w:numPr>
          <w:ilvl w:val="0"/>
          <w:numId w:val="0"/>
        </w:numPr>
        <w:spacing w:line="360" w:lineRule="auto"/>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3.本项目的特定资格要求：</w:t>
      </w:r>
    </w:p>
    <w:p w14:paraId="37ECA64B">
      <w:pPr>
        <w:numPr>
          <w:ilvl w:val="0"/>
          <w:numId w:val="0"/>
        </w:numPr>
        <w:spacing w:line="360" w:lineRule="auto"/>
        <w:ind w:firstLine="480" w:firstLineChars="200"/>
        <w:jc w:val="both"/>
        <w:rPr>
          <w:rFonts w:hint="eastAsia" w:ascii="宋体" w:hAnsi="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1、须具备有效期内国家金融监督管理总局核发的《经营保险业务许可证》；</w:t>
      </w:r>
    </w:p>
    <w:p w14:paraId="4693ADA3">
      <w:pPr>
        <w:numPr>
          <w:ilvl w:val="0"/>
          <w:numId w:val="0"/>
        </w:numPr>
        <w:spacing w:line="360" w:lineRule="auto"/>
        <w:jc w:val="both"/>
        <w:rPr>
          <w:rFonts w:hint="eastAsia" w:ascii="宋体" w:hAnsi="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二、服务内容及要求</w:t>
      </w:r>
    </w:p>
    <w:p w14:paraId="4BDBB2CB">
      <w:pPr>
        <w:pStyle w:val="10"/>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为单位</w:t>
      </w:r>
      <w:r>
        <w:rPr>
          <w:rFonts w:hint="eastAsia" w:cs="宋体"/>
          <w:b w:val="0"/>
          <w:bCs w:val="0"/>
          <w:color w:val="auto"/>
          <w:kern w:val="0"/>
          <w:sz w:val="24"/>
          <w:szCs w:val="24"/>
          <w:lang w:val="en-US" w:eastAsia="zh-CN" w:bidi="ar"/>
        </w:rPr>
        <w:t>人员</w:t>
      </w:r>
      <w:r>
        <w:rPr>
          <w:rFonts w:hint="eastAsia" w:ascii="宋体" w:hAnsi="宋体" w:cs="宋体"/>
          <w:b w:val="0"/>
          <w:bCs w:val="0"/>
          <w:color w:val="auto"/>
          <w:kern w:val="0"/>
          <w:sz w:val="24"/>
          <w:szCs w:val="24"/>
          <w:lang w:val="en-US" w:eastAsia="zh-CN" w:bidi="ar"/>
        </w:rPr>
        <w:t>购买意外伤害身故、伤残保险100万元/人、附加团体突发疾病身故、全残、猝死保险50万元/人、附加团体意外伤害医疗保险10万元/人、附加意外伤害住院津贴100元/人/天、附加住院补充医疗保险3万元/人、附加交通工具乘客意外伤害保险（飞机）100万元/人、附加交通工具乘客意外伤害保险（火车）50万元/人、附加交通工具乘客意外伤害保险（轮船）50万元/人。</w:t>
      </w:r>
    </w:p>
    <w:p w14:paraId="3FD6C041">
      <w:pPr>
        <w:pStyle w:val="28"/>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1、供应商提供的服务应符合或优于国家相关标准、行业标准、地方标准或者其他标准、规范要求。</w:t>
      </w:r>
    </w:p>
    <w:p w14:paraId="17EC2DB6">
      <w:pPr>
        <w:pStyle w:val="28"/>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2、接受项目行业管理部门及政府有关部门的指导，接受采购人的监督。</w:t>
      </w:r>
    </w:p>
    <w:p w14:paraId="759E8062">
      <w:pPr>
        <w:pStyle w:val="28"/>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3、供应商定期及时向采购人通告本项目服务范围内有关服务的重大事项及其进度。</w:t>
      </w:r>
    </w:p>
    <w:p w14:paraId="3794BB84">
      <w:pPr>
        <w:pStyle w:val="28"/>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4、服务团队要求：为了确保为本项目提供高效、稳定的专业服务，供应商须成立针对本项目的专职服务团队。</w:t>
      </w:r>
    </w:p>
    <w:p w14:paraId="28C85F17">
      <w:pPr>
        <w:pStyle w:val="28"/>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5、理赔服务要求：</w:t>
      </w:r>
    </w:p>
    <w:p w14:paraId="51989BEB">
      <w:pPr>
        <w:pStyle w:val="28"/>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（1）报案要求：电话报案严格执行全年、24 小时的全天候接报案制度。</w:t>
      </w:r>
    </w:p>
    <w:p w14:paraId="328473A1">
      <w:pPr>
        <w:pStyle w:val="28"/>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（2）查勘定损要求： ①查勘：接到报案后，应第一时间与报案人联系，必须立即答复是否需要保留现场，如需要现场查勘，专责理赔人员最迟在2小时内到达现场。若抢险需要，可自行处理事故现场（采购人或被保险人尽量保留事故现场的有关照片、录像）。②单证收集：查勘（现场或非现场）后，安排专人负责收集查勘取得的各项材料，并于索赔资料收集完毕后3个工作日内将该案件初步定责定损意见反馈至采购人。</w:t>
      </w:r>
    </w:p>
    <w:p w14:paraId="25F964D6">
      <w:pPr>
        <w:pStyle w:val="28"/>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赔付时限要求：在与被保险人达成赔偿协议后，将赔款支付到被保险人银行账户的赔付时限最长不超过10个工作日，政策法规规定期限更短的，按更短的期限执行，理赔过程中产生的纠纷问题和责任由成交供应商全部处理和承担。</w:t>
      </w:r>
    </w:p>
    <w:p w14:paraId="38244FDB">
      <w:pPr>
        <w:numPr>
          <w:ilvl w:val="0"/>
          <w:numId w:val="0"/>
        </w:num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（4）案件受理时限：投保人及被保险人向保险人请求赔偿或者给付保险金的诉讼时效期间为二年，自其知道或者应当知道保险事故发生之日起计算。</w:t>
      </w:r>
    </w:p>
    <w:p w14:paraId="5900601F">
      <w:pPr>
        <w:pStyle w:val="10"/>
        <w:keepNext w:val="0"/>
        <w:keepLines w:val="0"/>
        <w:pageBreakBefore w:val="0"/>
        <w:kinsoku/>
        <w:wordWrap/>
        <w:overflowPunct/>
        <w:topLinePunct w:val="0"/>
        <w:autoSpaceDE/>
        <w:autoSpaceDN/>
        <w:bidi w:val="0"/>
        <w:adjustRightInd/>
        <w:snapToGrid/>
        <w:spacing w:after="0" w:line="360" w:lineRule="auto"/>
        <w:ind w:firstLine="540" w:firstLineChars="22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（二）保险责任</w:t>
      </w:r>
    </w:p>
    <w:p w14:paraId="37B443FF">
      <w:pPr>
        <w:pStyle w:val="10"/>
        <w:keepNext w:val="0"/>
        <w:keepLines w:val="0"/>
        <w:pageBreakBefore w:val="0"/>
        <w:kinsoku/>
        <w:wordWrap/>
        <w:overflowPunct/>
        <w:topLinePunct w:val="0"/>
        <w:autoSpaceDE/>
        <w:autoSpaceDN/>
        <w:bidi w:val="0"/>
        <w:adjustRightInd/>
        <w:snapToGrid/>
        <w:spacing w:after="0" w:line="360" w:lineRule="auto"/>
        <w:ind w:firstLine="540" w:firstLineChars="22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意外伤害是指遭受外来的、突发的、非本意的、非疾病的客观事件直接致使身体受到的伤害。</w:t>
      </w:r>
    </w:p>
    <w:p w14:paraId="04B9C9B5">
      <w:pPr>
        <w:numPr>
          <w:ilvl w:val="0"/>
          <w:numId w:val="0"/>
        </w:numPr>
        <w:spacing w:line="360" w:lineRule="auto"/>
        <w:ind w:firstLine="480" w:firstLineChars="200"/>
        <w:jc w:val="both"/>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color w:val="auto"/>
          <w:sz w:val="24"/>
          <w:szCs w:val="24"/>
        </w:rPr>
        <w:t>意外伤害医疗是指被保险人遭受意外伤害在卫生行政部门认定的二级</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以上医院接受治疗，保险机构对被保险人因该次意外伤害的治疗而发生的符合保单签发地政府基本医疗保险管理规定范围内合理且必要的医疗费用</w:t>
      </w:r>
      <w:r>
        <w:rPr>
          <w:rFonts w:hint="eastAsia" w:ascii="宋体" w:hAnsi="宋体" w:eastAsia="宋体" w:cs="宋体"/>
          <w:color w:val="auto"/>
          <w:sz w:val="24"/>
          <w:szCs w:val="24"/>
          <w:lang w:eastAsia="zh-CN"/>
        </w:rPr>
        <w:t>。</w:t>
      </w:r>
    </w:p>
    <w:p w14:paraId="75DF2B54">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default" w:ascii="宋体" w:hAnsi="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三</w:t>
      </w:r>
      <w:r>
        <w:rPr>
          <w:rFonts w:hint="default" w:ascii="宋体" w:hAnsi="宋体" w:cs="宋体"/>
          <w:color w:val="auto"/>
          <w:kern w:val="0"/>
          <w:sz w:val="24"/>
          <w:szCs w:val="24"/>
          <w:lang w:val="en-US" w:eastAsia="zh-CN" w:bidi="ar"/>
        </w:rPr>
        <w:t>、</w:t>
      </w:r>
      <w:r>
        <w:rPr>
          <w:rFonts w:hint="eastAsia" w:ascii="宋体" w:hAnsi="宋体" w:eastAsia="宋体" w:cs="宋体"/>
          <w:color w:val="000000"/>
          <w:sz w:val="24"/>
          <w:szCs w:val="24"/>
          <w:highlight w:val="none"/>
          <w:lang w:val="en-US" w:eastAsia="zh-CN"/>
        </w:rPr>
        <w:t>报价要求</w:t>
      </w:r>
    </w:p>
    <w:p w14:paraId="38209A21">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、请投标企业严格按照采购需求（商务要求）中上传报价方案不得出现偏</w:t>
      </w:r>
    </w:p>
    <w:p w14:paraId="353C5875">
      <w:pPr>
        <w:keepNext w:val="0"/>
        <w:pageBreakBefore w:val="0"/>
        <w:numPr>
          <w:ilvl w:val="0"/>
          <w:numId w:val="0"/>
        </w:numPr>
        <w:kinsoku/>
        <w:wordWrap/>
        <w:overflowPunct/>
        <w:topLinePunct w:val="0"/>
        <w:autoSpaceDE/>
        <w:autoSpaceDN/>
        <w:bidi w:val="0"/>
        <w:spacing w:line="360" w:lineRule="auto"/>
        <w:ind w:leftChars="200" w:right="0" w:rightChars="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总报价应包括各种人力成本、设备成本、资料费、服务费、税费及合同实施过程中的所有费用。</w:t>
      </w:r>
    </w:p>
    <w:p w14:paraId="3834B43F">
      <w:pPr>
        <w:keepNext w:val="0"/>
        <w:pageBreakBefore w:val="0"/>
        <w:numPr>
          <w:ilvl w:val="0"/>
          <w:numId w:val="0"/>
        </w:numPr>
        <w:kinsoku/>
        <w:wordWrap/>
        <w:overflowPunct/>
        <w:topLinePunct w:val="0"/>
        <w:autoSpaceDE/>
        <w:autoSpaceDN/>
        <w:bidi w:val="0"/>
        <w:spacing w:line="360" w:lineRule="auto"/>
        <w:ind w:leftChars="200" w:right="0" w:rightChars="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报价不能超过该项目的最高</w:t>
      </w:r>
      <w:r>
        <w:rPr>
          <w:rFonts w:hint="eastAsia" w:ascii="宋体" w:hAnsi="宋体" w:cs="宋体"/>
          <w:color w:val="000000"/>
          <w:sz w:val="24"/>
          <w:szCs w:val="24"/>
          <w:highlight w:val="none"/>
          <w:lang w:val="en-US" w:eastAsia="zh-CN"/>
        </w:rPr>
        <w:t>单价</w:t>
      </w:r>
      <w:r>
        <w:rPr>
          <w:rFonts w:hint="eastAsia" w:ascii="宋体" w:hAnsi="宋体" w:eastAsia="宋体" w:cs="宋体"/>
          <w:color w:val="000000"/>
          <w:sz w:val="24"/>
          <w:szCs w:val="24"/>
          <w:highlight w:val="none"/>
          <w:lang w:val="en-US" w:eastAsia="zh-CN"/>
        </w:rPr>
        <w:t>限价，须精确到小数点后两位，如未按要求报价则为无效投标文件处理。</w:t>
      </w:r>
    </w:p>
    <w:p w14:paraId="34175F2D">
      <w:pPr>
        <w:keepNext w:val="0"/>
        <w:pageBreakBefore w:val="0"/>
        <w:kinsoku/>
        <w:wordWrap/>
        <w:overflowPunct/>
        <w:topLinePunct w:val="0"/>
        <w:autoSpaceDE/>
        <w:autoSpaceDN/>
        <w:bidi w:val="0"/>
        <w:spacing w:line="360" w:lineRule="auto"/>
        <w:ind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投标报价风险</w:t>
      </w:r>
    </w:p>
    <w:p w14:paraId="7B9679CE">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★投标报价已包含完成本项目所需的人力成本、投入成本、利润、税金、交通及其他相关费用等，采购人将不予支付除招标文件及</w:t>
      </w:r>
      <w:r>
        <w:rPr>
          <w:rFonts w:hint="eastAsia" w:ascii="宋体" w:hAnsi="宋体" w:cs="宋体"/>
          <w:color w:val="000000"/>
          <w:sz w:val="24"/>
          <w:szCs w:val="24"/>
          <w:highlight w:val="none"/>
          <w:lang w:val="en-US" w:eastAsia="zh-CN"/>
        </w:rPr>
        <w:t>服务</w:t>
      </w:r>
      <w:r>
        <w:rPr>
          <w:rFonts w:hint="eastAsia" w:ascii="宋体" w:hAnsi="宋体" w:eastAsia="宋体" w:cs="宋体"/>
          <w:color w:val="000000"/>
          <w:sz w:val="24"/>
          <w:szCs w:val="24"/>
          <w:highlight w:val="none"/>
          <w:lang w:val="en-US" w:eastAsia="zh-CN"/>
        </w:rPr>
        <w:t>合同约定的由投标人承担的风险因素之外的任何补偿。</w:t>
      </w:r>
    </w:p>
    <w:p w14:paraId="5534F10E">
      <w:pPr>
        <w:pStyle w:val="10"/>
        <w:keepNext w:val="0"/>
        <w:keepLines w:val="0"/>
        <w:pageBreakBefore w:val="0"/>
        <w:widowControl w:val="0"/>
        <w:kinsoku/>
        <w:wordWrap/>
        <w:overflowPunct/>
        <w:topLinePunct w:val="0"/>
        <w:autoSpaceDE/>
        <w:autoSpaceDN/>
        <w:bidi w:val="0"/>
        <w:adjustRightInd w:val="0"/>
        <w:snapToGrid/>
        <w:spacing w:line="360" w:lineRule="auto"/>
        <w:ind w:left="0" w:leftChars="0" w:right="0" w:firstLine="480" w:firstLineChars="200"/>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项目周围环境等客观因素对项目实施影响巨大，难以将具体情况描述到位，投标人可通过自行现场踏勘掌握本项目的客观资料，便于制定科学的实施方案和风险分析，也可以准确拟定投标价格标准。投标人因未进行现场踏勘影响投标报价、方案编制的，由投标人自行承担。</w:t>
      </w:r>
    </w:p>
    <w:p w14:paraId="306977C8">
      <w:pPr>
        <w:pStyle w:val="10"/>
        <w:keepNext w:val="0"/>
        <w:keepLines w:val="0"/>
        <w:pageBreakBefore w:val="0"/>
        <w:widowControl w:val="0"/>
        <w:kinsoku/>
        <w:wordWrap/>
        <w:overflowPunct/>
        <w:topLinePunct w:val="0"/>
        <w:autoSpaceDE/>
        <w:autoSpaceDN/>
        <w:bidi w:val="0"/>
        <w:adjustRightInd w:val="0"/>
        <w:snapToGrid/>
        <w:spacing w:line="360" w:lineRule="auto"/>
        <w:ind w:left="0" w:leftChars="0" w:right="0" w:firstLine="480" w:firstLineChars="200"/>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bidi="ar-SA"/>
        </w:rPr>
        <w:t>因供应商自身不能参加现场勘查或现场踏勘不全面的，供应商不得因此提出修改投标报价或提出索赔等要求，须在投标文件中提供书面承诺书。</w:t>
      </w:r>
    </w:p>
    <w:p w14:paraId="49A40555">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default"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四、</w:t>
      </w:r>
      <w:r>
        <w:rPr>
          <w:rFonts w:hint="default" w:ascii="宋体" w:hAnsi="宋体" w:eastAsia="宋体" w:cs="宋体"/>
          <w:b w:val="0"/>
          <w:bCs w:val="0"/>
          <w:color w:val="0000FF"/>
          <w:kern w:val="2"/>
          <w:sz w:val="24"/>
          <w:szCs w:val="24"/>
          <w:highlight w:val="none"/>
          <w:lang w:val="en-US" w:eastAsia="zh-CN" w:bidi="ar-SA"/>
        </w:rPr>
        <w:t>付款方式：</w:t>
      </w:r>
      <w:r>
        <w:rPr>
          <w:rFonts w:hint="eastAsia" w:ascii="宋体" w:hAnsi="宋体" w:eastAsia="宋体" w:cs="宋体"/>
          <w:b w:val="0"/>
          <w:bCs w:val="0"/>
          <w:color w:val="0000FF"/>
          <w:kern w:val="2"/>
          <w:sz w:val="24"/>
          <w:szCs w:val="24"/>
          <w:highlight w:val="none"/>
          <w:lang w:val="en-US" w:eastAsia="zh-CN" w:bidi="ar-SA"/>
        </w:rPr>
        <w:t>合同签订后一次性支付</w:t>
      </w:r>
      <w:r>
        <w:rPr>
          <w:rFonts w:hint="eastAsia" w:ascii="宋体" w:hAnsi="宋体" w:cs="宋体"/>
          <w:b w:val="0"/>
          <w:bCs w:val="0"/>
          <w:color w:val="0000FF"/>
          <w:kern w:val="2"/>
          <w:sz w:val="24"/>
          <w:szCs w:val="24"/>
          <w:highlight w:val="none"/>
          <w:lang w:val="en-US" w:eastAsia="zh-CN" w:bidi="ar-SA"/>
        </w:rPr>
        <w:t>，（具体支付时间以财政资金到位</w:t>
      </w:r>
      <w:bookmarkStart w:id="0" w:name="_GoBack"/>
      <w:bookmarkEnd w:id="0"/>
      <w:r>
        <w:rPr>
          <w:rFonts w:hint="eastAsia" w:ascii="宋体" w:hAnsi="宋体" w:cs="宋体"/>
          <w:b w:val="0"/>
          <w:bCs w:val="0"/>
          <w:color w:val="0000FF"/>
          <w:kern w:val="2"/>
          <w:sz w:val="24"/>
          <w:szCs w:val="24"/>
          <w:highlight w:val="none"/>
          <w:lang w:val="en-US" w:eastAsia="zh-CN" w:bidi="ar-SA"/>
        </w:rPr>
        <w:t>为准）</w:t>
      </w:r>
    </w:p>
    <w:p w14:paraId="220B5365">
      <w:pPr>
        <w:numPr>
          <w:ilvl w:val="0"/>
          <w:numId w:val="0"/>
        </w:numPr>
        <w:spacing w:line="360" w:lineRule="auto"/>
        <w:ind w:firstLine="480" w:firstLineChars="200"/>
        <w:jc w:val="both"/>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五</w:t>
      </w:r>
      <w:r>
        <w:rPr>
          <w:rFonts w:hint="eastAsia" w:ascii="宋体" w:hAnsi="宋体" w:eastAsia="宋体" w:cs="宋体"/>
          <w:b w:val="0"/>
          <w:bCs w:val="0"/>
          <w:color w:val="000000"/>
          <w:kern w:val="2"/>
          <w:sz w:val="24"/>
          <w:szCs w:val="24"/>
          <w:highlight w:val="none"/>
          <w:lang w:val="en-US" w:eastAsia="zh-CN" w:bidi="ar-SA"/>
        </w:rPr>
        <w:t>、替补候选人的设定与使用</w:t>
      </w:r>
    </w:p>
    <w:p w14:paraId="0ACE8398">
      <w:pPr>
        <w:numPr>
          <w:ilvl w:val="0"/>
          <w:numId w:val="0"/>
        </w:numPr>
        <w:spacing w:line="360" w:lineRule="auto"/>
        <w:ind w:firstLine="480" w:firstLineChars="200"/>
        <w:jc w:val="both"/>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1.★如果中标供应商不能按照招标文件要求及投标文件的承诺签订中标合同，或经核定中标供应商的投标文件与事实不符，从而影响公平、公正及影响中标合同执行时，采购人有权取消该其中标供应商的中标资格，确定排名在中标供应商之后第一位的投标供应商为中标供应商或依法重新招标。</w:t>
      </w:r>
    </w:p>
    <w:p w14:paraId="3050696B">
      <w:pPr>
        <w:numPr>
          <w:ilvl w:val="0"/>
          <w:numId w:val="0"/>
        </w:numPr>
        <w:spacing w:line="360" w:lineRule="auto"/>
        <w:ind w:firstLine="480" w:firstLineChars="200"/>
        <w:jc w:val="both"/>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2.★如果所有中标候选人均无法签订合同，采购人将依法重新招标或更改采购形式，对受影响的响应供应商不承担任何责任。</w:t>
      </w:r>
    </w:p>
    <w:p w14:paraId="2C13AE75">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注：</w:t>
      </w:r>
      <w:r>
        <w:rPr>
          <w:rFonts w:hint="default" w:ascii="宋体" w:hAnsi="宋体" w:cs="宋体"/>
          <w:color w:val="auto"/>
          <w:kern w:val="0"/>
          <w:sz w:val="24"/>
          <w:szCs w:val="24"/>
          <w:lang w:val="en-US" w:eastAsia="zh-CN" w:bidi="ar"/>
        </w:rPr>
        <w:t>采购需求中标注“★”号条款为实质性条款，必须逐条进行响应，有任何一条负偏离的，将导致投标无效。</w:t>
      </w:r>
    </w:p>
    <w:p w14:paraId="3CFD5AE7">
      <w:pPr>
        <w:spacing w:after="120" w:line="440" w:lineRule="exact"/>
        <w:ind w:left="420" w:leftChars="200" w:firstLine="640" w:firstLineChars="200"/>
        <w:textAlignment w:val="baseline"/>
        <w:rPr>
          <w:rFonts w:hint="eastAsia" w:ascii="黑体" w:hAnsi="黑体" w:eastAsia="黑体" w:cs="宋体"/>
          <w:color w:val="auto"/>
          <w:sz w:val="32"/>
          <w:szCs w:val="32"/>
          <w:highlight w:val="none"/>
          <w:lang w:val="en-US" w:eastAsia="zh-CN"/>
        </w:rPr>
      </w:pPr>
    </w:p>
    <w:p w14:paraId="3CAC653C">
      <w:pPr>
        <w:spacing w:after="120" w:line="440" w:lineRule="exact"/>
        <w:ind w:left="420" w:leftChars="200" w:firstLine="640" w:firstLineChars="200"/>
        <w:textAlignment w:val="baseline"/>
        <w:rPr>
          <w:rFonts w:hint="eastAsia" w:ascii="黑体" w:hAnsi="黑体" w:eastAsia="黑体" w:cs="宋体"/>
          <w:color w:val="auto"/>
          <w:sz w:val="32"/>
          <w:szCs w:val="32"/>
          <w:highlight w:val="none"/>
          <w:lang w:val="en-US" w:eastAsia="zh-CN"/>
        </w:rPr>
      </w:pPr>
    </w:p>
    <w:p w14:paraId="030A695C">
      <w:pPr>
        <w:spacing w:after="120" w:line="440" w:lineRule="exact"/>
        <w:ind w:left="420" w:leftChars="200" w:firstLine="640" w:firstLineChars="200"/>
        <w:textAlignment w:val="baseline"/>
        <w:rPr>
          <w:rFonts w:hint="eastAsia" w:ascii="黑体" w:hAnsi="黑体" w:eastAsia="黑体" w:cs="宋体"/>
          <w:color w:val="auto"/>
          <w:sz w:val="32"/>
          <w:szCs w:val="32"/>
          <w:highlight w:val="none"/>
          <w:lang w:val="en-US" w:eastAsia="zh-CN"/>
        </w:rPr>
      </w:pPr>
    </w:p>
    <w:p w14:paraId="72810B12">
      <w:pPr>
        <w:spacing w:after="120" w:line="440" w:lineRule="exact"/>
        <w:ind w:left="420" w:leftChars="200" w:firstLine="640" w:firstLineChars="200"/>
        <w:textAlignment w:val="baseline"/>
        <w:rPr>
          <w:rFonts w:hint="eastAsia" w:ascii="黑体" w:hAnsi="黑体" w:eastAsia="黑体" w:cs="宋体"/>
          <w:color w:val="auto"/>
          <w:sz w:val="32"/>
          <w:szCs w:val="32"/>
          <w:highlight w:val="none"/>
          <w:lang w:val="en-US" w:eastAsia="zh-CN"/>
        </w:rPr>
      </w:pPr>
    </w:p>
    <w:p w14:paraId="07E58F04">
      <w:pPr>
        <w:rPr>
          <w:rFonts w:hint="default" w:ascii="宋体" w:hAnsi="宋体" w:cs="宋体"/>
          <w:color w:val="auto"/>
          <w:kern w:val="0"/>
          <w:sz w:val="24"/>
          <w:szCs w:val="24"/>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B6FBE">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D920F3">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FD920F3">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1EB00"/>
    <w:multiLevelType w:val="singleLevel"/>
    <w:tmpl w:val="A151EB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MmNiZDNiMGU4YWY0MTQ1MDEwMjViMmY4ZjQyZjgifQ=="/>
  </w:docVars>
  <w:rsids>
    <w:rsidRoot w:val="38203E3A"/>
    <w:rsid w:val="004E1AC6"/>
    <w:rsid w:val="00B4462B"/>
    <w:rsid w:val="01A45297"/>
    <w:rsid w:val="02261F00"/>
    <w:rsid w:val="05CA686F"/>
    <w:rsid w:val="05E11832"/>
    <w:rsid w:val="05F872A7"/>
    <w:rsid w:val="064546D9"/>
    <w:rsid w:val="068E5189"/>
    <w:rsid w:val="069A0002"/>
    <w:rsid w:val="0708351A"/>
    <w:rsid w:val="088B7378"/>
    <w:rsid w:val="0C6424DA"/>
    <w:rsid w:val="0C9A27CA"/>
    <w:rsid w:val="0C9F4D5E"/>
    <w:rsid w:val="0E8F0E93"/>
    <w:rsid w:val="104A6F74"/>
    <w:rsid w:val="13A206DE"/>
    <w:rsid w:val="13D11138"/>
    <w:rsid w:val="13E0137B"/>
    <w:rsid w:val="14B60FEF"/>
    <w:rsid w:val="14BC23BE"/>
    <w:rsid w:val="180052A4"/>
    <w:rsid w:val="19135554"/>
    <w:rsid w:val="194F3544"/>
    <w:rsid w:val="198C562B"/>
    <w:rsid w:val="1B247BB0"/>
    <w:rsid w:val="1CBC1C20"/>
    <w:rsid w:val="1D5D5F49"/>
    <w:rsid w:val="1EA43174"/>
    <w:rsid w:val="21115240"/>
    <w:rsid w:val="21D10D15"/>
    <w:rsid w:val="220F2442"/>
    <w:rsid w:val="227762A3"/>
    <w:rsid w:val="236316A2"/>
    <w:rsid w:val="246266A4"/>
    <w:rsid w:val="269D3F10"/>
    <w:rsid w:val="26D13284"/>
    <w:rsid w:val="276C144B"/>
    <w:rsid w:val="27AD0F2A"/>
    <w:rsid w:val="29AE3DC1"/>
    <w:rsid w:val="2B0100FD"/>
    <w:rsid w:val="2D104627"/>
    <w:rsid w:val="2DFB52D7"/>
    <w:rsid w:val="2FD94831"/>
    <w:rsid w:val="34046A2B"/>
    <w:rsid w:val="34744B40"/>
    <w:rsid w:val="355346A8"/>
    <w:rsid w:val="36F454AC"/>
    <w:rsid w:val="38203E3A"/>
    <w:rsid w:val="39CB3DB0"/>
    <w:rsid w:val="3AFC0714"/>
    <w:rsid w:val="3B9340E2"/>
    <w:rsid w:val="3CFB4E28"/>
    <w:rsid w:val="3EB41721"/>
    <w:rsid w:val="40E045E4"/>
    <w:rsid w:val="419F76EC"/>
    <w:rsid w:val="425F2F15"/>
    <w:rsid w:val="443F0EEB"/>
    <w:rsid w:val="446B0669"/>
    <w:rsid w:val="45762667"/>
    <w:rsid w:val="4577128F"/>
    <w:rsid w:val="461322BD"/>
    <w:rsid w:val="46E043D5"/>
    <w:rsid w:val="484D6167"/>
    <w:rsid w:val="4CFC32FF"/>
    <w:rsid w:val="4D1E0EFC"/>
    <w:rsid w:val="4D2F2ABB"/>
    <w:rsid w:val="4DA73CCC"/>
    <w:rsid w:val="4F114D74"/>
    <w:rsid w:val="4F870321"/>
    <w:rsid w:val="51AC5384"/>
    <w:rsid w:val="53A63401"/>
    <w:rsid w:val="5483555B"/>
    <w:rsid w:val="57EA3B43"/>
    <w:rsid w:val="58B87F02"/>
    <w:rsid w:val="59050C90"/>
    <w:rsid w:val="5ACD6677"/>
    <w:rsid w:val="5BEC3DD8"/>
    <w:rsid w:val="5C115759"/>
    <w:rsid w:val="5D093BF6"/>
    <w:rsid w:val="5E133FAB"/>
    <w:rsid w:val="5E9F1F93"/>
    <w:rsid w:val="5FB26EB3"/>
    <w:rsid w:val="60AD2AD0"/>
    <w:rsid w:val="624F4CCE"/>
    <w:rsid w:val="62EF31E8"/>
    <w:rsid w:val="64E103E4"/>
    <w:rsid w:val="64F90B96"/>
    <w:rsid w:val="653A1C66"/>
    <w:rsid w:val="660B15C9"/>
    <w:rsid w:val="67C06DC5"/>
    <w:rsid w:val="6904760A"/>
    <w:rsid w:val="693B7312"/>
    <w:rsid w:val="699F5234"/>
    <w:rsid w:val="6AEE6CD6"/>
    <w:rsid w:val="6B357E4A"/>
    <w:rsid w:val="6BCD0478"/>
    <w:rsid w:val="6D0D4104"/>
    <w:rsid w:val="6D77157D"/>
    <w:rsid w:val="6D8F1E56"/>
    <w:rsid w:val="6E5E4591"/>
    <w:rsid w:val="6E71421E"/>
    <w:rsid w:val="6F322AC8"/>
    <w:rsid w:val="70BA0784"/>
    <w:rsid w:val="72313F77"/>
    <w:rsid w:val="726171AD"/>
    <w:rsid w:val="74FE7FE0"/>
    <w:rsid w:val="752B2B24"/>
    <w:rsid w:val="753D2147"/>
    <w:rsid w:val="75A93784"/>
    <w:rsid w:val="769E035B"/>
    <w:rsid w:val="784212A3"/>
    <w:rsid w:val="78CB7DC1"/>
    <w:rsid w:val="79A575DC"/>
    <w:rsid w:val="79AB2CDA"/>
    <w:rsid w:val="79AE3727"/>
    <w:rsid w:val="79FF4EE4"/>
    <w:rsid w:val="7A2A0D3D"/>
    <w:rsid w:val="7AD91B49"/>
    <w:rsid w:val="7CF57D5E"/>
    <w:rsid w:val="7D32679C"/>
    <w:rsid w:val="7DA34059"/>
    <w:rsid w:val="7E061C2E"/>
    <w:rsid w:val="7F983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240" w:beforeLines="0" w:beforeAutospacing="0" w:after="240" w:afterLines="0" w:afterAutospacing="0" w:line="240" w:lineRule="auto"/>
      <w:jc w:val="center"/>
      <w:outlineLvl w:val="0"/>
    </w:pPr>
    <w:rPr>
      <w:rFonts w:ascii="Calibri" w:hAnsi="Calibri" w:eastAsia="宋体" w:cs="Times New Roman"/>
      <w:b/>
      <w:kern w:val="44"/>
      <w:sz w:val="30"/>
      <w:szCs w:val="22"/>
    </w:rPr>
  </w:style>
  <w:style w:type="paragraph" w:styleId="4">
    <w:name w:val="heading 2"/>
    <w:basedOn w:val="1"/>
    <w:next w:val="1"/>
    <w:autoRedefine/>
    <w:unhideWhenUsed/>
    <w:qFormat/>
    <w:uiPriority w:val="0"/>
    <w:pPr>
      <w:keepNext/>
      <w:keepLines/>
      <w:spacing w:before="140" w:after="140" w:line="360" w:lineRule="auto"/>
      <w:outlineLvl w:val="1"/>
    </w:pPr>
    <w:rPr>
      <w:rFonts w:ascii="Cambria" w:hAnsi="Cambria" w:cs="Times New Roman"/>
      <w:b/>
      <w:bCs/>
      <w:sz w:val="30"/>
      <w:szCs w:val="32"/>
    </w:rPr>
  </w:style>
  <w:style w:type="paragraph" w:styleId="5">
    <w:name w:val="heading 3"/>
    <w:basedOn w:val="1"/>
    <w:next w:val="1"/>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7">
    <w:name w:val="Normal Indent"/>
    <w:basedOn w:val="1"/>
    <w:next w:val="1"/>
    <w:qFormat/>
    <w:uiPriority w:val="0"/>
    <w:pPr>
      <w:widowControl/>
      <w:spacing w:after="200" w:line="276" w:lineRule="auto"/>
      <w:ind w:firstLine="420" w:firstLineChars="200"/>
      <w:jc w:val="left"/>
    </w:pPr>
    <w:rPr>
      <w:rFonts w:eastAsia="宋体"/>
      <w:sz w:val="22"/>
      <w:szCs w:val="24"/>
      <w:lang w:eastAsia="en-US" w:bidi="en-US"/>
    </w:rPr>
  </w:style>
  <w:style w:type="paragraph" w:styleId="8">
    <w:name w:val="index 5"/>
    <w:basedOn w:val="1"/>
    <w:next w:val="1"/>
    <w:qFormat/>
    <w:uiPriority w:val="0"/>
    <w:pPr>
      <w:ind w:left="800" w:leftChars="800"/>
    </w:pPr>
  </w:style>
  <w:style w:type="paragraph" w:styleId="9">
    <w:name w:val="toa heading"/>
    <w:basedOn w:val="1"/>
    <w:next w:val="1"/>
    <w:qFormat/>
    <w:uiPriority w:val="0"/>
    <w:pPr>
      <w:spacing w:before="120"/>
    </w:pPr>
    <w:rPr>
      <w:rFonts w:ascii="Arial" w:hAnsi="Arial"/>
      <w:sz w:val="24"/>
    </w:rPr>
  </w:style>
  <w:style w:type="paragraph" w:styleId="10">
    <w:name w:val="Body Text"/>
    <w:basedOn w:val="1"/>
    <w:next w:val="11"/>
    <w:qFormat/>
    <w:uiPriority w:val="0"/>
    <w:pPr>
      <w:tabs>
        <w:tab w:val="left" w:pos="567"/>
      </w:tabs>
      <w:spacing w:before="120" w:line="22" w:lineRule="atLeast"/>
    </w:pPr>
    <w:rPr>
      <w:rFonts w:ascii="宋体" w:hAnsi="宋体"/>
      <w:sz w:val="24"/>
    </w:rPr>
  </w:style>
  <w:style w:type="paragraph" w:styleId="11">
    <w:name w:val="Date"/>
    <w:basedOn w:val="1"/>
    <w:next w:val="1"/>
    <w:qFormat/>
    <w:uiPriority w:val="0"/>
    <w:pPr>
      <w:ind w:left="100" w:leftChars="2500"/>
    </w:pPr>
  </w:style>
  <w:style w:type="paragraph" w:styleId="12">
    <w:name w:val="Plain Text"/>
    <w:basedOn w:val="1"/>
    <w:qFormat/>
    <w:uiPriority w:val="0"/>
    <w:rPr>
      <w:rFonts w:ascii="宋体" w:hAnsi="Courier New"/>
      <w:szCs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footnote text"/>
    <w:basedOn w:val="1"/>
    <w:next w:val="8"/>
    <w:qFormat/>
    <w:uiPriority w:val="0"/>
    <w:pPr>
      <w:snapToGrid w:val="0"/>
      <w:jc w:val="left"/>
    </w:pPr>
    <w:rPr>
      <w:sz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next w:val="1"/>
    <w:qFormat/>
    <w:uiPriority w:val="10"/>
    <w:pPr>
      <w:spacing w:before="240" w:after="60"/>
      <w:jc w:val="center"/>
      <w:outlineLvl w:val="0"/>
    </w:pPr>
    <w:rPr>
      <w:rFonts w:ascii="Cambria" w:hAnsi="Cambria"/>
      <w:b/>
      <w:bCs/>
      <w:sz w:val="32"/>
      <w:szCs w:val="32"/>
    </w:rPr>
  </w:style>
  <w:style w:type="paragraph" w:styleId="17">
    <w:name w:val="Body Text First Indent"/>
    <w:basedOn w:val="10"/>
    <w:qFormat/>
    <w:uiPriority w:val="0"/>
    <w:pPr>
      <w:spacing w:line="360" w:lineRule="auto"/>
      <w:ind w:firstLine="880" w:firstLineChars="200"/>
    </w:pPr>
    <w:rPr>
      <w:rFonts w:ascii="宋体" w:hAnsi="宋体" w:eastAsia="宋体" w:cs="Times New Roman"/>
      <w:sz w:val="24"/>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paragraph" w:customStyle="1" w:styleId="22">
    <w:name w:val="微格一级标题"/>
    <w:basedOn w:val="1"/>
    <w:qFormat/>
    <w:uiPriority w:val="0"/>
    <w:pPr>
      <w:spacing w:line="300" w:lineRule="auto"/>
    </w:pPr>
    <w:rPr>
      <w:rFonts w:ascii="Times New Roman" w:hAnsi="Times New Roman" w:eastAsia="宋体"/>
      <w:b/>
      <w:sz w:val="21"/>
      <w:szCs w:val="21"/>
    </w:rPr>
  </w:style>
  <w:style w:type="paragraph" w:customStyle="1" w:styleId="23">
    <w:name w:val="Fließtext"/>
    <w:basedOn w:val="1"/>
    <w:qFormat/>
    <w:uiPriority w:val="99"/>
    <w:pPr>
      <w:overflowPunct w:val="0"/>
      <w:autoSpaceDE w:val="0"/>
      <w:autoSpaceDN w:val="0"/>
      <w:adjustRightInd w:val="0"/>
      <w:textAlignment w:val="baseline"/>
    </w:pPr>
    <w:rPr>
      <w:kern w:val="28"/>
    </w:rPr>
  </w:style>
  <w:style w:type="paragraph" w:styleId="24">
    <w:name w:val="List Paragraph"/>
    <w:basedOn w:val="1"/>
    <w:qFormat/>
    <w:uiPriority w:val="34"/>
    <w:pPr>
      <w:spacing w:line="360" w:lineRule="auto"/>
      <w:ind w:firstLine="420" w:firstLineChars="200"/>
    </w:pPr>
    <w:rPr>
      <w:rFonts w:ascii="Calibri" w:hAnsi="Calibri"/>
      <w:sz w:val="24"/>
      <w:szCs w:val="22"/>
    </w:rPr>
  </w:style>
  <w:style w:type="paragraph" w:customStyle="1" w:styleId="25">
    <w:name w:val="正文文本_1_0"/>
    <w:basedOn w:val="26"/>
    <w:unhideWhenUsed/>
    <w:qFormat/>
    <w:uiPriority w:val="0"/>
    <w:rPr>
      <w:rFonts w:ascii="Calibri" w:hAnsi="Calibri" w:eastAsia="黑体" w:cs="Times New Roman"/>
      <w:sz w:val="36"/>
    </w:rPr>
  </w:style>
  <w:style w:type="paragraph" w:customStyle="1" w:styleId="26">
    <w:name w:val="正文_2_0"/>
    <w:next w:val="27"/>
    <w:qFormat/>
    <w:uiPriority w:val="0"/>
    <w:pPr>
      <w:widowControl w:val="0"/>
      <w:jc w:val="both"/>
    </w:pPr>
    <w:rPr>
      <w:rFonts w:ascii="Calibri" w:hAnsi="Calibri" w:eastAsia="Calibri" w:cs="Times New Roman"/>
      <w:kern w:val="2"/>
      <w:sz w:val="21"/>
      <w:szCs w:val="22"/>
      <w:lang w:val="en-US" w:eastAsia="zh-CN" w:bidi="ar-SA"/>
    </w:rPr>
  </w:style>
  <w:style w:type="paragraph" w:customStyle="1" w:styleId="27">
    <w:name w:val="表格文字_1_0"/>
    <w:basedOn w:val="26"/>
    <w:qFormat/>
    <w:uiPriority w:val="0"/>
    <w:pPr>
      <w:adjustRightInd w:val="0"/>
      <w:spacing w:line="420" w:lineRule="atLeast"/>
      <w:jc w:val="left"/>
    </w:pPr>
    <w:rPr>
      <w:rFonts w:ascii="Calibri" w:hAnsi="Calibri" w:eastAsia="宋体" w:cs="Times New Roman"/>
      <w:kern w:val="0"/>
      <w:szCs w:val="20"/>
    </w:rPr>
  </w:style>
  <w:style w:type="paragraph" w:customStyle="1" w:styleId="28">
    <w:name w:val="null3"/>
    <w:hidden/>
    <w:qFormat/>
    <w:uiPriority w:val="0"/>
    <w:rPr>
      <w:rFonts w:hint="eastAsia" w:asciiTheme="minorHAnsi" w:hAnsiTheme="minorHAnsi" w:eastAsiaTheme="minorEastAsia" w:cstheme="minorBidi"/>
      <w:lang w:val="en-US" w:eastAsia="zh-Hans"/>
    </w:rPr>
  </w:style>
  <w:style w:type="paragraph" w:customStyle="1" w:styleId="29">
    <w:name w:val="_Style 1"/>
    <w:basedOn w:val="1"/>
    <w:autoRedefine/>
    <w:qFormat/>
    <w:uiPriority w:val="0"/>
    <w:rPr>
      <w:rFonts w:ascii="Times New Roman" w:hAnsi="Times New Roman"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2392</Words>
  <Characters>2485</Characters>
  <Lines>0</Lines>
  <Paragraphs>0</Paragraphs>
  <TotalTime>75</TotalTime>
  <ScaleCrop>false</ScaleCrop>
  <LinksUpToDate>false</LinksUpToDate>
  <CharactersWithSpaces>2487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2023-05-23T15:11:00Z</dcterms:created>
  <dc:creator>蓬蓬莲子</dc:creator>
  <cp:lastModifiedBy>25805</cp:lastModifiedBy>
  <dcterms:modified xsi:type="dcterms:W3CDTF">2025-07-03T04:33:13Z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C316136E19C144EAB36CA08A18A65620_13</vt:lpwstr>
  </property>
  <property fmtid="{D5CDD505-2E9C-101B-9397-08002B2CF9AE}" pid="4" name="KSOTemplateDocerSaveRecord">
    <vt:lpwstr>eyJoZGlkIjoiNDNiMTA0NTkwNzQzNjg0MjYwNDgzNDY5ODlhMjk1ZjIifQ==</vt:lpwstr>
  </property>
</Properties>
</file>