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D7DCEB8">
      <w:pPr>
        <w:pStyle w:val="2"/>
        <w:keepNext w:val="0"/>
        <w:keepLines w:val="0"/>
        <w:widowControl/>
        <w:suppressLineNumbers w:val="0"/>
      </w:pPr>
      <w:r>
        <w:t>一、硬件规格</w:t>
      </w:r>
    </w:p>
    <w:p w14:paraId="32527B6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按键布局</w:t>
      </w:r>
    </w:p>
    <w:p w14:paraId="109D676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标准数字键盘布局（0 - 9），需配备清晰的确认（Enter）、清除（Clear）和取消（Cancel）按键。</w:t>
      </w:r>
    </w:p>
    <w:p w14:paraId="25C35A7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按键触感反馈良好，键程适中，按键寿命不低于 500,000 次按压。</w:t>
      </w:r>
    </w:p>
    <w:p w14:paraId="3596001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显示屏</w:t>
      </w:r>
    </w:p>
    <w:p w14:paraId="7C6E071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采用不小于 2.4 英寸的液晶显示屏（LCD），分辨率至少为 320×240 像素，以清晰显示提示信息和输入的密码掩码。</w:t>
      </w:r>
    </w:p>
    <w:p w14:paraId="1ECC206F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显示屏应具备良好的可视角度，水平和垂直可视角度均不小于 170°，在不同光线环境下（包括强光直射和低光照环境）都能清晰可读。</w:t>
      </w:r>
    </w:p>
    <w:p w14:paraId="09D6C316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尺寸与重量</w:t>
      </w:r>
    </w:p>
    <w:p w14:paraId="374488B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整体尺寸应设计紧凑，便于安装和操作，长度不超过 200mm，宽度不超过 120mm，厚度不超过 50mm。</w:t>
      </w:r>
    </w:p>
    <w:p w14:paraId="06FCA7F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重量不超过 500g，以方便携带和部署。</w:t>
      </w:r>
    </w:p>
    <w:p w14:paraId="52C70A4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外壳材质</w:t>
      </w:r>
    </w:p>
    <w:p w14:paraId="2BD001B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外壳采用坚固耐用的 ABS 工程塑料，具备良好的抗冲击、抗磨损和防腐蚀性能。</w:t>
      </w:r>
    </w:p>
    <w:p w14:paraId="346BAEF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外壳颜色可选为黑色或银灰色，表面进行磨砂处理，以增强握持感和美观度。</w:t>
      </w:r>
    </w:p>
    <w:p w14:paraId="4166B6B7">
      <w:pPr>
        <w:pStyle w:val="2"/>
        <w:keepNext w:val="0"/>
        <w:keepLines w:val="0"/>
        <w:widowControl/>
        <w:suppressLineNumbers w:val="0"/>
      </w:pPr>
      <w:r>
        <w:t>二、安全性能</w:t>
      </w:r>
    </w:p>
    <w:p w14:paraId="74DBEFE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防窥设计</w:t>
      </w:r>
    </w:p>
    <w:p w14:paraId="38CEBB1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按键区域采用防窥设计，如设置物理防窥罩或采用特殊的按键表面处理，使从侧面难以观察到用户输入的密码。</w:t>
      </w:r>
    </w:p>
    <w:p w14:paraId="6625D6DF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显示屏显示密码时，应采用掩码显示方式（如显示为 “*”），且掩码字符应清晰可辨，避免模糊或重叠。</w:t>
      </w:r>
    </w:p>
    <w:p w14:paraId="403C5937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数据完整性保护</w:t>
      </w:r>
    </w:p>
    <w:p w14:paraId="2CF8393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具备数据完整性校验功能，采用 CRC（Cyclic Redundancy Check）或 HMAC（Hash - based Message Authentication Code）等算法，确保传输的数据未被篡改。</w:t>
      </w:r>
    </w:p>
    <w:p w14:paraId="708BA8B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当检测到数据完整性错误时，应能及时向主机发送错误提示信息，并拒绝执行相关操作。</w:t>
      </w:r>
    </w:p>
    <w:p w14:paraId="6A244CF4">
      <w:pPr>
        <w:pStyle w:val="2"/>
        <w:keepNext w:val="0"/>
        <w:keepLines w:val="0"/>
        <w:widowControl/>
        <w:suppressLineNumbers w:val="0"/>
      </w:pPr>
      <w:r>
        <w:t>三、通信接口</w:t>
      </w:r>
    </w:p>
    <w:p w14:paraId="00F10A0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接口类型</w:t>
      </w:r>
    </w:p>
    <w:p w14:paraId="15E1719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支持 USB 接口，版本不低于 USB 2.0，以提供高速、稳定的数据传输。同时，需具备 RS - 232 或 RS - 485 串口接口，满足不同设备的连接需求。</w:t>
      </w:r>
    </w:p>
    <w:p w14:paraId="78BCE60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通信协议</w:t>
      </w:r>
    </w:p>
    <w:p w14:paraId="748BB4C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对于 USB 接口，支持 USB HID（Human Interface Device）协议，以便与主机系统无缝兼容，</w:t>
      </w:r>
      <w:r>
        <w:rPr>
          <w:rFonts w:hint="eastAsia"/>
        </w:rPr>
        <w:t>需能够跟云桌面（锐捷）系统无缝兼容，</w:t>
      </w:r>
      <w:bookmarkStart w:id="0" w:name="_GoBack"/>
      <w:bookmarkEnd w:id="0"/>
      <w:r>
        <w:t>无需额外安装驱动程序。</w:t>
      </w:r>
    </w:p>
    <w:p w14:paraId="4EB52178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对于串口接口，支持标准的 Modbus 或自定义的通信协议，确保数据传输的准确性和可靠性。通信波特率可设置，范围为 9600bps 至 115200bps。</w:t>
      </w:r>
    </w:p>
    <w:p w14:paraId="5C114059">
      <w:pPr>
        <w:pStyle w:val="2"/>
        <w:keepNext w:val="0"/>
        <w:keepLines w:val="0"/>
        <w:widowControl/>
        <w:suppressLineNumbers w:val="0"/>
      </w:pPr>
      <w:r>
        <w:t>四、软件兼容性</w:t>
      </w:r>
    </w:p>
    <w:p w14:paraId="1475D42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操作系统兼容性</w:t>
      </w:r>
    </w:p>
    <w:p w14:paraId="3C55A8E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兼容主流的操作系统，如 Windows（XP 及以上版本）、Linux（常见发行版，如 Ubuntu、CentOS 等）、Mac OS（10.6 及以上版本）以及 Android（4.0 及以上版本）和 iOS（8.0 及以上版本）。</w:t>
      </w:r>
    </w:p>
    <w:p w14:paraId="5CD9AE9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针对不同操作系统，提供相应的驱动程序或软件开发工具包（SDK），方便用户进行二次开发和集成。</w:t>
      </w:r>
    </w:p>
    <w:p w14:paraId="4E19724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应用程序兼容性</w:t>
      </w:r>
    </w:p>
    <w:p w14:paraId="40DFDFE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能与各类常见的应用程序（如银行自助终端应用、电子商务支付应用、门禁系统管理应用等）无缝集成，确保密码输入功能的正常使用。</w:t>
      </w:r>
    </w:p>
    <w:p w14:paraId="08C33F9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支持多种输入模式，如标准输入模式、安全输入模式等，可根据应用场景的需求进行切换。</w:t>
      </w:r>
    </w:p>
    <w:p w14:paraId="29046AAC">
      <w:pPr>
        <w:pStyle w:val="2"/>
        <w:keepNext w:val="0"/>
        <w:keepLines w:val="0"/>
        <w:widowControl/>
        <w:suppressLineNumbers w:val="0"/>
      </w:pPr>
      <w:r>
        <w:t>五、电源供应</w:t>
      </w:r>
    </w:p>
    <w:p w14:paraId="5D7B8024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供电方式</w:t>
      </w:r>
    </w:p>
    <w:p w14:paraId="1C0EFC1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优先采用 USB 接口供电，确保在与主机连接时能同时获取电力，无需额外的电源适配器。</w:t>
      </w:r>
    </w:p>
    <w:p w14:paraId="2159C0D6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配备备用电池槽，可安装两节 AAA 或 AA 碱性电池，作为应急电源使用。当 USB 供电中断时，自动切换到电池供电模式，电池续航时间不低于 8 小时（正常使用情况下）。</w:t>
      </w:r>
    </w:p>
    <w:p w14:paraId="42A49B7A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电源管理</w:t>
      </w:r>
    </w:p>
    <w:p w14:paraId="6C5F81F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具备智能电源管理功能，在一段时间无操作后自动进入低功耗睡眠模式，以节省能源。当检测到按键操作或外部唤醒信号时，能迅速恢复正常工作状态，响应时间不超过 1 秒。</w:t>
      </w:r>
    </w:p>
    <w:p w14:paraId="1A6FF78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电池电量监测功能，通过显示屏或指示灯实时显示电池电量状态，当电池电量低于 20% 时，发出低电量提示信号。</w:t>
      </w:r>
    </w:p>
    <w:p w14:paraId="7972DEA0">
      <w:pPr>
        <w:pStyle w:val="2"/>
        <w:keepNext w:val="0"/>
        <w:keepLines w:val="0"/>
        <w:widowControl/>
        <w:suppressLineNumbers w:val="0"/>
      </w:pPr>
      <w:r>
        <w:t>六、环境适应性</w:t>
      </w:r>
    </w:p>
    <w:p w14:paraId="2CC023B2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工作温度</w:t>
      </w:r>
    </w:p>
    <w:p w14:paraId="3DD0CE05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能在较宽的温度范围内正常工作，工作温度范围为 - 20℃至 60℃。</w:t>
      </w:r>
    </w:p>
    <w:p w14:paraId="383D7B95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在高温环境下，不会出现按键失灵、显示屏显示异常等问题；在低温环境下，启动时间不超过 10 秒。</w:t>
      </w:r>
    </w:p>
    <w:p w14:paraId="78E2F871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存储温度</w:t>
      </w:r>
    </w:p>
    <w:p w14:paraId="514AF990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存储温度范围为 - 40℃至 85℃，确保设备在长期不使用或运输过程中不受温度影响。</w:t>
      </w:r>
    </w:p>
    <w:p w14:paraId="3198B0DF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湿度</w:t>
      </w:r>
    </w:p>
    <w:p w14:paraId="1D9D6F29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具备良好的防潮性能，能在相对湿度为 5% 至 95%（无冷凝）的环境下正常工作。</w:t>
      </w:r>
    </w:p>
    <w:p w14:paraId="063279B6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采用防潮涂层或密封设计，防止湿气对内部电路造成损害。</w:t>
      </w:r>
    </w:p>
    <w:p w14:paraId="643CDBAD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="-360" w:leftChars="0"/>
        <w:rPr>
          <w:b/>
          <w:bCs/>
        </w:rPr>
      </w:pPr>
      <w:r>
        <w:rPr>
          <w:b/>
          <w:bCs/>
        </w:rPr>
        <w:t>抗震性</w:t>
      </w:r>
    </w:p>
    <w:p w14:paraId="610808E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设备经过抗震测试，能承受一定程度的震动和冲击。在运输和使用过程中，能抵御常见的震动源（如车辆行驶震动、设备安装处的轻微震动等），确保内部组件不松动、不损坏。</w:t>
      </w:r>
    </w:p>
    <w:p w14:paraId="5A71E33C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0" w:beforeAutospacing="0" w:after="0" w:afterAutospacing="0" w:line="24" w:lineRule="atLeast"/>
        <w:ind w:leftChars="0"/>
      </w:pPr>
      <w:r>
        <w:t>抗震标准符合国际相关标准（如 IEC 60068 - 2 - 6 标准）。</w:t>
      </w:r>
    </w:p>
    <w:p w14:paraId="30FE096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0B3C51"/>
    <w:rsid w:val="373F48E6"/>
    <w:rsid w:val="570B3C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1665</Words>
  <Characters>1970</Characters>
  <Lines>0</Lines>
  <Paragraphs>0</Paragraphs>
  <TotalTime>232</TotalTime>
  <ScaleCrop>false</ScaleCrop>
  <LinksUpToDate>false</LinksUpToDate>
  <CharactersWithSpaces>2076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2025-03-19T05:36:00Z</dcterms:created>
  <dc:creator>﹏ℳ๓</dc:creator>
  <cp:lastModifiedBy>﹏ℳ๓</cp:lastModifiedBy>
  <dcterms:modified xsi:type="dcterms:W3CDTF">2025-03-21T03:44:55Z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795FB0D38E5B4B5AAC80F82F356A07C3_11</vt:lpwstr>
  </property>
  <property fmtid="{D5CDD505-2E9C-101B-9397-08002B2CF9AE}" pid="4" name="KSOTemplateDocerSaveRecord">
    <vt:lpwstr>eyJoZGlkIjoiODYxY2I3NDZmY2RmNTViMzhlNGI3ODg2MDRmOTRmOGIiLCJ1c2VySWQiOiIzMjExMTY0MTcifQ==</vt:lpwstr>
  </property>
</Properties>
</file>