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04"/>
        <w:gridCol w:w="7783"/>
      </w:tblGrid>
      <w:tr w14:paraId="19CA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0" w:type="dxa"/>
            <w:gridSpan w:val="3"/>
            <w:vAlign w:val="center"/>
          </w:tcPr>
          <w:p w14:paraId="2392D3D5">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投标人须知</w:t>
            </w:r>
          </w:p>
        </w:tc>
      </w:tr>
      <w:tr w14:paraId="7650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6ED67424">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4" w:type="dxa"/>
            <w:vAlign w:val="center"/>
          </w:tcPr>
          <w:p w14:paraId="7A0A7750">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7783" w:type="dxa"/>
            <w:vAlign w:val="center"/>
          </w:tcPr>
          <w:p w14:paraId="46E8461C">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14AB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14:paraId="0EE25F58">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vAlign w:val="center"/>
          </w:tcPr>
          <w:p w14:paraId="5AD87376">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783" w:type="dxa"/>
            <w:vAlign w:val="center"/>
          </w:tcPr>
          <w:p w14:paraId="7715B22D">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称：中共皮山县委员会党校</w:t>
            </w:r>
          </w:p>
          <w:p w14:paraId="10393BB7">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联系人：段海兵</w:t>
            </w:r>
          </w:p>
          <w:p w14:paraId="190DCFAF">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0903-6425468</w:t>
            </w:r>
          </w:p>
        </w:tc>
      </w:tr>
      <w:tr w14:paraId="070B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14:paraId="1A5C2984">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shd w:val="clear" w:color="auto" w:fill="auto"/>
            <w:vAlign w:val="center"/>
          </w:tcPr>
          <w:p w14:paraId="58D45C53">
            <w:pPr>
              <w:spacing w:before="24" w:beforeLines="10" w:after="24" w:afterLines="1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项目名称</w:t>
            </w:r>
          </w:p>
        </w:tc>
        <w:tc>
          <w:tcPr>
            <w:tcW w:w="7783" w:type="dxa"/>
            <w:shd w:val="clear" w:color="auto" w:fill="auto"/>
            <w:vAlign w:val="center"/>
          </w:tcPr>
          <w:p w14:paraId="786673B6">
            <w:pPr>
              <w:spacing w:line="240" w:lineRule="auto"/>
              <w:ind w:firstLine="0" w:firstLineChars="0"/>
              <w:jc w:val="left"/>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项目名称：皮山县预备费-皮山县委党校培训设施场地设备维修改造提升项目LED屏幕</w:t>
            </w:r>
          </w:p>
        </w:tc>
      </w:tr>
      <w:tr w14:paraId="5DC6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14:paraId="3A182021">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04" w:type="dxa"/>
            <w:shd w:val="clear" w:color="auto" w:fill="auto"/>
            <w:vAlign w:val="center"/>
          </w:tcPr>
          <w:p w14:paraId="18B25689">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资金来源</w:t>
            </w:r>
          </w:p>
        </w:tc>
        <w:tc>
          <w:tcPr>
            <w:tcW w:w="7783" w:type="dxa"/>
            <w:shd w:val="clear" w:color="auto" w:fill="auto"/>
            <w:vAlign w:val="center"/>
          </w:tcPr>
          <w:p w14:paraId="2BCBFEB5">
            <w:pPr>
              <w:spacing w:line="240" w:lineRule="auto"/>
              <w:ind w:firstLine="0" w:firstLineChars="0"/>
              <w:jc w:val="left"/>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援疆资金</w:t>
            </w:r>
          </w:p>
        </w:tc>
      </w:tr>
      <w:tr w14:paraId="5F27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14:paraId="703E3F1E">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704" w:type="dxa"/>
            <w:shd w:val="clear" w:color="auto" w:fill="auto"/>
            <w:vAlign w:val="center"/>
          </w:tcPr>
          <w:p w14:paraId="23E71E3E">
            <w:pPr>
              <w:spacing w:before="24" w:beforeLines="10" w:after="24" w:afterLines="1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预算金额</w:t>
            </w:r>
          </w:p>
        </w:tc>
        <w:tc>
          <w:tcPr>
            <w:tcW w:w="7783" w:type="dxa"/>
            <w:shd w:val="clear" w:color="auto" w:fill="auto"/>
            <w:vAlign w:val="center"/>
          </w:tcPr>
          <w:p w14:paraId="0B9D9B23">
            <w:pPr>
              <w:widowControl/>
              <w:spacing w:line="360" w:lineRule="auto"/>
              <w:rPr>
                <w:rFonts w:hint="eastAsia" w:ascii="仿宋" w:hAnsi="仿宋" w:eastAsia="仿宋" w:cs="仿宋"/>
                <w:color w:val="auto"/>
                <w:kern w:val="2"/>
                <w:sz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rPr>
              <w:t>656068.8元</w:t>
            </w:r>
          </w:p>
        </w:tc>
      </w:tr>
      <w:tr w14:paraId="0BC1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14:paraId="71EF21D7">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04" w:type="dxa"/>
            <w:shd w:val="clear" w:color="auto" w:fill="auto"/>
            <w:vAlign w:val="center"/>
          </w:tcPr>
          <w:p w14:paraId="304E8BBA">
            <w:pPr>
              <w:spacing w:before="24" w:beforeLines="10" w:after="24" w:afterLines="1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需求</w:t>
            </w:r>
          </w:p>
        </w:tc>
        <w:tc>
          <w:tcPr>
            <w:tcW w:w="7783" w:type="dxa"/>
            <w:shd w:val="clear" w:color="auto" w:fill="auto"/>
            <w:vAlign w:val="center"/>
          </w:tcPr>
          <w:p w14:paraId="5BC43C69">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hint="default" w:ascii="仿宋" w:hAnsi="仿宋" w:eastAsia="仿宋" w:cs="仿宋"/>
                <w:i w:val="0"/>
                <w:iCs w:val="0"/>
                <w:caps w:val="0"/>
                <w:color w:val="000000"/>
                <w:spacing w:val="0"/>
                <w:kern w:val="2"/>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rPr>
              <w:t>(具体参数详见采购需求）</w:t>
            </w:r>
          </w:p>
        </w:tc>
      </w:tr>
      <w:tr w14:paraId="7376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14:paraId="33697A69">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04" w:type="dxa"/>
            <w:shd w:val="clear" w:color="auto" w:fill="auto"/>
            <w:vAlign w:val="center"/>
          </w:tcPr>
          <w:p w14:paraId="29C798F6">
            <w:pPr>
              <w:spacing w:before="24" w:beforeLines="10" w:after="24" w:afterLines="1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最高限价</w:t>
            </w:r>
          </w:p>
        </w:tc>
        <w:tc>
          <w:tcPr>
            <w:tcW w:w="7783" w:type="dxa"/>
            <w:shd w:val="clear" w:color="auto" w:fill="auto"/>
            <w:vAlign w:val="center"/>
          </w:tcPr>
          <w:p w14:paraId="44817AE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sz w:val="24"/>
                <w:highlight w:val="none"/>
              </w:rPr>
              <w:t>本项目</w:t>
            </w:r>
            <w:r>
              <w:rPr>
                <w:rFonts w:hint="eastAsia" w:ascii="仿宋" w:hAnsi="仿宋" w:eastAsia="仿宋" w:cs="仿宋"/>
                <w:b/>
                <w:bCs w:val="0"/>
                <w:sz w:val="24"/>
                <w:highlight w:val="none"/>
                <w:lang w:val="en-US" w:eastAsia="zh-CN"/>
              </w:rPr>
              <w:t>最高限价为：656068.8</w:t>
            </w:r>
            <w:r>
              <w:rPr>
                <w:rFonts w:hint="eastAsia" w:ascii="仿宋" w:hAnsi="仿宋" w:eastAsia="仿宋" w:cs="仿宋"/>
                <w:b/>
                <w:bCs w:val="0"/>
                <w:sz w:val="24"/>
                <w:highlight w:val="none"/>
                <w:u w:val="single"/>
                <w:lang w:val="en-US" w:eastAsia="zh-CN"/>
              </w:rPr>
              <w:t>元</w:t>
            </w:r>
            <w:r>
              <w:rPr>
                <w:rFonts w:hint="eastAsia" w:ascii="仿宋" w:hAnsi="仿宋" w:eastAsia="仿宋" w:cs="仿宋"/>
                <w:b/>
                <w:bCs w:val="0"/>
                <w:sz w:val="24"/>
                <w:highlight w:val="none"/>
                <w:lang w:val="en-US" w:eastAsia="zh-CN"/>
              </w:rPr>
              <w:t>；</w:t>
            </w:r>
            <w:r>
              <w:rPr>
                <w:rFonts w:hint="eastAsia" w:ascii="仿宋" w:hAnsi="仿宋" w:eastAsia="仿宋" w:cs="仿宋"/>
                <w:b/>
                <w:bCs w:val="0"/>
                <w:sz w:val="24"/>
                <w:highlight w:val="none"/>
              </w:rPr>
              <w:t>高于最高限价的，其投标文件按无效投标处理。</w:t>
            </w:r>
          </w:p>
        </w:tc>
      </w:tr>
      <w:tr w14:paraId="5E4C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14:paraId="30FE0407">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04" w:type="dxa"/>
            <w:shd w:val="clear" w:color="auto" w:fill="auto"/>
            <w:vAlign w:val="center"/>
          </w:tcPr>
          <w:p w14:paraId="0C22665F">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投标人资格要求</w:t>
            </w:r>
          </w:p>
          <w:p w14:paraId="5195474E">
            <w:pPr>
              <w:widowControl/>
              <w:spacing w:line="240" w:lineRule="auto"/>
              <w:jc w:val="left"/>
              <w:rPr>
                <w:rFonts w:hint="eastAsia" w:ascii="仿宋" w:hAnsi="仿宋" w:eastAsia="仿宋" w:cs="仿宋"/>
                <w:color w:val="auto"/>
                <w:kern w:val="2"/>
                <w:sz w:val="24"/>
                <w:szCs w:val="24"/>
                <w:highlight w:val="none"/>
                <w:lang w:val="en-US" w:eastAsia="zh-CN" w:bidi="ar-SA"/>
              </w:rPr>
            </w:pPr>
          </w:p>
        </w:tc>
        <w:tc>
          <w:tcPr>
            <w:tcW w:w="7783" w:type="dxa"/>
            <w:shd w:val="clear" w:color="auto" w:fill="auto"/>
            <w:vAlign w:val="center"/>
          </w:tcPr>
          <w:p w14:paraId="37401638">
            <w:pPr>
              <w:pStyle w:val="12"/>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6F0F9495">
            <w:pPr>
              <w:pStyle w:val="12"/>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04B6618C">
            <w:pPr>
              <w:pStyle w:val="12"/>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依法缴纳税收和社会保障资金的良好记录：提供近段时间内连续三个月的完税证明或依法报税资料（新成立不足3个月的按实际情况发生提供，成立时间超过3个月的零申报的需提供依法报税资料）；提供近段时间内法人(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1D7E3B57">
            <w:pPr>
              <w:pStyle w:val="12"/>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财务会计制度需单独提供）；</w:t>
            </w:r>
          </w:p>
          <w:p w14:paraId="4BB16F1F">
            <w:pPr>
              <w:pStyle w:val="12"/>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（4）履行合同所必需的设备和专业技术能力：提供《投标人资格声明函》；</w:t>
            </w:r>
          </w:p>
          <w:p w14:paraId="153C3AA2">
            <w:pPr>
              <w:pStyle w:val="12"/>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采购活动前3年内，在经营活动中没有重大违法记录（提供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E1D9774">
            <w:pPr>
              <w:pStyle w:val="12"/>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06049269">
            <w:pPr>
              <w:pStyle w:val="12"/>
              <w:keepNext w:val="0"/>
              <w:keepLines w:val="0"/>
              <w:widowControl/>
              <w:suppressLineNumbers w:val="0"/>
              <w:spacing w:before="75" w:beforeAutospacing="0" w:after="75" w:afterAutospacing="0" w:line="240" w:lineRule="auto"/>
              <w:ind w:left="0" w:leftChars="0" w:right="0" w:rightChars="0" w:firstLine="420" w:firstLineChars="0"/>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（7）企业负责人为同一人或者存在直接控股、管理关系的不同投标人，不得参加同一合同项下的政府采购活动（提供声明函），否则，皆取消投标资格。</w:t>
            </w:r>
          </w:p>
        </w:tc>
      </w:tr>
      <w:tr w14:paraId="4E6F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3" w:type="dxa"/>
            <w:vAlign w:val="center"/>
          </w:tcPr>
          <w:p w14:paraId="7850DA5A">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04" w:type="dxa"/>
            <w:shd w:val="clear" w:color="auto" w:fill="auto"/>
            <w:vAlign w:val="center"/>
          </w:tcPr>
          <w:p w14:paraId="1D7ECF24">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aps w:val="0"/>
                <w:color w:val="000000"/>
                <w:spacing w:val="0"/>
                <w:sz w:val="24"/>
                <w:szCs w:val="24"/>
                <w:highlight w:val="none"/>
                <w:lang w:val="en-US" w:eastAsia="zh-CN"/>
              </w:rPr>
              <w:t>合同履约期限</w:t>
            </w:r>
          </w:p>
        </w:tc>
        <w:tc>
          <w:tcPr>
            <w:tcW w:w="7783" w:type="dxa"/>
            <w:shd w:val="clear" w:color="auto" w:fill="auto"/>
            <w:vAlign w:val="center"/>
          </w:tcPr>
          <w:p w14:paraId="01B82E57">
            <w:pPr>
              <w:widowControl/>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合同签订后30天完成所有供货（具体以合同签订为准）</w:t>
            </w:r>
          </w:p>
        </w:tc>
      </w:tr>
      <w:tr w14:paraId="0651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14:paraId="158857F7">
            <w:pPr>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1704" w:type="dxa"/>
            <w:shd w:val="clear" w:color="auto" w:fill="auto"/>
            <w:vAlign w:val="center"/>
          </w:tcPr>
          <w:p w14:paraId="49EA046B">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交货地点</w:t>
            </w:r>
          </w:p>
        </w:tc>
        <w:tc>
          <w:tcPr>
            <w:tcW w:w="7783" w:type="dxa"/>
            <w:shd w:val="clear" w:color="auto" w:fill="auto"/>
            <w:vAlign w:val="center"/>
          </w:tcPr>
          <w:p w14:paraId="3DF7E196">
            <w:pPr>
              <w:pStyle w:val="24"/>
              <w:spacing w:line="24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甲方指定地点</w:t>
            </w:r>
          </w:p>
        </w:tc>
      </w:tr>
      <w:tr w14:paraId="45FD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73" w:type="dxa"/>
            <w:vAlign w:val="center"/>
          </w:tcPr>
          <w:p w14:paraId="1DA603AD">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04" w:type="dxa"/>
            <w:shd w:val="clear" w:color="auto" w:fill="auto"/>
            <w:vAlign w:val="center"/>
          </w:tcPr>
          <w:p w14:paraId="4AE16A7B">
            <w:pPr>
              <w:pStyle w:val="24"/>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质量要求/质保期</w:t>
            </w:r>
          </w:p>
        </w:tc>
        <w:tc>
          <w:tcPr>
            <w:tcW w:w="7783" w:type="dxa"/>
            <w:shd w:val="clear" w:color="auto" w:fill="auto"/>
            <w:vAlign w:val="center"/>
          </w:tcPr>
          <w:p w14:paraId="052ABA23">
            <w:pPr>
              <w:pStyle w:val="24"/>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必须达到国家和行业规定标准及招标文件中规定的标准并通过验收/叁年质保期</w:t>
            </w:r>
          </w:p>
        </w:tc>
      </w:tr>
      <w:tr w14:paraId="77EB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73" w:type="dxa"/>
            <w:vAlign w:val="center"/>
          </w:tcPr>
          <w:p w14:paraId="2610211C">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04" w:type="dxa"/>
            <w:shd w:val="clear" w:color="auto" w:fill="auto"/>
            <w:vAlign w:val="center"/>
          </w:tcPr>
          <w:p w14:paraId="277118CD">
            <w:pPr>
              <w:pStyle w:val="24"/>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付款方式</w:t>
            </w:r>
          </w:p>
        </w:tc>
        <w:tc>
          <w:tcPr>
            <w:tcW w:w="7783" w:type="dxa"/>
            <w:shd w:val="clear" w:color="auto" w:fill="auto"/>
            <w:vAlign w:val="center"/>
          </w:tcPr>
          <w:p w14:paraId="585755B1">
            <w:pPr>
              <w:pStyle w:val="24"/>
              <w:spacing w:line="240" w:lineRule="auto"/>
              <w:jc w:val="left"/>
              <w:rPr>
                <w:rFonts w:hint="eastAsia"/>
                <w:lang w:val="en-US" w:eastAsia="zh-CN"/>
              </w:rPr>
            </w:pPr>
            <w:r>
              <w:rPr>
                <w:rFonts w:hint="eastAsia" w:ascii="仿宋" w:hAnsi="仿宋" w:eastAsia="仿宋" w:cs="仿宋"/>
                <w:b/>
                <w:bCs w:val="0"/>
                <w:color w:val="auto"/>
                <w:kern w:val="2"/>
                <w:sz w:val="24"/>
                <w:szCs w:val="24"/>
                <w:highlight w:val="none"/>
                <w:lang w:val="en-US" w:eastAsia="zh-CN" w:bidi="ar-SA"/>
              </w:rPr>
              <w:t>具体以甲乙双方签订合同为准</w:t>
            </w:r>
          </w:p>
        </w:tc>
      </w:tr>
      <w:tr w14:paraId="0941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73" w:type="dxa"/>
            <w:vAlign w:val="center"/>
          </w:tcPr>
          <w:p w14:paraId="3C6E7AED">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704" w:type="dxa"/>
            <w:shd w:val="clear" w:color="auto" w:fill="auto"/>
            <w:vAlign w:val="center"/>
          </w:tcPr>
          <w:p w14:paraId="604731B4">
            <w:pPr>
              <w:keepNext w:val="0"/>
              <w:keepLines w:val="0"/>
              <w:widowControl/>
              <w:suppressLineNumbers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投标报价</w:t>
            </w:r>
          </w:p>
        </w:tc>
        <w:tc>
          <w:tcPr>
            <w:tcW w:w="7783" w:type="dxa"/>
            <w:shd w:val="clear" w:color="auto" w:fill="auto"/>
            <w:vAlign w:val="center"/>
          </w:tcPr>
          <w:p w14:paraId="1899A502">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本次采购设置</w:t>
            </w:r>
            <w:r>
              <w:rPr>
                <w:rFonts w:hint="eastAsia" w:ascii="仿宋" w:hAnsi="仿宋" w:eastAsia="仿宋" w:cs="仿宋"/>
                <w:b/>
                <w:bCs/>
                <w:color w:val="auto"/>
                <w:sz w:val="24"/>
                <w:szCs w:val="24"/>
                <w:highlight w:val="none"/>
                <w:lang w:val="en-US" w:eastAsia="zh-CN"/>
              </w:rPr>
              <w:t>最高限</w:t>
            </w:r>
            <w:r>
              <w:rPr>
                <w:rFonts w:hint="eastAsia" w:ascii="仿宋" w:hAnsi="仿宋" w:eastAsia="仿宋" w:cs="仿宋"/>
                <w:b/>
                <w:bCs/>
                <w:color w:val="auto"/>
                <w:sz w:val="24"/>
                <w:szCs w:val="24"/>
                <w:highlight w:val="none"/>
              </w:rPr>
              <w:t>价</w:t>
            </w:r>
            <w:r>
              <w:rPr>
                <w:rFonts w:hint="eastAsia" w:ascii="仿宋" w:hAnsi="仿宋" w:eastAsia="仿宋" w:cs="仿宋"/>
                <w:b/>
                <w:bCs w:val="0"/>
                <w:sz w:val="24"/>
                <w:highlight w:val="none"/>
                <w:lang w:val="en-US" w:eastAsia="zh-CN"/>
              </w:rPr>
              <w:t>：</w:t>
            </w:r>
            <w:r>
              <w:rPr>
                <w:rFonts w:hint="eastAsia" w:ascii="仿宋" w:hAnsi="仿宋" w:eastAsia="仿宋" w:cs="仿宋"/>
                <w:b/>
                <w:bCs w:val="0"/>
                <w:sz w:val="24"/>
                <w:highlight w:val="none"/>
                <w:u w:val="single"/>
                <w:lang w:val="en-US" w:eastAsia="zh-CN"/>
              </w:rPr>
              <w:t>656068.8元</w:t>
            </w:r>
            <w:r>
              <w:rPr>
                <w:rFonts w:hint="eastAsia" w:ascii="仿宋" w:hAnsi="仿宋" w:eastAsia="仿宋" w:cs="仿宋"/>
                <w:b/>
                <w:bCs w:val="0"/>
                <w:sz w:val="24"/>
                <w:highlight w:val="none"/>
                <w:lang w:val="en-US" w:eastAsia="zh-CN"/>
              </w:rPr>
              <w:t>；</w:t>
            </w: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的报价超出此范围将作废标处理。</w:t>
            </w:r>
          </w:p>
          <w:p w14:paraId="69181E2B">
            <w:pPr>
              <w:numPr>
                <w:ilvl w:val="0"/>
                <w:numId w:val="0"/>
              </w:numPr>
              <w:tabs>
                <w:tab w:val="left" w:pos="900"/>
              </w:tabs>
              <w:spacing w:before="24" w:beforeLines="10" w:after="24" w:afterLines="10" w:line="240" w:lineRule="auto"/>
              <w:ind w:leftChars="0"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投标货币：</w:t>
            </w:r>
            <w:r>
              <w:rPr>
                <w:rFonts w:hint="eastAsia" w:ascii="仿宋" w:hAnsi="仿宋" w:eastAsia="仿宋" w:cs="仿宋"/>
                <w:b/>
                <w:bCs/>
                <w:color w:val="auto"/>
                <w:kern w:val="0"/>
                <w:sz w:val="24"/>
                <w:szCs w:val="24"/>
                <w:highlight w:val="none"/>
                <w:u w:val="single"/>
              </w:rPr>
              <w:t>人民币；</w:t>
            </w:r>
          </w:p>
          <w:p w14:paraId="043B9C04">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的报价超过本项目的最高限价，按无效投标处理。</w:t>
            </w:r>
          </w:p>
          <w:p w14:paraId="6AAEE541">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投标报价：</w:t>
            </w:r>
            <w:r>
              <w:rPr>
                <w:rFonts w:hint="eastAsia" w:ascii="仿宋" w:hAnsi="仿宋" w:eastAsia="仿宋" w:cs="仿宋"/>
                <w:b/>
                <w:bCs/>
                <w:color w:val="auto"/>
                <w:kern w:val="0"/>
                <w:sz w:val="24"/>
                <w:szCs w:val="24"/>
                <w:highlight w:val="none"/>
                <w:u w:val="single"/>
                <w:lang w:val="en-US" w:eastAsia="zh-CN"/>
              </w:rPr>
              <w:t>直至完成整个活动周期</w:t>
            </w:r>
            <w:r>
              <w:rPr>
                <w:rFonts w:hint="eastAsia" w:ascii="仿宋" w:hAnsi="仿宋" w:eastAsia="仿宋" w:cs="仿宋"/>
                <w:b/>
                <w:bCs/>
                <w:color w:val="auto"/>
                <w:kern w:val="0"/>
                <w:sz w:val="24"/>
                <w:szCs w:val="24"/>
                <w:highlight w:val="none"/>
                <w:u w:val="single"/>
              </w:rPr>
              <w:t>的包干总价；</w:t>
            </w:r>
          </w:p>
          <w:p w14:paraId="79BE9A81">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投标报价应包括：</w:t>
            </w:r>
            <w:r>
              <w:rPr>
                <w:rFonts w:hint="eastAsia" w:ascii="仿宋" w:hAnsi="仿宋" w:eastAsia="仿宋" w:cs="仿宋"/>
                <w:b/>
                <w:bCs/>
                <w:color w:val="auto"/>
                <w:kern w:val="0"/>
                <w:sz w:val="24"/>
                <w:szCs w:val="24"/>
                <w:highlight w:val="none"/>
                <w:u w:val="single"/>
              </w:rPr>
              <w:t>投标人应在开标一览表中标明其提供的所有</w:t>
            </w:r>
            <w:r>
              <w:rPr>
                <w:rFonts w:hint="eastAsia" w:ascii="仿宋" w:hAnsi="仿宋" w:eastAsia="仿宋" w:cs="仿宋"/>
                <w:b/>
                <w:bCs/>
                <w:color w:val="auto"/>
                <w:kern w:val="0"/>
                <w:sz w:val="24"/>
                <w:szCs w:val="24"/>
                <w:highlight w:val="none"/>
                <w:u w:val="single"/>
                <w:lang w:val="en-US" w:eastAsia="zh-CN"/>
              </w:rPr>
              <w:t>服务</w:t>
            </w:r>
            <w:r>
              <w:rPr>
                <w:rFonts w:hint="eastAsia" w:ascii="仿宋" w:hAnsi="仿宋" w:eastAsia="仿宋" w:cs="仿宋"/>
                <w:b/>
                <w:bCs/>
                <w:color w:val="auto"/>
                <w:kern w:val="0"/>
                <w:sz w:val="24"/>
                <w:szCs w:val="24"/>
                <w:highlight w:val="none"/>
                <w:u w:val="single"/>
              </w:rPr>
              <w:t>及相关工作范围内所有费用的总价；</w:t>
            </w:r>
          </w:p>
        </w:tc>
      </w:tr>
      <w:tr w14:paraId="464F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14:paraId="510D6FF0">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704" w:type="dxa"/>
            <w:shd w:val="clear" w:color="auto" w:fill="auto"/>
            <w:vAlign w:val="center"/>
          </w:tcPr>
          <w:p w14:paraId="30D228DA">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7783" w:type="dxa"/>
            <w:shd w:val="clear" w:color="auto" w:fill="auto"/>
            <w:vAlign w:val="center"/>
          </w:tcPr>
          <w:p w14:paraId="4AAE9AF4">
            <w:pPr>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《中华人民共和国政府采购法实施条例》第四十八条履约保证金或履约保函的数额不得超过政府采购合同金额的 10%。由中标人和采购人协商确定金额，中标人与采购人签订合同前提交履约保证金或履约保函。</w:t>
            </w:r>
          </w:p>
        </w:tc>
      </w:tr>
      <w:tr w14:paraId="36B4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260" w:type="dxa"/>
            <w:gridSpan w:val="3"/>
            <w:vAlign w:val="center"/>
          </w:tcPr>
          <w:p w14:paraId="19F9A8F9">
            <w:pPr>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文件中部分加“*”、</w:t>
            </w:r>
            <w:r>
              <w:rPr>
                <w:rFonts w:hint="eastAsia" w:ascii="仿宋" w:hAnsi="仿宋" w:eastAsia="仿宋" w:cs="仿宋"/>
                <w:b/>
                <w:bCs/>
                <w:color w:val="auto"/>
                <w:sz w:val="24"/>
                <w:szCs w:val="24"/>
                <w:highlight w:val="none"/>
                <w:lang w:val="en-US" w:eastAsia="zh-CN"/>
              </w:rPr>
              <w:t>“▲”、“</w:t>
            </w:r>
            <w:r>
              <w:rPr>
                <w:rFonts w:hint="default"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bCs/>
                <w:color w:val="auto"/>
                <w:kern w:val="0"/>
                <w:sz w:val="24"/>
                <w:szCs w:val="24"/>
                <w:highlight w:val="none"/>
                <w:lang w:val="en-US" w:eastAsia="zh-CN" w:bidi="ar-SA"/>
              </w:rPr>
              <w:t>加粗、加下划线为招标的实质性要求和条件，着重提醒各投标人注意，并认真查看招标文件中的每一个条款及要求，因误读招标文件而造成的后果，招标人概不负责。</w:t>
            </w:r>
            <w:bookmarkStart w:id="5" w:name="_GoBack"/>
            <w:bookmarkEnd w:id="5"/>
          </w:p>
        </w:tc>
      </w:tr>
    </w:tbl>
    <w:p w14:paraId="6C9C4E45">
      <w:pP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br w:type="page"/>
      </w:r>
    </w:p>
    <w:p w14:paraId="33A1A96B">
      <w:pPr>
        <w:pStyle w:val="2"/>
        <w:jc w:val="center"/>
        <w:rPr>
          <w:rFonts w:hint="eastAsia" w:ascii="仿宋" w:hAnsi="仿宋" w:eastAsia="仿宋" w:cs="仿宋"/>
          <w:color w:val="auto"/>
          <w:sz w:val="28"/>
          <w:highlight w:val="none"/>
          <w:lang w:val="en-US" w:eastAsia="zh-CN"/>
        </w:rPr>
      </w:pPr>
      <w:bookmarkStart w:id="0" w:name="_Toc4683"/>
      <w:bookmarkStart w:id="1" w:name="_Toc32601"/>
      <w:bookmarkStart w:id="2" w:name="_Toc4570"/>
      <w:bookmarkStart w:id="3" w:name="_Toc21935"/>
      <w:bookmarkStart w:id="4" w:name="_Toc12987"/>
      <w:r>
        <w:rPr>
          <w:rFonts w:hint="eastAsia" w:ascii="仿宋" w:hAnsi="仿宋" w:eastAsia="仿宋" w:cs="仿宋"/>
          <w:color w:val="auto"/>
          <w:sz w:val="28"/>
          <w:highlight w:val="none"/>
          <w:lang w:val="en-US" w:eastAsia="zh-CN"/>
        </w:rPr>
        <w:t>投标报价明细表</w:t>
      </w:r>
      <w:bookmarkEnd w:id="0"/>
      <w:bookmarkEnd w:id="1"/>
      <w:bookmarkEnd w:id="2"/>
      <w:bookmarkEnd w:id="3"/>
      <w:bookmarkEnd w:id="4"/>
    </w:p>
    <w:p w14:paraId="6AB86544">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项目名称：皮山县预备费-皮山县委党校培训设施场地设备维修改造提升项目LED屏幕</w:t>
      </w:r>
    </w:p>
    <w:tbl>
      <w:tblPr>
        <w:tblStyle w:val="1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279"/>
        <w:gridCol w:w="1167"/>
        <w:gridCol w:w="622"/>
        <w:gridCol w:w="712"/>
        <w:gridCol w:w="1643"/>
        <w:gridCol w:w="1643"/>
        <w:gridCol w:w="1237"/>
        <w:gridCol w:w="1237"/>
      </w:tblGrid>
      <w:tr w14:paraId="0F7B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55" w:type="dxa"/>
            <w:vAlign w:val="center"/>
          </w:tcPr>
          <w:p w14:paraId="5BEA933F">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序号</w:t>
            </w:r>
          </w:p>
        </w:tc>
        <w:tc>
          <w:tcPr>
            <w:tcW w:w="1279" w:type="dxa"/>
            <w:vAlign w:val="center"/>
          </w:tcPr>
          <w:p w14:paraId="035CC049">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highlight w:val="none"/>
                <w:u w:val="none"/>
                <w:lang w:val="en-US" w:eastAsia="zh-CN"/>
              </w:rPr>
              <w:t>标的</w:t>
            </w:r>
            <w:r>
              <w:rPr>
                <w:rFonts w:hint="eastAsia" w:ascii="仿宋" w:hAnsi="仿宋" w:eastAsia="仿宋" w:cs="仿宋"/>
                <w:color w:val="auto"/>
                <w:sz w:val="24"/>
                <w:highlight w:val="none"/>
                <w:u w:val="none"/>
              </w:rPr>
              <w:t>名称</w:t>
            </w:r>
          </w:p>
        </w:tc>
        <w:tc>
          <w:tcPr>
            <w:tcW w:w="1167" w:type="dxa"/>
            <w:vAlign w:val="center"/>
          </w:tcPr>
          <w:p w14:paraId="603FEF08">
            <w:pPr>
              <w:ind w:left="0" w:leftChars="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i w:val="0"/>
                <w:iCs w:val="0"/>
                <w:snapToGrid w:val="0"/>
                <w:color w:val="auto"/>
                <w:kern w:val="0"/>
                <w:sz w:val="24"/>
                <w:szCs w:val="24"/>
                <w:highlight w:val="none"/>
                <w:u w:val="none"/>
                <w:lang w:val="en-US" w:eastAsia="zh-CN" w:bidi="ar"/>
              </w:rPr>
              <w:t>规格及要求</w:t>
            </w:r>
          </w:p>
        </w:tc>
        <w:tc>
          <w:tcPr>
            <w:tcW w:w="622" w:type="dxa"/>
            <w:vAlign w:val="center"/>
          </w:tcPr>
          <w:p w14:paraId="550105E6">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712" w:type="dxa"/>
            <w:vAlign w:val="center"/>
          </w:tcPr>
          <w:p w14:paraId="7F330B4C">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643" w:type="dxa"/>
            <w:vAlign w:val="center"/>
          </w:tcPr>
          <w:p w14:paraId="2AA63599">
            <w:pPr>
              <w:ind w:left="0" w:leftChars="0" w:firstLine="0" w:firstLineChars="0"/>
              <w:jc w:val="center"/>
              <w:rPr>
                <w:rFonts w:hint="eastAsia" w:ascii="仿宋" w:hAnsi="仿宋" w:eastAsia="仿宋" w:cs="仿宋"/>
                <w:color w:val="auto"/>
                <w:kern w:val="2"/>
                <w:sz w:val="24"/>
                <w:highlight w:val="none"/>
                <w:u w:val="none"/>
                <w:lang w:val="en-US" w:eastAsia="zh-CN" w:bidi="ar-SA"/>
              </w:rPr>
            </w:pPr>
            <w:r>
              <w:rPr>
                <w:rFonts w:hint="eastAsia" w:ascii="仿宋" w:hAnsi="仿宋" w:eastAsia="仿宋" w:cs="仿宋"/>
                <w:color w:val="auto"/>
                <w:kern w:val="2"/>
                <w:sz w:val="24"/>
                <w:highlight w:val="none"/>
                <w:u w:val="none"/>
                <w:lang w:val="en-US" w:eastAsia="zh-CN" w:bidi="ar-SA"/>
              </w:rPr>
              <w:t>品牌、型号、产地</w:t>
            </w:r>
          </w:p>
        </w:tc>
        <w:tc>
          <w:tcPr>
            <w:tcW w:w="1643" w:type="dxa"/>
            <w:vAlign w:val="center"/>
          </w:tcPr>
          <w:p w14:paraId="5E300C74">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highlight w:val="none"/>
                <w:u w:val="none"/>
                <w:lang w:val="en-US" w:eastAsia="zh-CN" w:bidi="ar-SA"/>
              </w:rPr>
              <w:t>单价（元）</w:t>
            </w:r>
          </w:p>
        </w:tc>
        <w:tc>
          <w:tcPr>
            <w:tcW w:w="1237" w:type="dxa"/>
            <w:vAlign w:val="center"/>
          </w:tcPr>
          <w:p w14:paraId="39C0B18C">
            <w:pPr>
              <w:ind w:left="0" w:leftChars="0"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总价</w:t>
            </w:r>
            <w:r>
              <w:rPr>
                <w:rFonts w:hint="eastAsia" w:ascii="仿宋" w:hAnsi="仿宋" w:eastAsia="仿宋" w:cs="仿宋"/>
                <w:color w:val="auto"/>
                <w:kern w:val="2"/>
                <w:sz w:val="24"/>
                <w:highlight w:val="none"/>
                <w:u w:val="none"/>
                <w:lang w:val="en-US" w:eastAsia="zh-CN" w:bidi="ar-SA"/>
              </w:rPr>
              <w:t>（元）</w:t>
            </w:r>
          </w:p>
        </w:tc>
        <w:tc>
          <w:tcPr>
            <w:tcW w:w="1237" w:type="dxa"/>
            <w:vAlign w:val="center"/>
          </w:tcPr>
          <w:p w14:paraId="3AADA7CA">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14:paraId="72BE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vAlign w:val="center"/>
          </w:tcPr>
          <w:p w14:paraId="50B7A2A7">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279" w:type="dxa"/>
            <w:vAlign w:val="center"/>
          </w:tcPr>
          <w:p w14:paraId="0237F16A">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7" w:type="dxa"/>
            <w:vAlign w:val="center"/>
          </w:tcPr>
          <w:p w14:paraId="6C80B32C">
            <w:pPr>
              <w:ind w:left="0" w:leftChars="0" w:firstLine="0" w:firstLineChars="0"/>
              <w:jc w:val="center"/>
              <w:rPr>
                <w:rFonts w:hint="eastAsia" w:ascii="仿宋" w:hAnsi="仿宋" w:eastAsia="仿宋" w:cs="仿宋"/>
                <w:b w:val="0"/>
                <w:bCs/>
                <w:color w:val="auto"/>
                <w:sz w:val="24"/>
                <w:szCs w:val="24"/>
                <w:highlight w:val="none"/>
              </w:rPr>
            </w:pPr>
          </w:p>
        </w:tc>
        <w:tc>
          <w:tcPr>
            <w:tcW w:w="622" w:type="dxa"/>
            <w:vAlign w:val="center"/>
          </w:tcPr>
          <w:p w14:paraId="60099FF7">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vAlign w:val="center"/>
          </w:tcPr>
          <w:p w14:paraId="39E2F321">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vAlign w:val="center"/>
          </w:tcPr>
          <w:p w14:paraId="1BFE9718">
            <w:pPr>
              <w:ind w:left="0" w:leftChars="0" w:firstLine="0" w:firstLineChars="0"/>
              <w:jc w:val="center"/>
              <w:rPr>
                <w:rFonts w:hint="eastAsia" w:ascii="仿宋" w:hAnsi="仿宋" w:eastAsia="仿宋" w:cs="仿宋"/>
                <w:b w:val="0"/>
                <w:bCs/>
                <w:color w:val="auto"/>
                <w:sz w:val="24"/>
                <w:szCs w:val="24"/>
                <w:highlight w:val="none"/>
              </w:rPr>
            </w:pPr>
          </w:p>
        </w:tc>
        <w:tc>
          <w:tcPr>
            <w:tcW w:w="1643" w:type="dxa"/>
            <w:vAlign w:val="center"/>
          </w:tcPr>
          <w:p w14:paraId="17AFDD7F">
            <w:pPr>
              <w:ind w:left="0" w:leftChars="0" w:firstLine="0" w:firstLineChars="0"/>
              <w:jc w:val="center"/>
              <w:rPr>
                <w:rFonts w:hint="eastAsia" w:ascii="仿宋" w:hAnsi="仿宋" w:eastAsia="仿宋" w:cs="仿宋"/>
                <w:b w:val="0"/>
                <w:bCs/>
                <w:color w:val="auto"/>
                <w:sz w:val="24"/>
                <w:szCs w:val="24"/>
                <w:highlight w:val="none"/>
              </w:rPr>
            </w:pPr>
          </w:p>
        </w:tc>
        <w:tc>
          <w:tcPr>
            <w:tcW w:w="1237" w:type="dxa"/>
            <w:vAlign w:val="center"/>
          </w:tcPr>
          <w:p w14:paraId="5577870C">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vAlign w:val="center"/>
          </w:tcPr>
          <w:p w14:paraId="2AF68323">
            <w:pPr>
              <w:tabs>
                <w:tab w:val="left" w:pos="552"/>
              </w:tabs>
              <w:ind w:left="0" w:leftChars="0" w:firstLine="0" w:firstLineChars="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highlight w:val="none"/>
                <w:lang w:val="en-US" w:eastAsia="zh-CN"/>
              </w:rPr>
              <w:t xml:space="preserve"> </w:t>
            </w:r>
          </w:p>
        </w:tc>
      </w:tr>
      <w:tr w14:paraId="3149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vAlign w:val="center"/>
          </w:tcPr>
          <w:p w14:paraId="373CB50E">
            <w:pPr>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279" w:type="dxa"/>
            <w:vAlign w:val="center"/>
          </w:tcPr>
          <w:p w14:paraId="39455EC2">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7" w:type="dxa"/>
            <w:vAlign w:val="center"/>
          </w:tcPr>
          <w:p w14:paraId="6C75463A">
            <w:pPr>
              <w:ind w:left="0" w:leftChars="0" w:firstLine="0" w:firstLineChars="0"/>
              <w:jc w:val="center"/>
              <w:rPr>
                <w:rFonts w:hint="eastAsia" w:ascii="仿宋" w:hAnsi="仿宋" w:eastAsia="仿宋" w:cs="仿宋"/>
                <w:b w:val="0"/>
                <w:bCs/>
                <w:color w:val="auto"/>
                <w:sz w:val="24"/>
                <w:szCs w:val="24"/>
                <w:highlight w:val="none"/>
              </w:rPr>
            </w:pPr>
          </w:p>
        </w:tc>
        <w:tc>
          <w:tcPr>
            <w:tcW w:w="622" w:type="dxa"/>
            <w:vAlign w:val="center"/>
          </w:tcPr>
          <w:p w14:paraId="7ADF36DF">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vAlign w:val="center"/>
          </w:tcPr>
          <w:p w14:paraId="4B0275FA">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vAlign w:val="center"/>
          </w:tcPr>
          <w:p w14:paraId="5A3F9A92">
            <w:pPr>
              <w:ind w:left="0" w:leftChars="0" w:firstLine="0" w:firstLineChars="0"/>
              <w:jc w:val="center"/>
              <w:rPr>
                <w:rFonts w:hint="eastAsia" w:ascii="仿宋" w:hAnsi="仿宋" w:eastAsia="仿宋" w:cs="仿宋"/>
                <w:b w:val="0"/>
                <w:bCs/>
                <w:color w:val="auto"/>
                <w:sz w:val="24"/>
                <w:szCs w:val="24"/>
                <w:highlight w:val="none"/>
              </w:rPr>
            </w:pPr>
          </w:p>
        </w:tc>
        <w:tc>
          <w:tcPr>
            <w:tcW w:w="1643" w:type="dxa"/>
            <w:vAlign w:val="center"/>
          </w:tcPr>
          <w:p w14:paraId="13983E5C">
            <w:pPr>
              <w:ind w:left="0" w:leftChars="0" w:firstLine="0" w:firstLineChars="0"/>
              <w:jc w:val="center"/>
              <w:rPr>
                <w:rFonts w:hint="eastAsia" w:ascii="仿宋" w:hAnsi="仿宋" w:eastAsia="仿宋" w:cs="仿宋"/>
                <w:b w:val="0"/>
                <w:bCs/>
                <w:color w:val="auto"/>
                <w:sz w:val="24"/>
                <w:szCs w:val="24"/>
                <w:highlight w:val="none"/>
              </w:rPr>
            </w:pPr>
          </w:p>
        </w:tc>
        <w:tc>
          <w:tcPr>
            <w:tcW w:w="1237" w:type="dxa"/>
            <w:vAlign w:val="center"/>
          </w:tcPr>
          <w:p w14:paraId="1FE9C782">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vAlign w:val="center"/>
          </w:tcPr>
          <w:p w14:paraId="0F3340E0">
            <w:pPr>
              <w:tabs>
                <w:tab w:val="left" w:pos="552"/>
              </w:tabs>
              <w:ind w:left="0" w:leftChars="0" w:firstLine="0" w:firstLineChars="0"/>
              <w:jc w:val="left"/>
              <w:rPr>
                <w:rFonts w:hint="eastAsia" w:ascii="仿宋" w:hAnsi="仿宋" w:eastAsia="仿宋" w:cs="仿宋"/>
                <w:highlight w:val="none"/>
                <w:lang w:val="en-US" w:eastAsia="zh-CN"/>
              </w:rPr>
            </w:pPr>
          </w:p>
        </w:tc>
      </w:tr>
      <w:tr w14:paraId="2092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vAlign w:val="center"/>
          </w:tcPr>
          <w:p w14:paraId="6B0F638C">
            <w:pPr>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279" w:type="dxa"/>
            <w:vAlign w:val="center"/>
          </w:tcPr>
          <w:p w14:paraId="08626156">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7" w:type="dxa"/>
            <w:vAlign w:val="center"/>
          </w:tcPr>
          <w:p w14:paraId="32DBE360">
            <w:pPr>
              <w:ind w:left="0" w:leftChars="0" w:firstLine="0" w:firstLineChars="0"/>
              <w:jc w:val="center"/>
              <w:rPr>
                <w:rFonts w:hint="eastAsia" w:ascii="仿宋" w:hAnsi="仿宋" w:eastAsia="仿宋" w:cs="仿宋"/>
                <w:b w:val="0"/>
                <w:bCs/>
                <w:color w:val="auto"/>
                <w:sz w:val="24"/>
                <w:szCs w:val="24"/>
                <w:highlight w:val="none"/>
              </w:rPr>
            </w:pPr>
          </w:p>
        </w:tc>
        <w:tc>
          <w:tcPr>
            <w:tcW w:w="622" w:type="dxa"/>
            <w:vAlign w:val="center"/>
          </w:tcPr>
          <w:p w14:paraId="753A12B3">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vAlign w:val="center"/>
          </w:tcPr>
          <w:p w14:paraId="50C73B81">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vAlign w:val="center"/>
          </w:tcPr>
          <w:p w14:paraId="12D694B1">
            <w:pPr>
              <w:ind w:left="0" w:leftChars="0" w:firstLine="0" w:firstLineChars="0"/>
              <w:jc w:val="center"/>
              <w:rPr>
                <w:rFonts w:hint="eastAsia" w:ascii="仿宋" w:hAnsi="仿宋" w:eastAsia="仿宋" w:cs="仿宋"/>
                <w:b w:val="0"/>
                <w:bCs/>
                <w:color w:val="auto"/>
                <w:sz w:val="24"/>
                <w:szCs w:val="24"/>
                <w:highlight w:val="none"/>
              </w:rPr>
            </w:pPr>
          </w:p>
        </w:tc>
        <w:tc>
          <w:tcPr>
            <w:tcW w:w="1643" w:type="dxa"/>
            <w:vAlign w:val="center"/>
          </w:tcPr>
          <w:p w14:paraId="7B9E7E0C">
            <w:pPr>
              <w:ind w:left="0" w:leftChars="0" w:firstLine="0" w:firstLineChars="0"/>
              <w:jc w:val="center"/>
              <w:rPr>
                <w:rFonts w:hint="eastAsia" w:ascii="仿宋" w:hAnsi="仿宋" w:eastAsia="仿宋" w:cs="仿宋"/>
                <w:b w:val="0"/>
                <w:bCs/>
                <w:color w:val="auto"/>
                <w:sz w:val="24"/>
                <w:szCs w:val="24"/>
                <w:highlight w:val="none"/>
              </w:rPr>
            </w:pPr>
          </w:p>
        </w:tc>
        <w:tc>
          <w:tcPr>
            <w:tcW w:w="1237" w:type="dxa"/>
            <w:vAlign w:val="center"/>
          </w:tcPr>
          <w:p w14:paraId="66E278BD">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vAlign w:val="center"/>
          </w:tcPr>
          <w:p w14:paraId="0DB45782">
            <w:pPr>
              <w:tabs>
                <w:tab w:val="left" w:pos="552"/>
              </w:tabs>
              <w:ind w:left="0" w:leftChars="0" w:firstLine="0" w:firstLineChars="0"/>
              <w:jc w:val="left"/>
              <w:rPr>
                <w:rFonts w:hint="eastAsia" w:ascii="仿宋" w:hAnsi="仿宋" w:eastAsia="仿宋" w:cs="仿宋"/>
                <w:highlight w:val="none"/>
                <w:lang w:val="en-US" w:eastAsia="zh-CN"/>
              </w:rPr>
            </w:pPr>
          </w:p>
        </w:tc>
      </w:tr>
      <w:tr w14:paraId="2AE7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vAlign w:val="center"/>
          </w:tcPr>
          <w:p w14:paraId="71B1302A">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9" w:type="dxa"/>
            <w:vAlign w:val="center"/>
          </w:tcPr>
          <w:p w14:paraId="510F1209">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7" w:type="dxa"/>
            <w:vAlign w:val="center"/>
          </w:tcPr>
          <w:p w14:paraId="0D63A3B6">
            <w:pPr>
              <w:ind w:left="0" w:leftChars="0" w:firstLine="0" w:firstLineChars="0"/>
              <w:jc w:val="center"/>
              <w:rPr>
                <w:rFonts w:hint="eastAsia" w:ascii="仿宋" w:hAnsi="仿宋" w:eastAsia="仿宋" w:cs="仿宋"/>
                <w:b w:val="0"/>
                <w:bCs/>
                <w:color w:val="auto"/>
                <w:sz w:val="24"/>
                <w:szCs w:val="24"/>
                <w:highlight w:val="none"/>
              </w:rPr>
            </w:pPr>
          </w:p>
        </w:tc>
        <w:tc>
          <w:tcPr>
            <w:tcW w:w="622" w:type="dxa"/>
            <w:vAlign w:val="center"/>
          </w:tcPr>
          <w:p w14:paraId="12293BF5">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vAlign w:val="center"/>
          </w:tcPr>
          <w:p w14:paraId="587906FD">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vAlign w:val="center"/>
          </w:tcPr>
          <w:p w14:paraId="2B5859D2">
            <w:pPr>
              <w:ind w:left="0" w:leftChars="0" w:firstLine="0" w:firstLineChars="0"/>
              <w:jc w:val="center"/>
              <w:rPr>
                <w:rFonts w:hint="eastAsia" w:ascii="仿宋" w:hAnsi="仿宋" w:eastAsia="仿宋" w:cs="仿宋"/>
                <w:b w:val="0"/>
                <w:bCs/>
                <w:color w:val="auto"/>
                <w:sz w:val="24"/>
                <w:szCs w:val="24"/>
                <w:highlight w:val="none"/>
              </w:rPr>
            </w:pPr>
          </w:p>
        </w:tc>
        <w:tc>
          <w:tcPr>
            <w:tcW w:w="1643" w:type="dxa"/>
            <w:vAlign w:val="center"/>
          </w:tcPr>
          <w:p w14:paraId="49DE8AD5">
            <w:pPr>
              <w:ind w:left="0" w:leftChars="0" w:firstLine="0" w:firstLineChars="0"/>
              <w:jc w:val="center"/>
              <w:rPr>
                <w:rFonts w:hint="eastAsia" w:ascii="仿宋" w:hAnsi="仿宋" w:eastAsia="仿宋" w:cs="仿宋"/>
                <w:b w:val="0"/>
                <w:bCs/>
                <w:color w:val="auto"/>
                <w:sz w:val="24"/>
                <w:szCs w:val="24"/>
                <w:highlight w:val="none"/>
              </w:rPr>
            </w:pPr>
          </w:p>
        </w:tc>
        <w:tc>
          <w:tcPr>
            <w:tcW w:w="1237" w:type="dxa"/>
            <w:vAlign w:val="center"/>
          </w:tcPr>
          <w:p w14:paraId="5F8C42AB">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vAlign w:val="center"/>
          </w:tcPr>
          <w:p w14:paraId="41914326">
            <w:pPr>
              <w:tabs>
                <w:tab w:val="left" w:pos="552"/>
              </w:tabs>
              <w:ind w:left="0" w:leftChars="0" w:firstLine="0" w:firstLineChars="0"/>
              <w:jc w:val="left"/>
              <w:rPr>
                <w:rFonts w:hint="eastAsia" w:ascii="仿宋" w:hAnsi="仿宋" w:eastAsia="仿宋" w:cs="仿宋"/>
                <w:highlight w:val="none"/>
                <w:lang w:val="en-US" w:eastAsia="zh-CN"/>
              </w:rPr>
            </w:pPr>
          </w:p>
        </w:tc>
      </w:tr>
      <w:tr w14:paraId="5D4F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734" w:type="dxa"/>
            <w:gridSpan w:val="2"/>
            <w:vAlign w:val="center"/>
          </w:tcPr>
          <w:p w14:paraId="66A08D30">
            <w:pPr>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合计</w:t>
            </w:r>
            <w:r>
              <w:rPr>
                <w:rFonts w:hint="eastAsia" w:ascii="仿宋" w:hAnsi="仿宋" w:eastAsia="仿宋" w:cs="仿宋"/>
                <w:b w:val="0"/>
                <w:bCs/>
                <w:color w:val="auto"/>
                <w:sz w:val="24"/>
                <w:szCs w:val="24"/>
                <w:highlight w:val="none"/>
                <w:lang w:eastAsia="zh-CN"/>
              </w:rPr>
              <w:t>总价（元）</w:t>
            </w:r>
          </w:p>
        </w:tc>
        <w:tc>
          <w:tcPr>
            <w:tcW w:w="8261" w:type="dxa"/>
            <w:gridSpan w:val="7"/>
            <w:vAlign w:val="center"/>
          </w:tcPr>
          <w:p w14:paraId="6E89EFD9">
            <w:pPr>
              <w:jc w:val="center"/>
              <w:rPr>
                <w:rFonts w:hint="eastAsia" w:ascii="仿宋" w:hAnsi="仿宋" w:eastAsia="仿宋" w:cs="仿宋"/>
                <w:b w:val="0"/>
                <w:bCs/>
                <w:color w:val="auto"/>
                <w:sz w:val="24"/>
                <w:szCs w:val="24"/>
                <w:highlight w:val="none"/>
              </w:rPr>
            </w:pPr>
          </w:p>
        </w:tc>
      </w:tr>
    </w:tbl>
    <w:p w14:paraId="6A1BBADC">
      <w:pPr>
        <w:rPr>
          <w:rFonts w:hint="eastAsia" w:ascii="仿宋" w:hAnsi="仿宋" w:eastAsia="仿宋" w:cs="仿宋"/>
          <w:color w:val="auto"/>
          <w:sz w:val="24"/>
          <w:szCs w:val="24"/>
          <w:highlight w:val="none"/>
        </w:rPr>
      </w:pPr>
    </w:p>
    <w:p w14:paraId="0C6374E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（报价项目填报不下的，可自行扩</w:t>
      </w:r>
      <w:r>
        <w:rPr>
          <w:rFonts w:hint="eastAsia" w:ascii="仿宋" w:hAnsi="仿宋" w:eastAsia="仿宋" w:cs="仿宋"/>
          <w:color w:val="auto"/>
          <w:sz w:val="24"/>
          <w:szCs w:val="24"/>
          <w:highlight w:val="none"/>
          <w:lang w:val="en-US" w:eastAsia="zh-CN"/>
        </w:rPr>
        <w:t>展</w:t>
      </w:r>
      <w:r>
        <w:rPr>
          <w:rFonts w:hint="eastAsia" w:ascii="仿宋" w:hAnsi="仿宋" w:eastAsia="仿宋" w:cs="仿宋"/>
          <w:color w:val="auto"/>
          <w:sz w:val="24"/>
          <w:szCs w:val="24"/>
          <w:highlight w:val="none"/>
        </w:rPr>
        <w:t>）</w:t>
      </w:r>
    </w:p>
    <w:p w14:paraId="52963817">
      <w:p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注：1</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若获得中标资格并与采购人签署供货合同，由于报价遗漏面造成在供货、等工作中出现费用的增加，均由中标投标人自行承担，采购人将不再支付任何额外费用。</w:t>
      </w:r>
    </w:p>
    <w:p w14:paraId="47365F84">
      <w:pPr>
        <w:numPr>
          <w:ilvl w:val="0"/>
          <w:numId w:val="0"/>
        </w:num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2、投标人必须填写报价明细表且明细表中需包含采购需求表中所有内容，否则将导致投标被拒绝。</w:t>
      </w:r>
    </w:p>
    <w:p w14:paraId="7C483594">
      <w:pPr>
        <w:spacing w:line="360" w:lineRule="auto"/>
        <w:ind w:firstLine="480" w:firstLineChars="200"/>
        <w:rPr>
          <w:rFonts w:hint="eastAsia" w:ascii="仿宋" w:hAnsi="仿宋" w:eastAsia="仿宋" w:cs="仿宋"/>
          <w:color w:val="auto"/>
          <w:sz w:val="24"/>
          <w:highlight w:val="none"/>
        </w:rPr>
      </w:pPr>
    </w:p>
    <w:p w14:paraId="5C8898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14:paraId="55CB2194">
      <w:pPr>
        <w:spacing w:line="360" w:lineRule="auto"/>
        <w:ind w:firstLine="4080" w:firstLineChars="1700"/>
        <w:rPr>
          <w:rFonts w:hint="eastAsia" w:ascii="仿宋" w:hAnsi="仿宋" w:eastAsia="仿宋" w:cs="仿宋"/>
          <w:color w:val="auto"/>
          <w:sz w:val="24"/>
          <w:highlight w:val="none"/>
        </w:rPr>
      </w:pPr>
    </w:p>
    <w:p w14:paraId="473E566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14:paraId="368BA856">
      <w:pPr>
        <w:spacing w:line="360" w:lineRule="auto"/>
        <w:rPr>
          <w:rFonts w:hint="eastAsia" w:ascii="仿宋" w:hAnsi="仿宋" w:eastAsia="仿宋" w:cs="仿宋"/>
          <w:color w:val="auto"/>
          <w:sz w:val="24"/>
          <w:highlight w:val="none"/>
        </w:rPr>
      </w:pPr>
    </w:p>
    <w:p w14:paraId="39C9FEB4">
      <w:pPr>
        <w:spacing w:line="360" w:lineRule="auto"/>
        <w:ind w:firstLine="480" w:firstLineChars="200"/>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14:paraId="20DB15FC">
      <w:pPr>
        <w:pStyle w:val="18"/>
        <w:ind w:left="0" w:leftChars="0" w:firstLine="0" w:firstLineChars="0"/>
        <w:rPr>
          <w:rFonts w:hint="eastAsia" w:ascii="仿宋" w:hAnsi="仿宋" w:eastAsia="仿宋" w:cs="仿宋"/>
          <w:color w:val="auto"/>
          <w:highlight w:val="none"/>
        </w:rPr>
      </w:pPr>
    </w:p>
    <w:p w14:paraId="4DED3D1B">
      <w:pPr>
        <w:pStyle w:val="3"/>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符合《政府采购法》第二十二条规定的条件</w:t>
      </w:r>
    </w:p>
    <w:p w14:paraId="6344B3B6">
      <w:pPr>
        <w:pStyle w:val="11"/>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eastAsia="zh-CN"/>
        </w:rPr>
        <w:t>1.满足《中华人民共和国政府采购法》第二十二条规定；</w:t>
      </w:r>
    </w:p>
    <w:p w14:paraId="0374312F">
      <w:pPr>
        <w:pStyle w:val="11"/>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97844BA">
      <w:pPr>
        <w:pStyle w:val="11"/>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2）有依法缴纳税收和社会保障资金的良好记录：提供近段时间内连续三个月的完税证明或依法报税资料（新成立不足3个月的按实际情况发生提供，成立时间超过3个月的零申报的需提供依法报税资料）；提供近段时间内法人(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6129EA21">
      <w:pPr>
        <w:pStyle w:val="11"/>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3）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财务会计制度需单独提供）；</w:t>
      </w:r>
    </w:p>
    <w:p w14:paraId="486373C5">
      <w:pPr>
        <w:pStyle w:val="11"/>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（4）履行合同所必需的设备和专业技术能力：提供《投标人资格声明函》；</w:t>
      </w:r>
    </w:p>
    <w:p w14:paraId="60E7A3B6">
      <w:pPr>
        <w:pStyle w:val="11"/>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5）参加采购活动前3年内，在经营活动中没有重大违法记录（提供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D01D8CA">
      <w:pPr>
        <w:pStyle w:val="11"/>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5DB05C00">
      <w:pPr>
        <w:pStyle w:val="11"/>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（7）企业负责人为同一人或者存在直接控股、管理关系的不同投标人，不得参加同一合同项下的政府采购活动（提供声明函），否则，皆取消投标资格。</w:t>
      </w:r>
    </w:p>
    <w:p w14:paraId="0F5AB603">
      <w:pPr>
        <w:rPr>
          <w:rFonts w:hint="eastAsia" w:ascii="仿宋" w:hAnsi="仿宋" w:eastAsia="仿宋" w:cs="仿宋"/>
          <w:color w:val="auto"/>
          <w:kern w:val="0"/>
          <w:sz w:val="28"/>
          <w:highlight w:val="none"/>
          <w:lang w:val="en-US" w:eastAsia="zh-CN"/>
        </w:rPr>
      </w:pPr>
      <w:r>
        <w:rPr>
          <w:rFonts w:hint="eastAsia" w:ascii="仿宋" w:hAnsi="仿宋" w:eastAsia="仿宋" w:cs="仿宋"/>
          <w:color w:val="auto"/>
          <w:kern w:val="0"/>
          <w:sz w:val="28"/>
          <w:highlight w:val="none"/>
          <w:lang w:val="en-US" w:eastAsia="zh-CN"/>
        </w:rPr>
        <w:br w:type="page"/>
      </w:r>
    </w:p>
    <w:tbl>
      <w:tblPr>
        <w:tblStyle w:val="14"/>
        <w:tblW w:w="95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796"/>
        <w:gridCol w:w="6835"/>
        <w:gridCol w:w="882"/>
        <w:gridCol w:w="522"/>
      </w:tblGrid>
      <w:tr w14:paraId="743C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7F3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序号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A98">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名称</w:t>
            </w:r>
          </w:p>
        </w:tc>
        <w:tc>
          <w:tcPr>
            <w:tcW w:w="6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DF1F">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规格</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80C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数量</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811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r>
      <w:tr w14:paraId="703C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29E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2E27">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LED屏幕（报告厅）</w:t>
            </w:r>
          </w:p>
        </w:tc>
        <w:tc>
          <w:tcPr>
            <w:tcW w:w="6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F184">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1、★像素点间距：</w:t>
            </w:r>
          </w:p>
          <w:p w14:paraId="16F2762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≤1.5mm</w:t>
            </w:r>
          </w:p>
          <w:p w14:paraId="174204EA">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24C71BF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2、单元板分辨率：</w:t>
            </w:r>
          </w:p>
          <w:p w14:paraId="14E0E1F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≥21632Dots</w:t>
            </w:r>
          </w:p>
          <w:p w14:paraId="5A4689A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3、★刷新率：≥3840Hz，支持通过配套控制软件调节刷新率设置选项</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55AAEB0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4、像素构成：1R、1G、1B</w:t>
            </w:r>
          </w:p>
          <w:p w14:paraId="6651E7B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5、▲封装方式：SMD表贴三合一，灯芯键合线材质为铜线，五面黑灯，表面不反光</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0384F13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6、驱动方式：恒流驱动；控制方式：同步控制系统；维护方式：前后双向维护</w:t>
            </w:r>
          </w:p>
          <w:p w14:paraId="4DBA9F14">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7、整屏平整度≤0.04mm；模组平整度≤0.03mm</w:t>
            </w:r>
          </w:p>
          <w:p w14:paraId="78C0BF21">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8、▲白平衡亮度：0-700cd/㎡可调；亮度调节：0-100%亮度可调，256级手动/自动调节，屏幕亮度具有随环境照度的变化任意调整功能；亮度均匀性：≥99%</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3113285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9、色温800K-18000K可调；白平衡状态下色温在6500K±5%；色温为6500K时，100%75%50%25%档电平白场调节色温误差≤100K</w:t>
            </w:r>
          </w:p>
          <w:p w14:paraId="375CF6E5">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10、水平视角≥170°；垂直视角≥170°</w:t>
            </w:r>
          </w:p>
          <w:p w14:paraId="27593095">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11、对比度≥9000：1</w:t>
            </w:r>
          </w:p>
          <w:p w14:paraId="64667B0D">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12、▲具有H2S宽动态处理技术，解决主控机二次重复播放时的衰减等现象</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11FA1425">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13、灰度等级≥14bit，红绿蓝各256级，可达16384级；采用EPWM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0CED573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14、供电电源：在4.2*（1±10%）VDC～4.5*（1±10%）VDC范围内能正常工作；峰值功耗≤300W/m²；平均功耗≤120W/m²</w:t>
            </w:r>
          </w:p>
          <w:p w14:paraId="04027D7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15、▲在器具输入插座端与屏正面之间施加试验电压3kv/50Hz，保持1min，不应出现飞弧和击穿现象，产品能正常工作；在5000米海拔环境下，产品可正常工作；输入电压：支持宽压输入在96-264VAC，支持窄压输入在200-240VAC，在该范围内能正常工作</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37DE6AFD">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16、▲防护性能：具有防静电、防电磁干扰、防腐蚀、防霉菌、防虫、防潮、抗震动、抗雷击等功能；具有电源过压、过流、断电保护、分布上电措施、防护等级达到IP60</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4373B008">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17、具有列下消隐功能、倍频刷新率提升2/4/8倍、低灰偏色改善</w:t>
            </w:r>
          </w:p>
          <w:p w14:paraId="6909DD6E">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18、色坐标X、Y坐标符合SJ/T11141-2017 5.10.5规定；色度均匀性±0.001Cx、Cy内；色域空间≥120% NTSC，LED显示屏ColorSPace覆盖率≥170%YUV(PAL)</w:t>
            </w:r>
          </w:p>
          <w:p w14:paraId="3E35797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19、▲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754C4DD0">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20、▲为了所投LED显示屏产品的安全性和适应性，屏体内部所用排线需符合耐高温实验、耐压测试、折弯参数测试要求，耐燃等级符合VW-1/UL94V-0</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06809975">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21、▲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（提供由第三方权威检测机构出具带有“CNAS”、“CMA”标志的检测报告复印件，并提供在国家市场监督管理总局“全国认证认可信息公共服务平台”上的检测报告编号查询截图）</w:t>
            </w:r>
          </w:p>
          <w:p w14:paraId="4F7C0497">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22、▲防电击等级依据GB4943.1标准，使用基本绝缘作为基本安全防护，同时使用保护连接和保护接地作为附加安全防护，达到防电击保护I类设备</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（提供由第三方权威检测机构出具带有“CNAS”、“CMA”标志的检测报告复印件，并提供在国家市场监督管理总局“全国认证认可信息公共服务平台”上的检测报告编号查询截图）</w:t>
            </w:r>
          </w:p>
          <w:p w14:paraId="3AC81861">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23、▲支持软件自定义修改分辨率，自定义分辨率，更加适合LED屏幕的使用；支持分屏操作。支持任意比例拼接素材和多图层叠加；支持无线遥控、手机遥控，一键切换视频；支持与智能播控软件一键IP连接</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（提供由第三方权威检测机构出具带有“CNAS”、“CMA”标志的检测报告复印件，并提供在国家市场监督管理总局“全国认证认可信息公共服务平台”上的检测报告编号查询截图）</w:t>
            </w:r>
          </w:p>
          <w:p w14:paraId="42F59870">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24、▲产品采用高端芯片，可智能调节正常工作与睡眠状态下的节能效果（动态节能，智能息屏），开启智能节电功能比没有开启节能50%以上</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25AA083E">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25、屏幕表面光反射率，照度=10Lux/5600K条件下， 显示屏屏幕表面光反射率 （单位面积反射亮度）＜3.0cd/m²</w:t>
            </w:r>
          </w:p>
          <w:p w14:paraId="28176A5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26、具备防蓝光护眼功能，蓝光辐射能量≤20%。蓝光辐射能量值对人眼视网膜无伤害，LED显示屏蓝光辐亮度≤0.5W.m-2.sr-1,符合肉眼观看标准。</w:t>
            </w:r>
          </w:p>
          <w:p w14:paraId="0DEDE91A">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27、▲支持PPA碗杯结构、点胶封装、出光方式为单面发光；显示面采用高强度化学防护材质，防碰撞、耐冲击、高耐磨、抗腐蚀、防划痕，可直接擦拭LED附着力≥100N；在灯珠四侧以水平 夹角 45°的方向施加推力 15N，灯珠未破碎或脱落</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13B7C61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28、支持鬼影消除、首行暗亮消除、低灰偏色补偿、低灰均匀性、低灰横条纹消除、慢速开启、十字架消除、去坏点、毛毛虫消除、余辉消除、亮度缓慢变亮功能</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75D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12.8*4.8</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71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r w14:paraId="65E5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7"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AD6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3D2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LED屏幕（主会场）</w:t>
            </w:r>
          </w:p>
        </w:tc>
        <w:tc>
          <w:tcPr>
            <w:tcW w:w="6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A23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1、★像素点间距：</w:t>
            </w:r>
          </w:p>
          <w:p w14:paraId="5321452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≤1.5mm</w:t>
            </w:r>
          </w:p>
          <w:p w14:paraId="50F0CB9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03198C4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2、单元板分辨率：</w:t>
            </w:r>
          </w:p>
          <w:p w14:paraId="58611680">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≥21632Dots</w:t>
            </w:r>
          </w:p>
          <w:p w14:paraId="3114B138">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3、★刷新率：≥3840Hz，支持通过配套控制软件调节刷新率设置选项</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7F46D76C">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4、像素构成：1R、1G、1B</w:t>
            </w:r>
          </w:p>
          <w:p w14:paraId="747F7A8C">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5、▲封装方式：SMD表贴三合一，灯芯键合线材质为铜线，五面黑灯，表面不反光</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0484647C">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6、驱动方式：恒流驱动；控制方式：同步控制系统；维护方式：前后双向维护</w:t>
            </w:r>
          </w:p>
          <w:p w14:paraId="1180F045">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7、整屏平整度≤0.04mm；模组平整度≤0.03mm</w:t>
            </w:r>
          </w:p>
          <w:p w14:paraId="08CF6291">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8、▲白平衡亮度：0-700cd/㎡可调；亮度调节：0-100%亮度可调，256级手动/自动调节，屏幕亮度具有随环境照度的变化任意调整功能；亮度均匀性：≥99%</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23644791">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9、色温800K-18000K可调；白平衡状态下色温在6500K±5%；色温为6500K时，100%75%50%25%档电平白场调节色温误差≤100K</w:t>
            </w:r>
          </w:p>
          <w:p w14:paraId="63E18EA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10、水平视角≥170°；垂直视角≥170°</w:t>
            </w:r>
          </w:p>
          <w:p w14:paraId="2979A267">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11、对比度≥9000：1</w:t>
            </w:r>
          </w:p>
          <w:p w14:paraId="2DFD0BC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12、▲具有H2S宽动态处理技术，解决主控机二次重复播放时的衰减等现象</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70BF8B98">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13、灰度等级≥14bit，红绿蓝各256级，可达16384级；采用EPWM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12D4EBC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14、供电电源：在4.2*（1±10%）VDC～4.5*（1±10%）VDC范围内能正常工作；峰值功耗≤300W/m²；平均功耗≤120W/m²</w:t>
            </w:r>
          </w:p>
          <w:p w14:paraId="062C9ACB">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15、▲在器具输入插座端与屏正面之间施加试验电压3kv/50Hz，保持1min，不应出现飞弧和击穿现象，产品能正常工作；在5000米海拔环境下，产品可正常工作；输入电压：支持宽压输入在96-264VAC，支持窄压输入在200-240VAC，在该范围内能正常工作</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109D5CB8">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16、▲防护性能：具有防静电、防电磁干扰、防腐蚀、防霉菌、防虫、防潮、抗震动、抗雷击等功能；具有电源过压、过流、断电保护、分布上电措施、防护等级达到IP60</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02BDA137">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17、具有列下消隐功能、倍频刷新率提升2/4/8倍、低灰偏色改善</w:t>
            </w:r>
          </w:p>
          <w:p w14:paraId="560369D7">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18、色坐标X、Y坐标符合SJ/T11141-2017 5.10.5规定；色度均匀性±0.001Cx、Cy内；色域空间≥120% NTSC，LED显示屏ColorSPace覆盖率≥170%YUV(PAL)</w:t>
            </w:r>
          </w:p>
          <w:p w14:paraId="7AB80C8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19、▲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1410E5F2">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20、▲为了所投LED显示屏产品的安全性和适应性，屏体内部所用排线需符合耐高温实验、耐压测试、折弯参数测试要求，耐燃等级符合VW-1/UL94V-0</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1641587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21、▲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（提供由第三方权威检测机构出具带有“CNAS”、“CMA”标志的检测报告复印件，并提供在国家市场监督管理总局“全国认证认可信息公共服务平台”上的检测报告编号查询截图）</w:t>
            </w:r>
          </w:p>
          <w:p w14:paraId="5C848928">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22、▲防电击等级依据GB4943.1标准，使用基本绝缘作为基本安全防护，同时使用保护连接和保护接地作为附加安全防护，达到防电击保护I类设备</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（提供由第三方权威检测机构出具带有“CNAS”、“CMA”标志的检测报告复印件，并提供在国家市场监督管理总局“全国认证认可信息公共服务平台”上的检测报告编号查询截图）</w:t>
            </w:r>
          </w:p>
          <w:p w14:paraId="765D879F">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23、▲支持软件自定义修改分辨率，自定义分辨率，更加适合LED屏幕的使用；支持分屏操作。支持任意比例拼接素材和多图层叠加；支持无线遥控、手机遥控，一键切换视频；支持与智能播控软件一键IP连接</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（提供由第三方权威检测机构出具带有“CNAS”、“CMA”标志的检测报告复印件，并提供在国家市场监督管理总局“全国认证认可信息公共服务平台”上的检测报告编号查询截图）</w:t>
            </w:r>
          </w:p>
          <w:p w14:paraId="34494213">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24、▲产品采用高端芯片，可智能调节正常工作与睡眠状态下的节能效果（动态节能，智能息屏），开启智能节电功能比没有开启节能50%以上</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63AEF931">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25、屏幕表面光反射率，照度=10Lux/5600K条件下， 显示屏屏幕表面光反射率 （单位面积反射亮度）＜3.0cd/m²</w:t>
            </w:r>
          </w:p>
          <w:p w14:paraId="18E94177">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26、具备防蓝光护眼功能，蓝光辐射能量≤20%。蓝光辐射能量值对人眼视网膜无伤害，LED显示屏蓝光辐亮度≤0.5W.m-2.sr-1,符合肉眼观看标准。</w:t>
            </w:r>
          </w:p>
          <w:p w14:paraId="7AB1A696">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27、▲支持PPA碗杯结构、点胶封装、出光方式为单面发光；显示面采用高强度化学防护材质，防碰撞、耐冲击、高耐磨、抗腐蚀、防划痕，可直接擦拭LED附着力≥100N；在灯珠四侧以水平 夹角 45°的方向施加推力 15N，灯珠未破碎或脱落</w:t>
            </w:r>
            <w:r>
              <w:rPr>
                <w:rFonts w:hint="default" w:ascii="仿宋" w:hAnsi="仿宋" w:eastAsia="仿宋" w:cs="仿宋"/>
                <w:i w:val="0"/>
                <w:iCs w:val="0"/>
                <w:color w:val="auto"/>
                <w:kern w:val="0"/>
                <w:sz w:val="24"/>
                <w:szCs w:val="24"/>
                <w:highlight w:val="yellow"/>
                <w:u w:val="none"/>
                <w:lang w:val="en-US" w:eastAsia="zh-CN" w:bidi="ar"/>
              </w:rPr>
              <w:t>（提供由第三方权威检测机构出具带有“CNAS”、“CMA”标志的检测报告复印件）</w:t>
            </w:r>
          </w:p>
          <w:p w14:paraId="3657821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28、支持鬼影消除、首行暗亮消除、低灰偏色补偿、低灰均匀性、低灰横条纹消除、慢速开启、十字架消除、去坏点、毛毛虫消除、余辉消除、亮度缓慢变亮功能</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7F0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7.68*3.36</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53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r w14:paraId="4542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18C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22B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LED屏幕（教室）</w:t>
            </w:r>
          </w:p>
        </w:tc>
        <w:tc>
          <w:tcPr>
            <w:tcW w:w="6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53F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1、★像素点间距：</w:t>
            </w:r>
          </w:p>
          <w:p w14:paraId="0DBB462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≤2.0mm</w:t>
            </w:r>
          </w:p>
          <w:p w14:paraId="6EE1C11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2、像素密度：</w:t>
            </w:r>
          </w:p>
          <w:p w14:paraId="17A20CF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≥250000 Dots/m2</w:t>
            </w:r>
          </w:p>
          <w:p w14:paraId="53790ED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3、单元板分辨率：</w:t>
            </w:r>
          </w:p>
          <w:p w14:paraId="7283D91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≥12800 Dots</w:t>
            </w:r>
          </w:p>
          <w:p w14:paraId="20B358A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4、显示效果：4K超清显示、色温均匀性好、亮度均匀性好，对比度高、色域广</w:t>
            </w:r>
          </w:p>
          <w:p w14:paraId="048E821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5、驱动方式：恒流驱动</w:t>
            </w:r>
          </w:p>
          <w:p w14:paraId="6C0FD31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6、供电方式：支持电源均流DC4.2V～DC5V，供电支持电源双输出电压DC2.8V/DC3.8V</w:t>
            </w:r>
          </w:p>
          <w:p w14:paraId="55A4A9E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7、▲整屏平整度：≤0.04mm</w:t>
            </w:r>
          </w:p>
          <w:p w14:paraId="3FCDE2B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8、模组平整度：≤0.03mm</w:t>
            </w:r>
          </w:p>
          <w:p w14:paraId="22885A5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9、拼接缝：≤0.03mm</w:t>
            </w:r>
          </w:p>
          <w:p w14:paraId="50DE5B4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10、▲白平衡亮度：≥600Cd/m²</w:t>
            </w:r>
          </w:p>
          <w:p w14:paraId="07DAA06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11、亮度均匀性：≥99%</w:t>
            </w:r>
          </w:p>
          <w:p w14:paraId="2CD7F47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12、色度均匀性：±0.001Cx、Cy内</w:t>
            </w:r>
          </w:p>
          <w:p w14:paraId="466B833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13、▲色温：800-18000K</w:t>
            </w:r>
          </w:p>
          <w:p w14:paraId="3DC7424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14、▲水平视角：≥170°</w:t>
            </w:r>
          </w:p>
          <w:p w14:paraId="02B163C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15、▲垂直视角：≥170°</w:t>
            </w:r>
          </w:p>
          <w:p w14:paraId="4BE5F07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16、▲对比度：≥8000：1</w:t>
            </w:r>
          </w:p>
          <w:p w14:paraId="0AE5631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17、★刷新率：≥3840Hz</w:t>
            </w:r>
          </w:p>
          <w:p w14:paraId="75B78AD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18、像素失控率：&lt;1/100000</w:t>
            </w:r>
          </w:p>
          <w:p w14:paraId="1C73672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19、发光点中心偏距：＜0.8%</w:t>
            </w:r>
          </w:p>
          <w:p w14:paraId="57B5E5B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20、峰值功耗：≤300W/m²</w:t>
            </w:r>
          </w:p>
          <w:p w14:paraId="096CED8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21、平均功耗：≤120W/m²</w:t>
            </w:r>
          </w:p>
          <w:p w14:paraId="24B8C71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22、最大电流：≤5A</w:t>
            </w:r>
          </w:p>
          <w:p w14:paraId="58A1A9B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23、电流增益：电流增益调节范围：1%～199%，电流增益调节级别≥8位</w:t>
            </w:r>
          </w:p>
          <w:p w14:paraId="4DA2843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24、▲具有列下消隐功能、倍频刷新率提升2/4/8倍、低灰偏色改善</w:t>
            </w:r>
          </w:p>
          <w:p w14:paraId="6B1DF74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25、▲色温为6500K时，100%、75%、50%、25%四档电平白场调节色温误差≤200K</w:t>
            </w:r>
          </w:p>
          <w:p w14:paraId="015F630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26、▲PCB板材采用玻璃化温度≥150℃的覆铜板；PCB板采用FR-4材质，电路采用多层设计，符合CQC13-471301-2018国家标准"</w:t>
            </w:r>
          </w:p>
          <w:p w14:paraId="2283244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27、▲每个灯芯的波长误差值在±1nm以内，每个灯芯的亮度误差在5%以内</w:t>
            </w:r>
          </w:p>
          <w:p w14:paraId="5A057D0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28、▲具有H2S宽动态处理技术，解决主控机二次重复播放时的衰减等现象</w:t>
            </w:r>
          </w:p>
          <w:p w14:paraId="21E8CB1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29、▲屏幕表面光反射率：照度=10Lux/5600K条件下， 显示屏屏幕表面光反射率 （单位面积反射亮度）＜3.0cd/m²</w:t>
            </w:r>
          </w:p>
          <w:p w14:paraId="35D944A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30、绝缘电阻：在器具输入插座端或者电源引入端子与外壳裸露金属部件之间的绝缘电阻在正常大气条件下应≥100MΩ，湿热条件下应≥2MΩ</w:t>
            </w:r>
          </w:p>
          <w:p w14:paraId="71AEEDE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31、抗拉强度：≥230Mpa</w:t>
            </w:r>
          </w:p>
          <w:p w14:paraId="30AC0C8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32、屈服强度：≥170Mpa</w:t>
            </w:r>
          </w:p>
          <w:p w14:paraId="4AC481A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33、▲灰度等级：采用14bit技术</w:t>
            </w:r>
          </w:p>
          <w:p w14:paraId="665E2F4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34、▲采用EPWM 灰阶控制技术提升低灰视觉效果，100%亮度时，14bit灰度；70%亮度，14bit灰度；50%亮度，14bit灰度；20%亮度，12bit灰度，显示画面无单列或单行像素失控现象；支持0-100%亮度时，8-14bits灰度自定义设置</w:t>
            </w:r>
          </w:p>
          <w:p w14:paraId="25B0C14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35、支持鬼影消除、首行暗亮消除、低灰偏色补偿、低灰均匀性、低灰横条纹消除、慢速开启、十字架消除、去坏点、毛毛虫消除、余辉消除、亮度缓慢变亮功能</w:t>
            </w:r>
          </w:p>
          <w:p w14:paraId="48C1F0E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36、抗电强度：在器具输入插座端与屏正面之间施加试验电压3kv/50Hz，保持1min，不应出现飞弧和击穿现象</w:t>
            </w:r>
          </w:p>
          <w:p w14:paraId="682AB20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37、LED显示屏图像质量主观评价优、支持4K超清技术、HDR高动态光照渲染技术；符合LED显示屏绿色健康分级认证技术</w:t>
            </w:r>
          </w:p>
          <w:p w14:paraId="0B30922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38、具有多点测温系统、通讯检测、电源检测、可实现远程监督控制，对可能发生的潜在故障记录日志，并向操作员发出警报信息</w:t>
            </w:r>
          </w:p>
          <w:p w14:paraId="52D2556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39、▲具有单点亮度校正，校正后亮度损失≤8%；具有颜色校正功能，具有灰度校正，支持模组校正，具有校正数据存储及自动回读功能</w:t>
            </w:r>
          </w:p>
          <w:p w14:paraId="3DA201E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40、可实现LED单点检测，通讯检测、温度检测、电源检测、温度监控等功能。</w:t>
            </w:r>
          </w:p>
          <w:p w14:paraId="4B46A38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41、▲数据备份：数据记忆储存于LED显示模块箱体中，更换箱体设备时，无需重新设定参数</w:t>
            </w:r>
          </w:p>
          <w:p w14:paraId="7987BAF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42、▲产品采用高端芯片，可智能调节正常工作与睡眠状态下的节能效果（动态节能，智能息屏），开启智能节电功能比没有开启节能45%以上</w:t>
            </w:r>
          </w:p>
          <w:p w14:paraId="3EC4F2B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43、▲防护性能：具有防静电、防电磁干扰、防腐蚀、防霉菌、防虫、防潮、抗震动、抗雷击等功能；具有电源过压、过流、断电保护、分布上电措施、防护等级达到IP60</w:t>
            </w:r>
          </w:p>
          <w:p w14:paraId="4A8CE7A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44、LED显示屏通过在正常环境下168h不间断运行无故障的老化测试</w:t>
            </w:r>
          </w:p>
          <w:p w14:paraId="5162A39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45、▲使用寿命：≥100000h</w:t>
            </w:r>
          </w:p>
          <w:p w14:paraId="200ECE1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46、▲平均无故障时间：MTBF平均无故障时间≥20000h；MTTR平均修复时间≤4分钟</w:t>
            </w:r>
          </w:p>
          <w:p w14:paraId="7C6675D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47、屏幕温升：最高亮度（白平衡）持续工作4小时，模组表面温升小于20K</w:t>
            </w:r>
          </w:p>
          <w:p w14:paraId="0255336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48、▲为确保屏体在不同的环境下仍可正常启动工作，要求投标人所投LED显示屏须通过零下40℃和高温80℃的环境运行12h产品能正常工作。</w:t>
            </w:r>
          </w:p>
          <w:p w14:paraId="6152ADC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49、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p>
          <w:p w14:paraId="7951D24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14:paraId="4CAB3B5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51、盐雾：盐雾10级</w:t>
            </w:r>
          </w:p>
          <w:p w14:paraId="5338357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52、▲阻燃：PCB板、防火保护外壳及内部其他元器件均达到V-0等级</w:t>
            </w:r>
          </w:p>
          <w:p w14:paraId="78AB6BD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53、▲产品通过 GB/T9254-2008《信息技术设备的无线电骚扰限值和测量方法》试验，辐射干扰检测结果符合标准规范要求，符合ClassB限值要求。在30-230MHz频率范围内，峰值限值 dB≤41μV/m；在230-1000MHz频率范围内，峰值限值 dB≤46μV/m</w:t>
            </w:r>
          </w:p>
          <w:p w14:paraId="0841E67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54、支持一键点屏技术，开机后自动识别系统连接，无需重置系统配置</w:t>
            </w:r>
          </w:p>
          <w:p w14:paraId="6A9A9E6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55、抗震实验：显示屏通过YD 5083-2005标准抗震测试，测试结果满足抗震10级</w:t>
            </w:r>
          </w:p>
          <w:p w14:paraId="1B7CF21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56、防呆设计：模组电源接口采用 4P 接插头，免工具维护,同时有防呆设计</w:t>
            </w:r>
          </w:p>
          <w:p w14:paraId="29BD119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57、摩尔纹抑制功能：显示屏支持抑制摩尔纹功能，减轻摩尔纹视觉主观效果80%</w:t>
            </w:r>
          </w:p>
          <w:p w14:paraId="55A0C40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58、▲高海拔工作试验：5000米海拔环境下，产品可正常工作</w:t>
            </w:r>
          </w:p>
          <w:p w14:paraId="3C199CB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59、表面硬度：具备划痕性能技术,表面硬度≥15H</w:t>
            </w:r>
          </w:p>
          <w:p w14:paraId="6E7F526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60、浪涌 （冲击）抗扰度：LED 显示屏通过符合 GB/T17626.5-2008 标准的浪涌 （冲击）抗扰度试验</w:t>
            </w:r>
          </w:p>
          <w:p w14:paraId="67F3EA9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61、具备防蓝光护眼功能，蓝光辐射能量≤20%。蓝光辐射能量值对人眼视网膜无伤害，LED显示屏蓝光辐亮度≤80W.m-2.sr-1,符合肉眼观看标准。</w:t>
            </w:r>
          </w:p>
          <w:p w14:paraId="4F0003D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62、▲滑石粉密度：2KG/m3网孔径75um使用次数：小于20次，实验时间8H。试验后检查样品无进尘现象。屏幕防尘等级符合IP6X（防尘）</w:t>
            </w:r>
          </w:p>
          <w:p w14:paraId="763810F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63、产品符合TIRT-GK-JS-55-2020《显示设备显示性能视觉健康认证技术规范第5部分：室内图像显示系统显示屏》技术标准</w:t>
            </w:r>
          </w:p>
          <w:p w14:paraId="2D86320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64、▲要求投标人所投LED显示屏支持DVI、VGA输入、支持HDMI视频输入、支持视频PAL/NTSC制式自适应、支持复合视频信号、支持USB输入、支持IP输入、支持CVBS/DP/HDBASE输入、支持光纤/网络等接口输入。</w:t>
            </w:r>
          </w:p>
          <w:p w14:paraId="66CF1B9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65、▲所投LED显示屏产品在1×105～1×109Ω技术要求下满足点对点电阻（A面）≤3.02×108；点对点电阻（B面）≤2.21×108；并且在（±1000-±100V）≤2S的技术要求下满足静电电压衰减期值：（+V0.35S,-V0.26S）</w:t>
            </w:r>
          </w:p>
          <w:p w14:paraId="13B3E95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66、▲所投LED显示屏的灯管耐焊耐热：灯珠引脚无氧化,焊接正常,灯珠胶体正常,点亮正常；灯管抗静电(ESD)测试：HBM模式:ESD&gt;2000V,灯珠点亮无异常；灯管红墨水试验：纯红墨水常温浸泡24h,无渗透,灯管气密性良好。</w:t>
            </w:r>
          </w:p>
          <w:p w14:paraId="7FFF2E6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67、▲为不影响屏体周边人员的健康，要求投标人所投LED显示屏在正常工作中，显示屏1m范围内，前后左右4个位置噪音不大于1.4dB；所投LED显示屏观看舒适度需符合：“人眼视觉舒适度(VICO)1级，基本无疲劳感。</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B7E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（2.21*1.25）*12个</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01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bl>
    <w:p w14:paraId="68E8A9A3">
      <w:pPr>
        <w:jc w:val="center"/>
        <w:rPr>
          <w:rFonts w:hint="eastAsia" w:ascii="仿宋" w:hAnsi="仿宋" w:eastAsia="仿宋" w:cs="仿宋"/>
          <w:color w:val="auto"/>
          <w:kern w:val="0"/>
          <w:sz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A633E"/>
    <w:rsid w:val="29345880"/>
    <w:rsid w:val="4BCA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3">
    <w:name w:val="heading 3"/>
    <w:basedOn w:val="1"/>
    <w:next w:val="1"/>
    <w:link w:val="23"/>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ind w:firstLine="420"/>
    </w:pPr>
    <w:rPr>
      <w:rFonts w:eastAsia="楷体_GB2312"/>
      <w:sz w:val="24"/>
      <w:lang w:val="en-US" w:eastAsia="zh-CN" w:bidi="ar-SA"/>
    </w:rPr>
  </w:style>
  <w:style w:type="paragraph" w:styleId="5">
    <w:name w:val="index 5"/>
    <w:basedOn w:val="6"/>
    <w:next w:val="6"/>
    <w:qFormat/>
    <w:uiPriority w:val="0"/>
    <w:pPr>
      <w:ind w:left="1680"/>
    </w:pPr>
  </w:style>
  <w:style w:type="paragraph" w:customStyle="1" w:styleId="6">
    <w:name w:val="Normal"/>
    <w:qFormat/>
    <w:uiPriority w:val="0"/>
    <w:rPr>
      <w:rFonts w:ascii="Times New Roman" w:hAnsi="Times New Roman" w:eastAsia="Times New Roman" w:cs="Times New Roman"/>
      <w:sz w:val="24"/>
      <w:szCs w:val="24"/>
      <w:lang w:val="en-US" w:eastAsia="zh-CN" w:bidi="ar-SA"/>
    </w:rPr>
  </w:style>
  <w:style w:type="paragraph" w:styleId="7">
    <w:name w:val="Body Text"/>
    <w:basedOn w:val="1"/>
    <w:next w:val="1"/>
    <w:qFormat/>
    <w:uiPriority w:val="0"/>
    <w:pPr>
      <w:spacing w:after="120"/>
    </w:pPr>
    <w:rPr>
      <w:szCs w:val="24"/>
    </w:rPr>
  </w:style>
  <w:style w:type="paragraph" w:styleId="8">
    <w:name w:val="Plain Text"/>
    <w:basedOn w:val="1"/>
    <w:next w:val="1"/>
    <w:qFormat/>
    <w:uiPriority w:val="0"/>
    <w:rPr>
      <w:rFonts w:ascii="宋体" w:hAnsi="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footnote text"/>
    <w:basedOn w:val="1"/>
    <w:next w:val="5"/>
    <w:qFormat/>
    <w:uiPriority w:val="0"/>
    <w:pPr>
      <w:adjustRightInd w:val="0"/>
      <w:spacing w:line="312" w:lineRule="atLeast"/>
      <w:textAlignment w:val="baseline"/>
    </w:pPr>
    <w:rPr>
      <w:kern w:val="0"/>
      <w:sz w:val="18"/>
    </w:rPr>
  </w:style>
  <w:style w:type="paragraph" w:styleId="12">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13">
    <w:name w:val="Body Text First Indent"/>
    <w:basedOn w:val="7"/>
    <w:qFormat/>
    <w:uiPriority w:val="0"/>
    <w:pPr>
      <w:tabs>
        <w:tab w:val="left" w:pos="9214"/>
      </w:tabs>
      <w:spacing w:after="0"/>
      <w:ind w:firstLine="200" w:firstLineChars="200"/>
    </w:pPr>
  </w:style>
  <w:style w:type="character" w:styleId="16">
    <w:name w:val="Strong"/>
    <w:basedOn w:val="15"/>
    <w:qFormat/>
    <w:uiPriority w:val="0"/>
    <w:rPr>
      <w:b/>
      <w:bCs/>
    </w:rPr>
  </w:style>
  <w:style w:type="paragraph" w:customStyle="1" w:styleId="17">
    <w:name w:val="Char Char Char Char"/>
    <w:basedOn w:val="1"/>
    <w:qFormat/>
    <w:uiPriority w:val="0"/>
    <w:rPr>
      <w:szCs w:val="21"/>
    </w:rPr>
  </w:style>
  <w:style w:type="paragraph" w:customStyle="1" w:styleId="18">
    <w:name w:val="NormalIndent"/>
    <w:basedOn w:val="1"/>
    <w:qFormat/>
    <w:uiPriority w:val="0"/>
    <w:pPr>
      <w:ind w:firstLine="420"/>
      <w:jc w:val="left"/>
    </w:pPr>
    <w:rPr>
      <w:rFonts w:ascii="宋体" w:hAnsi="Calibri"/>
      <w:kern w:val="0"/>
      <w:sz w:val="24"/>
      <w:szCs w:val="20"/>
    </w:rPr>
  </w:style>
  <w:style w:type="paragraph" w:customStyle="1" w:styleId="19">
    <w:name w:val="列表_0"/>
    <w:basedOn w:val="20"/>
    <w:qFormat/>
    <w:uiPriority w:val="0"/>
    <w:pPr>
      <w:spacing w:afterAutospacing="1" w:line="360" w:lineRule="auto"/>
      <w:jc w:val="center"/>
    </w:pPr>
    <w:rPr>
      <w:rFonts w:ascii="宋体" w:hAnsi="宋体"/>
      <w:b/>
      <w:bCs/>
      <w:sz w:val="28"/>
      <w:szCs w:val="28"/>
    </w:rPr>
  </w:style>
  <w:style w:type="paragraph" w:customStyle="1" w:styleId="20">
    <w:name w:val="正文_15_0"/>
    <w:basedOn w:val="21"/>
    <w:next w:val="19"/>
    <w:qFormat/>
    <w:uiPriority w:val="0"/>
    <w:rPr>
      <w:rFonts w:ascii="Times New Roman" w:hAnsi="Times New Roman"/>
      <w:szCs w:val="21"/>
    </w:rPr>
  </w:style>
  <w:style w:type="paragraph" w:customStyle="1" w:styleId="21">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10_0"/>
    <w:basedOn w:val="15"/>
    <w:qFormat/>
    <w:uiPriority w:val="0"/>
    <w:rPr>
      <w:rFonts w:ascii="Times New Roman" w:hAnsi="Times New Roman" w:eastAsia="宋体" w:cs="Times New Roman"/>
    </w:rPr>
  </w:style>
  <w:style w:type="character" w:customStyle="1" w:styleId="23">
    <w:name w:val="标题 3 字符"/>
    <w:basedOn w:val="15"/>
    <w:link w:val="3"/>
    <w:semiHidden/>
    <w:qFormat/>
    <w:locked/>
    <w:uiPriority w:val="99"/>
    <w:rPr>
      <w:rFonts w:eastAsia="宋体"/>
      <w:b/>
      <w:bCs/>
      <w:kern w:val="2"/>
      <w:sz w:val="32"/>
      <w:szCs w:val="32"/>
      <w:lang w:val="en-US" w:eastAsia="zh-CN" w:bidi="ar-SA"/>
    </w:rPr>
  </w:style>
  <w:style w:type="paragraph" w:customStyle="1" w:styleId="24">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9335</Words>
  <Characters>11056</Characters>
  <Lines>0</Lines>
  <Paragraphs>0</Paragraphs>
  <TotalTime>8</TotalTime>
  <ScaleCrop>false</ScaleCrop>
  <LinksUpToDate>false</LinksUpToDate>
  <CharactersWithSpaces>11265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2025-07-14T08:07:00Z</dcterms:created>
  <dc:creator>D</dc:creator>
  <cp:lastModifiedBy>D</cp:lastModifiedBy>
  <dcterms:modified xsi:type="dcterms:W3CDTF">2025-07-14T08:52:23Z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634917A4EA074F18B33D3935626D92D0_13</vt:lpwstr>
  </property>
  <property fmtid="{D5CDD505-2E9C-101B-9397-08002B2CF9AE}" pid="4" name="KSOTemplateDocerSaveRecord">
    <vt:lpwstr>eyJoZGlkIjoiMjgzYTNjYjczNzgxOGIzNmM1MmIzMTVhZmNlYzllMTciLCJ1c2VySWQiOiIyMjk3ODAzMjUifQ==</vt:lpwstr>
  </property>
</Properties>
</file>