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olor w:val="auto"/>
          <w:szCs w:val="24"/>
          <w:lang w:val="en-US" w:eastAsia="zh-CN"/>
        </w:rPr>
      </w:pPr>
      <w:r>
        <w:rPr>
          <w:rFonts w:hint="eastAsia" w:ascii="宋体" w:hAnsi="宋体"/>
          <w:b/>
          <w:bCs/>
          <w:color w:val="auto"/>
          <w:sz w:val="32"/>
          <w:szCs w:val="32"/>
          <w:lang w:eastAsia="zh-CN"/>
        </w:rPr>
        <w:t>墨玉县人民医院医保智能监控系统及飞检服务采购项目</w:t>
      </w:r>
      <w:r>
        <w:rPr>
          <w:rFonts w:hint="eastAsia" w:ascii="宋体" w:hAnsi="宋体"/>
          <w:b/>
          <w:bCs/>
          <w:color w:val="auto"/>
          <w:sz w:val="32"/>
          <w:szCs w:val="32"/>
          <w:lang w:val="en-US" w:eastAsia="zh-CN"/>
        </w:rPr>
        <w:t>采购需求</w:t>
      </w:r>
    </w:p>
    <w:p>
      <w:pPr>
        <w:snapToGrid w:val="0"/>
        <w:spacing w:line="360" w:lineRule="auto"/>
        <w:rPr>
          <w:rFonts w:ascii="宋体" w:hAnsi="宋体"/>
          <w:color w:val="auto"/>
          <w:szCs w:val="24"/>
        </w:rPr>
      </w:pPr>
      <w:r>
        <w:rPr>
          <w:rFonts w:hint="eastAsia" w:ascii="宋体" w:hAnsi="宋体"/>
          <w:color w:val="auto"/>
          <w:szCs w:val="24"/>
        </w:rPr>
        <w:t>采购单位：墨玉县人民医院</w:t>
      </w:r>
    </w:p>
    <w:p>
      <w:pPr>
        <w:snapToGrid w:val="0"/>
        <w:spacing w:line="360" w:lineRule="auto"/>
        <w:rPr>
          <w:rFonts w:ascii="宋体" w:hAnsi="宋体"/>
          <w:color w:val="auto"/>
          <w:szCs w:val="24"/>
        </w:rPr>
      </w:pPr>
      <w:r>
        <w:rPr>
          <w:rFonts w:hint="eastAsia" w:ascii="宋体" w:hAnsi="宋体"/>
          <w:color w:val="auto"/>
          <w:szCs w:val="24"/>
        </w:rPr>
        <w:t>供应商基本要求：符合《中华人民共和国政府采购法》第二十二条的规定。</w:t>
      </w:r>
    </w:p>
    <w:p>
      <w:pPr>
        <w:snapToGrid w:val="0"/>
        <w:spacing w:line="360" w:lineRule="auto"/>
        <w:rPr>
          <w:rFonts w:ascii="宋体" w:hAnsi="宋体"/>
          <w:color w:val="auto"/>
          <w:szCs w:val="24"/>
        </w:rPr>
      </w:pPr>
    </w:p>
    <w:p>
      <w:pPr>
        <w:snapToGrid w:val="0"/>
        <w:spacing w:line="360" w:lineRule="auto"/>
        <w:rPr>
          <w:rFonts w:ascii="宋体" w:hAnsi="宋体"/>
          <w:color w:val="auto"/>
          <w:szCs w:val="24"/>
        </w:rPr>
      </w:pPr>
      <w:r>
        <w:rPr>
          <w:rFonts w:hint="eastAsia" w:ascii="宋体" w:hAnsi="宋体"/>
          <w:color w:val="auto"/>
          <w:szCs w:val="24"/>
        </w:rPr>
        <w:t>采购需求清单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969"/>
        <w:gridCol w:w="850"/>
        <w:gridCol w:w="127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napToGrid w:val="0"/>
              <w:spacing w:line="360" w:lineRule="auto"/>
              <w:rPr>
                <w:rFonts w:ascii="宋体" w:hAnsi="宋体"/>
                <w:color w:val="auto"/>
                <w:szCs w:val="24"/>
              </w:rPr>
            </w:pPr>
            <w:r>
              <w:rPr>
                <w:rFonts w:hint="eastAsia" w:ascii="宋体" w:hAnsi="宋体"/>
                <w:color w:val="auto"/>
                <w:szCs w:val="24"/>
              </w:rPr>
              <w:t>商品名称</w:t>
            </w:r>
          </w:p>
        </w:tc>
        <w:tc>
          <w:tcPr>
            <w:tcW w:w="3969" w:type="dxa"/>
            <w:vAlign w:val="center"/>
          </w:tcPr>
          <w:p>
            <w:pPr>
              <w:snapToGrid w:val="0"/>
              <w:spacing w:line="360" w:lineRule="auto"/>
              <w:rPr>
                <w:rFonts w:ascii="宋体" w:hAnsi="宋体"/>
                <w:color w:val="auto"/>
                <w:szCs w:val="24"/>
              </w:rPr>
            </w:pPr>
            <w:r>
              <w:rPr>
                <w:rFonts w:hint="eastAsia" w:ascii="宋体" w:hAnsi="宋体"/>
                <w:color w:val="auto"/>
                <w:szCs w:val="24"/>
              </w:rPr>
              <w:t>参数要求</w:t>
            </w:r>
          </w:p>
        </w:tc>
        <w:tc>
          <w:tcPr>
            <w:tcW w:w="850" w:type="dxa"/>
            <w:vAlign w:val="center"/>
          </w:tcPr>
          <w:p>
            <w:pPr>
              <w:snapToGrid w:val="0"/>
              <w:spacing w:line="360" w:lineRule="auto"/>
              <w:rPr>
                <w:rFonts w:ascii="宋体" w:hAnsi="宋体"/>
                <w:color w:val="auto"/>
                <w:szCs w:val="24"/>
              </w:rPr>
            </w:pPr>
            <w:r>
              <w:rPr>
                <w:rFonts w:hint="eastAsia" w:ascii="宋体" w:hAnsi="宋体"/>
                <w:color w:val="auto"/>
                <w:szCs w:val="24"/>
              </w:rPr>
              <w:t>购买数量</w:t>
            </w:r>
          </w:p>
        </w:tc>
        <w:tc>
          <w:tcPr>
            <w:tcW w:w="1276" w:type="dxa"/>
            <w:vAlign w:val="center"/>
          </w:tcPr>
          <w:p>
            <w:pPr>
              <w:snapToGrid w:val="0"/>
              <w:spacing w:line="360" w:lineRule="auto"/>
              <w:rPr>
                <w:rFonts w:ascii="宋体" w:hAnsi="宋体"/>
                <w:color w:val="auto"/>
                <w:szCs w:val="24"/>
              </w:rPr>
            </w:pPr>
            <w:r>
              <w:rPr>
                <w:rFonts w:hint="eastAsia" w:ascii="宋体" w:hAnsi="宋体"/>
                <w:color w:val="auto"/>
                <w:szCs w:val="24"/>
              </w:rPr>
              <w:t>控制金额（万元）</w:t>
            </w:r>
          </w:p>
        </w:tc>
        <w:tc>
          <w:tcPr>
            <w:tcW w:w="788" w:type="dxa"/>
            <w:vAlign w:val="center"/>
          </w:tcPr>
          <w:p>
            <w:pPr>
              <w:snapToGrid w:val="0"/>
              <w:spacing w:line="360" w:lineRule="auto"/>
              <w:rPr>
                <w:rFonts w:ascii="宋体" w:hAnsi="宋体"/>
                <w:color w:val="auto"/>
                <w:szCs w:val="24"/>
              </w:rPr>
            </w:pPr>
            <w:r>
              <w:rPr>
                <w:rFonts w:hint="eastAsia" w:ascii="宋体" w:hAnsi="宋体"/>
                <w:color w:val="auto"/>
                <w:szCs w:val="24"/>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13" w:type="dxa"/>
            <w:vAlign w:val="center"/>
          </w:tcPr>
          <w:p>
            <w:pPr>
              <w:snapToGrid w:val="0"/>
              <w:spacing w:line="360" w:lineRule="auto"/>
              <w:jc w:val="center"/>
              <w:rPr>
                <w:rFonts w:hint="eastAsia" w:ascii="宋体" w:hAnsi="宋体" w:eastAsia="宋体"/>
                <w:color w:val="auto"/>
                <w:szCs w:val="24"/>
                <w:lang w:eastAsia="zh-CN"/>
              </w:rPr>
            </w:pPr>
            <w:r>
              <w:rPr>
                <w:rFonts w:hint="eastAsia" w:ascii="宋体" w:hAnsi="宋体"/>
                <w:color w:val="auto"/>
                <w:szCs w:val="24"/>
                <w:lang w:eastAsia="zh-CN"/>
              </w:rPr>
              <w:t>墨玉县人民医院医保智能监控系统及飞检服务采购项目</w:t>
            </w:r>
          </w:p>
        </w:tc>
        <w:tc>
          <w:tcPr>
            <w:tcW w:w="3969" w:type="dxa"/>
            <w:vAlign w:val="center"/>
          </w:tcPr>
          <w:p>
            <w:pPr>
              <w:snapToGrid w:val="0"/>
              <w:spacing w:line="360" w:lineRule="auto"/>
              <w:jc w:val="center"/>
              <w:rPr>
                <w:rFonts w:ascii="宋体" w:hAnsi="宋体"/>
                <w:color w:val="auto"/>
                <w:szCs w:val="24"/>
              </w:rPr>
            </w:pPr>
            <w:bookmarkStart w:id="1" w:name="_GoBack"/>
            <w:r>
              <w:rPr>
                <w:rFonts w:hint="eastAsia" w:ascii="宋体" w:hAnsi="宋体"/>
                <w:color w:val="auto"/>
                <w:szCs w:val="24"/>
              </w:rPr>
              <w:t>核心参数要求：须提供医保智能监控系统及飞检服务，采购人需求描述</w:t>
            </w:r>
            <w:bookmarkEnd w:id="1"/>
          </w:p>
        </w:tc>
        <w:tc>
          <w:tcPr>
            <w:tcW w:w="850" w:type="dxa"/>
            <w:vAlign w:val="center"/>
          </w:tcPr>
          <w:p>
            <w:pPr>
              <w:snapToGrid w:val="0"/>
              <w:spacing w:line="360" w:lineRule="auto"/>
              <w:jc w:val="center"/>
              <w:rPr>
                <w:rFonts w:ascii="宋体" w:hAnsi="宋体"/>
                <w:color w:val="auto"/>
                <w:szCs w:val="24"/>
              </w:rPr>
            </w:pPr>
            <w:r>
              <w:rPr>
                <w:rFonts w:hint="eastAsia" w:ascii="宋体" w:hAnsi="宋体"/>
                <w:color w:val="auto"/>
                <w:szCs w:val="24"/>
              </w:rPr>
              <w:t>1套</w:t>
            </w:r>
          </w:p>
        </w:tc>
        <w:tc>
          <w:tcPr>
            <w:tcW w:w="1276" w:type="dxa"/>
            <w:vAlign w:val="center"/>
          </w:tcPr>
          <w:p>
            <w:pPr>
              <w:snapToGrid w:val="0"/>
              <w:spacing w:line="360" w:lineRule="auto"/>
              <w:jc w:val="center"/>
              <w:rPr>
                <w:rFonts w:hint="default" w:ascii="宋体" w:hAnsi="宋体" w:eastAsia="宋体"/>
                <w:color w:val="auto"/>
                <w:szCs w:val="24"/>
                <w:lang w:val="en-US" w:eastAsia="zh-CN"/>
              </w:rPr>
            </w:pPr>
            <w:r>
              <w:rPr>
                <w:rFonts w:hint="eastAsia" w:ascii="宋体" w:hAnsi="宋体"/>
                <w:color w:val="auto"/>
                <w:szCs w:val="24"/>
                <w:lang w:val="en-US" w:eastAsia="zh-CN"/>
              </w:rPr>
              <w:t>44</w:t>
            </w:r>
          </w:p>
        </w:tc>
        <w:tc>
          <w:tcPr>
            <w:tcW w:w="788" w:type="dxa"/>
            <w:vAlign w:val="center"/>
          </w:tcPr>
          <w:p>
            <w:pPr>
              <w:snapToGrid w:val="0"/>
              <w:spacing w:line="360" w:lineRule="auto"/>
              <w:jc w:val="center"/>
              <w:rPr>
                <w:rFonts w:ascii="宋体" w:hAnsi="宋体"/>
                <w:color w:val="auto"/>
                <w:szCs w:val="24"/>
              </w:rPr>
            </w:pPr>
            <w:r>
              <w:rPr>
                <w:rFonts w:hint="eastAsia" w:ascii="宋体" w:hAnsi="宋体"/>
                <w:color w:val="auto"/>
                <w:szCs w:val="24"/>
              </w:rPr>
              <w:t>/</w:t>
            </w:r>
          </w:p>
        </w:tc>
      </w:tr>
    </w:tbl>
    <w:p>
      <w:pPr>
        <w:snapToGrid w:val="0"/>
        <w:spacing w:line="360" w:lineRule="auto"/>
        <w:rPr>
          <w:rFonts w:ascii="宋体" w:hAnsi="宋体"/>
          <w:color w:val="auto"/>
          <w:szCs w:val="24"/>
        </w:rPr>
      </w:pPr>
    </w:p>
    <w:p>
      <w:pPr>
        <w:snapToGrid w:val="0"/>
        <w:spacing w:line="360" w:lineRule="auto"/>
        <w:rPr>
          <w:rFonts w:ascii="宋体" w:hAnsi="宋体"/>
          <w:color w:val="auto"/>
          <w:szCs w:val="24"/>
        </w:rPr>
      </w:pPr>
    </w:p>
    <w:p>
      <w:pPr>
        <w:snapToGrid w:val="0"/>
        <w:spacing w:line="360" w:lineRule="auto"/>
        <w:rPr>
          <w:rFonts w:ascii="宋体" w:hAnsi="宋体"/>
          <w:color w:val="auto"/>
          <w:szCs w:val="24"/>
        </w:rPr>
      </w:pPr>
      <w:r>
        <w:rPr>
          <w:rFonts w:hint="eastAsia" w:ascii="宋体" w:hAnsi="宋体"/>
          <w:color w:val="auto"/>
          <w:szCs w:val="24"/>
        </w:rPr>
        <w:t>商务要求：</w:t>
      </w:r>
    </w:p>
    <w:p>
      <w:pPr>
        <w:numPr>
          <w:ilvl w:val="0"/>
          <w:numId w:val="2"/>
        </w:numPr>
        <w:snapToGrid w:val="0"/>
        <w:spacing w:line="360" w:lineRule="auto"/>
        <w:ind w:left="0" w:firstLine="357"/>
        <w:rPr>
          <w:rFonts w:ascii="宋体" w:hAnsi="宋体"/>
          <w:color w:val="auto"/>
          <w:szCs w:val="24"/>
        </w:rPr>
      </w:pPr>
      <w:r>
        <w:rPr>
          <w:rFonts w:hint="eastAsia" w:ascii="宋体" w:hAnsi="宋体"/>
          <w:color w:val="auto"/>
          <w:szCs w:val="24"/>
        </w:rPr>
        <w:t>供应商报价包括税费、培训费、部署安装费等在该项目实施过程中产生的一切费用，甲方不再单独支付任何费用；</w:t>
      </w:r>
    </w:p>
    <w:p>
      <w:pPr>
        <w:numPr>
          <w:ilvl w:val="0"/>
          <w:numId w:val="2"/>
        </w:numPr>
        <w:snapToGrid w:val="0"/>
        <w:spacing w:line="360" w:lineRule="auto"/>
        <w:ind w:left="0" w:firstLine="357"/>
        <w:rPr>
          <w:rFonts w:ascii="宋体" w:hAnsi="宋体"/>
          <w:color w:val="auto"/>
          <w:szCs w:val="24"/>
        </w:rPr>
      </w:pPr>
      <w:r>
        <w:rPr>
          <w:rFonts w:hint="eastAsia" w:ascii="宋体" w:hAnsi="宋体"/>
          <w:color w:val="auto"/>
          <w:szCs w:val="24"/>
        </w:rPr>
        <w:t>提供符合服务范围的承诺书。</w:t>
      </w:r>
    </w:p>
    <w:p>
      <w:pPr>
        <w:rPr>
          <w:rFonts w:ascii="宋体" w:hAnsi="宋体"/>
          <w:color w:val="auto"/>
          <w:szCs w:val="24"/>
        </w:rPr>
        <w:sectPr>
          <w:pgSz w:w="11906" w:h="16838"/>
          <w:pgMar w:top="1440" w:right="1800" w:bottom="1440" w:left="1800" w:header="851" w:footer="992" w:gutter="0"/>
          <w:cols w:space="425" w:num="1"/>
          <w:docGrid w:type="lines" w:linePitch="312" w:charSpace="0"/>
        </w:sectPr>
      </w:pPr>
    </w:p>
    <w:p>
      <w:pPr>
        <w:snapToGrid w:val="0"/>
        <w:spacing w:before="312" w:beforeLines="100" w:after="312" w:afterLines="100" w:line="360" w:lineRule="auto"/>
        <w:jc w:val="center"/>
        <w:rPr>
          <w:rFonts w:ascii="宋体" w:hAnsi="宋体"/>
          <w:b/>
          <w:bCs/>
          <w:color w:val="auto"/>
          <w:sz w:val="32"/>
          <w:szCs w:val="32"/>
        </w:rPr>
      </w:pPr>
      <w:r>
        <w:rPr>
          <w:rFonts w:hint="eastAsia" w:ascii="宋体" w:hAnsi="宋体"/>
          <w:b/>
          <w:bCs/>
          <w:color w:val="auto"/>
          <w:sz w:val="32"/>
          <w:szCs w:val="32"/>
          <w:lang w:eastAsia="zh-CN"/>
        </w:rPr>
        <w:t>墨玉县人民医院医保智能监控系统及飞检服务采购项目</w:t>
      </w:r>
    </w:p>
    <w:p>
      <w:pPr>
        <w:pStyle w:val="2"/>
        <w:rPr>
          <w:color w:val="auto"/>
        </w:rPr>
      </w:pPr>
      <w:r>
        <w:rPr>
          <w:rFonts w:hint="eastAsia"/>
          <w:color w:val="auto"/>
        </w:rPr>
        <w:t>项目名称：</w:t>
      </w:r>
      <w:r>
        <w:rPr>
          <w:rFonts w:hint="eastAsia"/>
          <w:color w:val="auto"/>
          <w:lang w:eastAsia="zh-CN"/>
        </w:rPr>
        <w:t>墨玉县人民医院医保智能监控系统及飞检服务采购项目</w:t>
      </w:r>
    </w:p>
    <w:p>
      <w:pPr>
        <w:pStyle w:val="2"/>
        <w:rPr>
          <w:color w:val="auto"/>
        </w:rPr>
      </w:pPr>
      <w:r>
        <w:rPr>
          <w:rFonts w:hint="eastAsia"/>
          <w:color w:val="auto"/>
        </w:rPr>
        <w:t>项目预算：</w:t>
      </w:r>
      <w:r>
        <w:rPr>
          <w:rFonts w:hint="eastAsia"/>
          <w:color w:val="auto"/>
          <w:lang w:val="en-US" w:eastAsia="zh-CN"/>
        </w:rPr>
        <w:t>44</w:t>
      </w:r>
      <w:r>
        <w:rPr>
          <w:rFonts w:hint="eastAsia"/>
          <w:color w:val="auto"/>
        </w:rPr>
        <w:t>万元</w:t>
      </w:r>
    </w:p>
    <w:p>
      <w:pPr>
        <w:pStyle w:val="2"/>
        <w:rPr>
          <w:color w:val="auto"/>
        </w:rPr>
      </w:pPr>
      <w:r>
        <w:rPr>
          <w:rFonts w:hint="eastAsia"/>
          <w:color w:val="auto"/>
        </w:rPr>
        <w:t>服务期：</w:t>
      </w:r>
      <w:r>
        <w:rPr>
          <w:rFonts w:hint="eastAsia"/>
          <w:color w:val="auto"/>
          <w:lang w:val="en-US" w:eastAsia="zh-CN"/>
        </w:rPr>
        <w:t>一年</w:t>
      </w:r>
    </w:p>
    <w:p>
      <w:pPr>
        <w:pStyle w:val="2"/>
        <w:rPr>
          <w:color w:val="auto"/>
        </w:rPr>
      </w:pPr>
      <w:r>
        <w:rPr>
          <w:rFonts w:hint="eastAsia"/>
          <w:color w:val="auto"/>
        </w:rPr>
        <w:t>投标人资质要求</w:t>
      </w:r>
    </w:p>
    <w:p>
      <w:pPr>
        <w:adjustRightInd w:val="0"/>
        <w:snapToGrid w:val="0"/>
        <w:spacing w:line="360" w:lineRule="auto"/>
        <w:ind w:firstLine="480" w:firstLineChars="200"/>
        <w:rPr>
          <w:rFonts w:ascii="宋体" w:hAnsi="宋体" w:cs="仿宋"/>
          <w:color w:val="auto"/>
          <w:szCs w:val="24"/>
          <w:lang w:bidi="ar"/>
        </w:rPr>
      </w:pPr>
      <w:r>
        <w:rPr>
          <w:rFonts w:hint="eastAsia" w:ascii="宋体" w:hAnsi="宋体" w:cs="仿宋"/>
          <w:color w:val="auto"/>
          <w:szCs w:val="24"/>
          <w:lang w:bidi="ar"/>
        </w:rPr>
        <w:t>1.投标人须是中华人民共和国境内注册的，具有独立法人资格的企业。提供合法有效的具有统一社会信用代码的营业执照，经营范围符合服务需求；</w:t>
      </w:r>
    </w:p>
    <w:p>
      <w:pPr>
        <w:snapToGrid w:val="0"/>
        <w:spacing w:line="360" w:lineRule="auto"/>
        <w:ind w:left="482"/>
        <w:jc w:val="left"/>
        <w:rPr>
          <w:rFonts w:ascii="宋体" w:hAnsi="宋体"/>
          <w:color w:val="auto"/>
          <w:szCs w:val="24"/>
        </w:rPr>
      </w:pPr>
      <w:r>
        <w:rPr>
          <w:rFonts w:hint="eastAsia" w:ascii="宋体" w:hAnsi="宋体"/>
          <w:color w:val="auto"/>
          <w:szCs w:val="24"/>
        </w:rPr>
        <w:t>2.投标人及投标活动须符合《中华人民共和国政府采购法》之相关规定。</w:t>
      </w:r>
    </w:p>
    <w:p>
      <w:pPr>
        <w:pStyle w:val="2"/>
        <w:rPr>
          <w:color w:val="auto"/>
        </w:rPr>
      </w:pPr>
      <w:r>
        <w:rPr>
          <w:rFonts w:hint="eastAsia"/>
          <w:color w:val="auto"/>
        </w:rPr>
        <w:t>服务内容</w:t>
      </w:r>
    </w:p>
    <w:p>
      <w:pPr>
        <w:pStyle w:val="3"/>
        <w:rPr>
          <w:color w:val="auto"/>
        </w:rPr>
      </w:pPr>
      <w:r>
        <w:rPr>
          <w:rFonts w:hint="eastAsia" w:ascii="宋体" w:hAnsi="宋体"/>
          <w:color w:val="auto"/>
          <w:szCs w:val="24"/>
        </w:rPr>
        <w:t>医保智能监控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84"/>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olor w:val="auto"/>
                <w:sz w:val="21"/>
                <w:szCs w:val="21"/>
              </w:rPr>
            </w:pPr>
            <w:r>
              <w:rPr>
                <w:rFonts w:hint="eastAsia" w:ascii="宋体" w:hAnsi="宋体"/>
                <w:color w:val="auto"/>
                <w:sz w:val="21"/>
                <w:szCs w:val="21"/>
              </w:rPr>
              <w:t>序号</w:t>
            </w:r>
          </w:p>
        </w:tc>
        <w:tc>
          <w:tcPr>
            <w:tcW w:w="1276" w:type="dxa"/>
            <w:vAlign w:val="center"/>
          </w:tcPr>
          <w:p>
            <w:pPr>
              <w:jc w:val="center"/>
              <w:rPr>
                <w:rFonts w:ascii="宋体" w:hAnsi="宋体"/>
                <w:color w:val="auto"/>
                <w:sz w:val="21"/>
                <w:szCs w:val="21"/>
              </w:rPr>
            </w:pPr>
            <w:r>
              <w:rPr>
                <w:rFonts w:hint="eastAsia" w:ascii="宋体" w:hAnsi="宋体"/>
                <w:color w:val="auto"/>
                <w:sz w:val="21"/>
                <w:szCs w:val="21"/>
              </w:rPr>
              <w:t>模块名称</w:t>
            </w:r>
          </w:p>
        </w:tc>
        <w:tc>
          <w:tcPr>
            <w:tcW w:w="1984" w:type="dxa"/>
            <w:vAlign w:val="center"/>
          </w:tcPr>
          <w:p>
            <w:pPr>
              <w:jc w:val="center"/>
              <w:rPr>
                <w:rFonts w:ascii="宋体" w:hAnsi="宋体"/>
                <w:color w:val="auto"/>
                <w:sz w:val="21"/>
                <w:szCs w:val="21"/>
              </w:rPr>
            </w:pPr>
            <w:r>
              <w:rPr>
                <w:rFonts w:hint="eastAsia" w:ascii="宋体" w:hAnsi="宋体"/>
                <w:color w:val="auto"/>
                <w:sz w:val="21"/>
                <w:szCs w:val="21"/>
              </w:rPr>
              <w:t>菜单名称</w:t>
            </w:r>
          </w:p>
        </w:tc>
        <w:tc>
          <w:tcPr>
            <w:tcW w:w="4332" w:type="dxa"/>
            <w:vAlign w:val="center"/>
          </w:tcPr>
          <w:p>
            <w:pPr>
              <w:jc w:val="center"/>
              <w:rPr>
                <w:rFonts w:ascii="宋体" w:hAnsi="宋体"/>
                <w:color w:val="auto"/>
                <w:sz w:val="21"/>
                <w:szCs w:val="21"/>
              </w:rPr>
            </w:pPr>
            <w:r>
              <w:rPr>
                <w:rFonts w:hint="eastAsia" w:ascii="宋体" w:hAnsi="宋体"/>
                <w:color w:val="auto"/>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restart"/>
            <w:vAlign w:val="center"/>
          </w:tcPr>
          <w:p>
            <w:pPr>
              <w:rPr>
                <w:rFonts w:ascii="宋体" w:hAnsi="宋体"/>
                <w:color w:val="auto"/>
                <w:sz w:val="21"/>
                <w:szCs w:val="21"/>
              </w:rPr>
            </w:pPr>
            <w:r>
              <w:rPr>
                <w:rFonts w:hint="eastAsia" w:ascii="宋体" w:hAnsi="宋体"/>
                <w:color w:val="auto"/>
                <w:sz w:val="21"/>
                <w:szCs w:val="21"/>
              </w:rPr>
              <w:t>门诊审核助手</w:t>
            </w:r>
          </w:p>
        </w:tc>
        <w:tc>
          <w:tcPr>
            <w:tcW w:w="1984" w:type="dxa"/>
            <w:vAlign w:val="center"/>
          </w:tcPr>
          <w:p>
            <w:pPr>
              <w:rPr>
                <w:rFonts w:ascii="宋体" w:hAnsi="宋体"/>
                <w:color w:val="auto"/>
                <w:sz w:val="21"/>
                <w:szCs w:val="21"/>
              </w:rPr>
            </w:pPr>
            <w:r>
              <w:rPr>
                <w:rFonts w:hint="eastAsia" w:ascii="宋体" w:hAnsi="宋体"/>
                <w:color w:val="auto"/>
                <w:sz w:val="21"/>
                <w:szCs w:val="21"/>
              </w:rPr>
              <w:t>门诊审核</w:t>
            </w:r>
          </w:p>
        </w:tc>
        <w:tc>
          <w:tcPr>
            <w:tcW w:w="4332" w:type="dxa"/>
            <w:vAlign w:val="center"/>
          </w:tcPr>
          <w:p>
            <w:pPr>
              <w:rPr>
                <w:rFonts w:ascii="宋体" w:hAnsi="宋体"/>
                <w:color w:val="auto"/>
                <w:sz w:val="21"/>
                <w:szCs w:val="21"/>
              </w:rPr>
            </w:pPr>
            <w:r>
              <w:rPr>
                <w:rFonts w:hint="eastAsia" w:ascii="宋体" w:hAnsi="宋体"/>
                <w:color w:val="auto"/>
                <w:sz w:val="21"/>
                <w:szCs w:val="21"/>
              </w:rPr>
              <w:t>提供门诊处方实时审核功能。在医师开具门诊处方时自动对处方进行实时审核，筛查出可疑违规项目后及时提醒医师进行处理。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门诊预警拦截处置</w:t>
            </w:r>
          </w:p>
        </w:tc>
        <w:tc>
          <w:tcPr>
            <w:tcW w:w="4332" w:type="dxa"/>
            <w:vAlign w:val="center"/>
          </w:tcPr>
          <w:p>
            <w:pPr>
              <w:rPr>
                <w:rFonts w:ascii="宋体" w:hAnsi="宋体"/>
                <w:color w:val="auto"/>
                <w:sz w:val="21"/>
                <w:szCs w:val="21"/>
              </w:rPr>
            </w:pPr>
            <w:r>
              <w:rPr>
                <w:rFonts w:hint="eastAsia" w:ascii="宋体" w:hAnsi="宋体"/>
                <w:color w:val="auto"/>
                <w:sz w:val="21"/>
                <w:szCs w:val="21"/>
              </w:rPr>
              <w:t>针对门诊提醒的违规结果，实时拦截并提供多种疑点处置方式，支持用户继续使用并填写使用理由、或取消本次开单内容、或标记自费项目，诊断相关的违规项目支持用户实时补充医保诊断。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restart"/>
            <w:vAlign w:val="center"/>
          </w:tcPr>
          <w:p>
            <w:pPr>
              <w:rPr>
                <w:rFonts w:ascii="宋体" w:hAnsi="宋体"/>
                <w:color w:val="auto"/>
                <w:sz w:val="21"/>
                <w:szCs w:val="21"/>
              </w:rPr>
            </w:pPr>
            <w:r>
              <w:rPr>
                <w:rFonts w:hint="eastAsia" w:ascii="宋体" w:hAnsi="宋体"/>
                <w:color w:val="auto"/>
                <w:sz w:val="21"/>
                <w:szCs w:val="21"/>
              </w:rPr>
              <w:t>住院审核助手</w:t>
            </w:r>
          </w:p>
        </w:tc>
        <w:tc>
          <w:tcPr>
            <w:tcW w:w="1984" w:type="dxa"/>
            <w:vAlign w:val="center"/>
          </w:tcPr>
          <w:p>
            <w:pPr>
              <w:rPr>
                <w:rFonts w:ascii="宋体" w:hAnsi="宋体"/>
                <w:color w:val="auto"/>
                <w:sz w:val="21"/>
                <w:szCs w:val="21"/>
              </w:rPr>
            </w:pPr>
            <w:r>
              <w:rPr>
                <w:rFonts w:hint="eastAsia" w:ascii="宋体" w:hAnsi="宋体"/>
                <w:color w:val="auto"/>
                <w:sz w:val="21"/>
                <w:szCs w:val="21"/>
              </w:rPr>
              <w:t>住院医嘱审核</w:t>
            </w:r>
          </w:p>
        </w:tc>
        <w:tc>
          <w:tcPr>
            <w:tcW w:w="4332" w:type="dxa"/>
            <w:vAlign w:val="center"/>
          </w:tcPr>
          <w:p>
            <w:pPr>
              <w:rPr>
                <w:rFonts w:ascii="宋体" w:hAnsi="宋体"/>
                <w:color w:val="auto"/>
                <w:sz w:val="21"/>
                <w:szCs w:val="21"/>
              </w:rPr>
            </w:pPr>
            <w:r>
              <w:rPr>
                <w:rFonts w:hint="eastAsia" w:ascii="宋体" w:hAnsi="宋体"/>
                <w:color w:val="auto"/>
                <w:sz w:val="21"/>
                <w:szCs w:val="21"/>
              </w:rPr>
              <w:t>医师开具住院医嘱时，系统实时对本次医嘱明细的医保支付限制性、医保收费合理合规性进行审核，并弹窗提示（疑似）违规信息，同时系统提供多种拦截处置方式。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住院计费审核</w:t>
            </w:r>
          </w:p>
        </w:tc>
        <w:tc>
          <w:tcPr>
            <w:tcW w:w="4332" w:type="dxa"/>
            <w:vAlign w:val="center"/>
          </w:tcPr>
          <w:p>
            <w:pPr>
              <w:rPr>
                <w:rFonts w:ascii="宋体" w:hAnsi="宋体"/>
                <w:color w:val="auto"/>
                <w:sz w:val="21"/>
                <w:szCs w:val="21"/>
              </w:rPr>
            </w:pPr>
            <w:r>
              <w:rPr>
                <w:rFonts w:hint="eastAsia" w:ascii="宋体" w:hAnsi="宋体"/>
                <w:color w:val="auto"/>
                <w:sz w:val="21"/>
                <w:szCs w:val="21"/>
              </w:rPr>
              <w:t>各科室将计费项目录入</w:t>
            </w:r>
            <w:r>
              <w:rPr>
                <w:rFonts w:ascii="宋体" w:hAnsi="宋体"/>
                <w:color w:val="auto"/>
                <w:sz w:val="21"/>
                <w:szCs w:val="21"/>
              </w:rPr>
              <w:t>HIS系统并提交保存时，HIS系统自动调用住院费用实时审核服务对待保存的收费项目进行实时审核，如有违规项目则进行实时提醒。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住院每晚预审</w:t>
            </w:r>
          </w:p>
        </w:tc>
        <w:tc>
          <w:tcPr>
            <w:tcW w:w="4332" w:type="dxa"/>
            <w:vAlign w:val="center"/>
          </w:tcPr>
          <w:p>
            <w:pPr>
              <w:rPr>
                <w:rFonts w:ascii="宋体" w:hAnsi="宋体"/>
                <w:color w:val="auto"/>
                <w:sz w:val="21"/>
                <w:szCs w:val="21"/>
              </w:rPr>
            </w:pPr>
            <w:r>
              <w:rPr>
                <w:rFonts w:hint="eastAsia" w:ascii="宋体" w:hAnsi="宋体"/>
                <w:color w:val="auto"/>
                <w:sz w:val="21"/>
                <w:szCs w:val="21"/>
              </w:rPr>
              <w:t>每晚定时对在院医保患者的全部费用明细进行审核，并保存审核结果数据，第二天各科室医保管理员或医保办可对违规但医师认为合规的费用进行复核，或直接提醒到医护人员，由医护人员及时进行纠正，从而避免违规行为继续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医生站出院审核</w:t>
            </w:r>
          </w:p>
        </w:tc>
        <w:tc>
          <w:tcPr>
            <w:tcW w:w="4332" w:type="dxa"/>
            <w:vAlign w:val="center"/>
          </w:tcPr>
          <w:p>
            <w:pPr>
              <w:rPr>
                <w:rFonts w:ascii="宋体" w:hAnsi="宋体"/>
                <w:color w:val="auto"/>
                <w:sz w:val="21"/>
                <w:szCs w:val="21"/>
              </w:rPr>
            </w:pPr>
            <w:r>
              <w:rPr>
                <w:rFonts w:hint="eastAsia" w:ascii="宋体" w:hAnsi="宋体"/>
                <w:color w:val="auto"/>
                <w:sz w:val="21"/>
                <w:szCs w:val="21"/>
              </w:rPr>
              <w:t>医生在工作站中对患者进行出院操作时，系统基于医保支付限制性、医保收费合理合规性、医保管理类规则对患者本次就诊的全部费用进行全面审核，并对存在（疑似）违规项目进行提示。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护士站出院审核</w:t>
            </w:r>
          </w:p>
        </w:tc>
        <w:tc>
          <w:tcPr>
            <w:tcW w:w="4332" w:type="dxa"/>
            <w:vAlign w:val="center"/>
          </w:tcPr>
          <w:p>
            <w:pPr>
              <w:rPr>
                <w:rFonts w:ascii="宋体" w:hAnsi="宋体"/>
                <w:color w:val="auto"/>
                <w:sz w:val="21"/>
                <w:szCs w:val="21"/>
              </w:rPr>
            </w:pPr>
            <w:r>
              <w:rPr>
                <w:rFonts w:hint="eastAsia" w:ascii="宋体" w:hAnsi="宋体"/>
                <w:color w:val="auto"/>
                <w:sz w:val="21"/>
                <w:szCs w:val="21"/>
              </w:rPr>
              <w:t>临床科室护士在为病人办理出院手续时，系统基于医保支付限制性、医保收费合理合规性、医保管理类规则对患者本次就诊的全部费用进行全面审核，并对存在（疑似）违规项目进行提示。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医保办出院审核</w:t>
            </w:r>
          </w:p>
        </w:tc>
        <w:tc>
          <w:tcPr>
            <w:tcW w:w="4332" w:type="dxa"/>
            <w:vAlign w:val="center"/>
          </w:tcPr>
          <w:p>
            <w:pPr>
              <w:rPr>
                <w:rFonts w:ascii="宋体" w:hAnsi="宋体"/>
                <w:color w:val="auto"/>
                <w:sz w:val="21"/>
                <w:szCs w:val="21"/>
              </w:rPr>
            </w:pPr>
            <w:r>
              <w:rPr>
                <w:rFonts w:hint="eastAsia" w:ascii="宋体" w:hAnsi="宋体"/>
                <w:color w:val="auto"/>
                <w:sz w:val="21"/>
                <w:szCs w:val="21"/>
              </w:rPr>
              <w:t>系统支持患者出院结算前由医保办审核人员审核患者费用，对患者本次就医费用记录整体审核药品、耗材、诊疗项目相关医保规则，并展示疑似违规信息，系统支持将不符合报销规则的费用自动处理为不纳入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住院预警拦截处置</w:t>
            </w:r>
          </w:p>
        </w:tc>
        <w:tc>
          <w:tcPr>
            <w:tcW w:w="4332" w:type="dxa"/>
            <w:vAlign w:val="center"/>
          </w:tcPr>
          <w:p>
            <w:pPr>
              <w:rPr>
                <w:rFonts w:ascii="宋体" w:hAnsi="宋体"/>
                <w:color w:val="auto"/>
                <w:sz w:val="21"/>
                <w:szCs w:val="21"/>
              </w:rPr>
            </w:pPr>
            <w:r>
              <w:rPr>
                <w:rFonts w:hint="eastAsia" w:ascii="宋体" w:hAnsi="宋体"/>
                <w:color w:val="auto"/>
                <w:sz w:val="21"/>
                <w:szCs w:val="21"/>
              </w:rPr>
              <w:t>系统针对住院医嘱、计费、出院提醒的违规结果，实时拦截并提供多种疑点处置方式，支持用户继续使用并填写使用理由、或立即取消本次开单内容、或标记自费项目，诊断相关的违规项目支持用户实时补充医保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Align w:val="center"/>
          </w:tcPr>
          <w:p>
            <w:pPr>
              <w:rPr>
                <w:rFonts w:ascii="宋体" w:hAnsi="宋体"/>
                <w:color w:val="auto"/>
                <w:sz w:val="21"/>
                <w:szCs w:val="21"/>
              </w:rPr>
            </w:pPr>
            <w:r>
              <w:rPr>
                <w:rFonts w:hint="eastAsia" w:ascii="宋体" w:hAnsi="宋体"/>
                <w:color w:val="auto"/>
                <w:sz w:val="21"/>
                <w:szCs w:val="21"/>
              </w:rPr>
              <w:t>审核综合分析</w:t>
            </w:r>
          </w:p>
        </w:tc>
        <w:tc>
          <w:tcPr>
            <w:tcW w:w="1984" w:type="dxa"/>
            <w:vAlign w:val="center"/>
          </w:tcPr>
          <w:p>
            <w:pPr>
              <w:rPr>
                <w:rFonts w:ascii="宋体" w:hAnsi="宋体"/>
                <w:color w:val="auto"/>
                <w:sz w:val="21"/>
                <w:szCs w:val="21"/>
              </w:rPr>
            </w:pPr>
            <w:r>
              <w:rPr>
                <w:rFonts w:hint="eastAsia" w:ascii="宋体" w:hAnsi="宋体"/>
                <w:color w:val="auto"/>
                <w:sz w:val="21"/>
                <w:szCs w:val="21"/>
              </w:rPr>
              <w:t>审核情况总览</w:t>
            </w:r>
          </w:p>
        </w:tc>
        <w:tc>
          <w:tcPr>
            <w:tcW w:w="4332" w:type="dxa"/>
            <w:vAlign w:val="center"/>
          </w:tcPr>
          <w:p>
            <w:pPr>
              <w:rPr>
                <w:rFonts w:ascii="宋体" w:hAnsi="宋体"/>
                <w:color w:val="auto"/>
                <w:sz w:val="21"/>
                <w:szCs w:val="21"/>
              </w:rPr>
            </w:pPr>
            <w:r>
              <w:rPr>
                <w:rFonts w:hint="eastAsia" w:ascii="宋体" w:hAnsi="宋体"/>
                <w:color w:val="auto"/>
                <w:sz w:val="21"/>
                <w:szCs w:val="21"/>
              </w:rPr>
              <w:t>该功能主要关注违规数据在全院的分布情况，支持以审核时间、审核场景、院区等字段做查询，展示提醒总金额、提醒项目数、提醒率，提醒情况趋势。支持按科室、医生、规则、项目</w:t>
            </w:r>
            <w:r>
              <w:rPr>
                <w:rFonts w:ascii="宋体" w:hAnsi="宋体"/>
                <w:color w:val="auto"/>
                <w:sz w:val="21"/>
                <w:szCs w:val="21"/>
              </w:rPr>
              <w:t>4个维度所有组合情况进行下钻查看。并通过图表形式直观展示。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审核预警分析</w:t>
            </w:r>
          </w:p>
        </w:tc>
        <w:tc>
          <w:tcPr>
            <w:tcW w:w="4332" w:type="dxa"/>
            <w:vAlign w:val="center"/>
          </w:tcPr>
          <w:p>
            <w:pPr>
              <w:rPr>
                <w:rFonts w:ascii="宋体" w:hAnsi="宋体"/>
                <w:color w:val="auto"/>
                <w:sz w:val="21"/>
                <w:szCs w:val="21"/>
              </w:rPr>
            </w:pPr>
            <w:r>
              <w:rPr>
                <w:rFonts w:hint="eastAsia" w:ascii="宋体" w:hAnsi="宋体"/>
                <w:color w:val="auto"/>
                <w:sz w:val="21"/>
                <w:szCs w:val="21"/>
              </w:rPr>
              <w:t>支持通过时间、审核场景、医保类型、规则等级、医师操作等对预警项目做分析。从项目、规则、科室、医师多维度展示审核预警提醒情况及医师操作情况。并通过图表形式直观展示。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restart"/>
            <w:vAlign w:val="center"/>
          </w:tcPr>
          <w:p>
            <w:pPr>
              <w:rPr>
                <w:rFonts w:ascii="宋体" w:hAnsi="宋体"/>
                <w:color w:val="auto"/>
                <w:sz w:val="21"/>
                <w:szCs w:val="21"/>
              </w:rPr>
            </w:pPr>
            <w:r>
              <w:rPr>
                <w:rFonts w:hint="eastAsia" w:ascii="宋体" w:hAnsi="宋体"/>
                <w:color w:val="auto"/>
                <w:sz w:val="21"/>
                <w:szCs w:val="21"/>
              </w:rPr>
              <w:t>审核违规分析</w:t>
            </w:r>
          </w:p>
        </w:tc>
        <w:tc>
          <w:tcPr>
            <w:tcW w:w="1984" w:type="dxa"/>
            <w:vAlign w:val="center"/>
          </w:tcPr>
          <w:p>
            <w:pPr>
              <w:rPr>
                <w:rFonts w:ascii="宋体" w:hAnsi="宋体"/>
                <w:color w:val="auto"/>
                <w:sz w:val="21"/>
                <w:szCs w:val="21"/>
              </w:rPr>
            </w:pPr>
            <w:r>
              <w:rPr>
                <w:rFonts w:hint="eastAsia" w:ascii="宋体" w:hAnsi="宋体"/>
                <w:color w:val="auto"/>
                <w:sz w:val="21"/>
                <w:szCs w:val="21"/>
              </w:rPr>
              <w:t>科室可疑违规汇总</w:t>
            </w:r>
          </w:p>
        </w:tc>
        <w:tc>
          <w:tcPr>
            <w:tcW w:w="4332" w:type="dxa"/>
            <w:vAlign w:val="center"/>
          </w:tcPr>
          <w:p>
            <w:pPr>
              <w:rPr>
                <w:rFonts w:ascii="宋体" w:hAnsi="宋体"/>
                <w:color w:val="auto"/>
                <w:sz w:val="21"/>
                <w:szCs w:val="21"/>
              </w:rPr>
            </w:pPr>
            <w:r>
              <w:rPr>
                <w:rFonts w:hint="eastAsia" w:ascii="宋体" w:hAnsi="宋体"/>
                <w:color w:val="auto"/>
                <w:sz w:val="21"/>
                <w:szCs w:val="21"/>
              </w:rPr>
              <w:t>支持按时间范围查看各科室的违规病例分布情况，从科室、医生、患者三大维度下钻分析，直接对比各科室的违规频次情况、临床操作反馈情况，快速定位问题科室，支持下钻至违规明细，查看患者费用明细、审核详情，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医生可疑违规汇总</w:t>
            </w:r>
          </w:p>
        </w:tc>
        <w:tc>
          <w:tcPr>
            <w:tcW w:w="4332" w:type="dxa"/>
            <w:vAlign w:val="center"/>
          </w:tcPr>
          <w:p>
            <w:pPr>
              <w:rPr>
                <w:rFonts w:ascii="宋体" w:hAnsi="宋体"/>
                <w:color w:val="auto"/>
                <w:sz w:val="21"/>
                <w:szCs w:val="21"/>
              </w:rPr>
            </w:pPr>
            <w:r>
              <w:rPr>
                <w:rFonts w:hint="eastAsia" w:ascii="宋体" w:hAnsi="宋体"/>
                <w:color w:val="auto"/>
                <w:sz w:val="21"/>
                <w:szCs w:val="21"/>
              </w:rPr>
              <w:t>支持按时间范围查看各医生的违规病例分布情况，直接对比各医生的违规频次情况，对比临床对拦截项目的各类操作占比情况，快速定位问题医生，支持下钻至违规明细，查看患者费用明细、审核详情，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规则可疑违规汇总</w:t>
            </w:r>
          </w:p>
        </w:tc>
        <w:tc>
          <w:tcPr>
            <w:tcW w:w="4332" w:type="dxa"/>
            <w:vAlign w:val="center"/>
          </w:tcPr>
          <w:p>
            <w:pPr>
              <w:rPr>
                <w:rFonts w:ascii="宋体" w:hAnsi="宋体"/>
                <w:color w:val="auto"/>
                <w:sz w:val="21"/>
                <w:szCs w:val="21"/>
              </w:rPr>
            </w:pPr>
            <w:r>
              <w:rPr>
                <w:rFonts w:hint="eastAsia" w:ascii="宋体" w:hAnsi="宋体"/>
                <w:color w:val="auto"/>
                <w:sz w:val="21"/>
                <w:szCs w:val="21"/>
              </w:rPr>
              <w:t>支持按时间范围查看各类规则的违规病例分布情况，从规则、项目维度直接对比各类规则的违规频次情况，对比临床对各灰规则的操作占比情况，快速定位问题规则类别，支持下钻至违规明细，查看患者费用明细、审核详情，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审核疑点明细查询</w:t>
            </w:r>
          </w:p>
        </w:tc>
        <w:tc>
          <w:tcPr>
            <w:tcW w:w="4332" w:type="dxa"/>
            <w:vAlign w:val="center"/>
          </w:tcPr>
          <w:p>
            <w:pPr>
              <w:rPr>
                <w:rFonts w:ascii="宋体" w:hAnsi="宋体"/>
                <w:color w:val="auto"/>
                <w:sz w:val="21"/>
                <w:szCs w:val="21"/>
              </w:rPr>
            </w:pPr>
            <w:r>
              <w:rPr>
                <w:rFonts w:hint="eastAsia" w:ascii="宋体" w:hAnsi="宋体"/>
                <w:color w:val="auto"/>
                <w:sz w:val="21"/>
                <w:szCs w:val="21"/>
              </w:rPr>
              <w:t>支持通过条件筛查住院审核记录数据，支持按违规等级筛选违规数据，支持筛选审核违规、审核通过、无规则的数据</w:t>
            </w:r>
            <w:r>
              <w:rPr>
                <w:rFonts w:ascii="宋体" w:hAnsi="宋体"/>
                <w:color w:val="auto"/>
                <w:sz w:val="21"/>
                <w:szCs w:val="21"/>
              </w:rPr>
              <w:t>;支持查看违规病例门诊详情信息，包括患者基本信息、参保信息、就诊信息、违规规则等；支持数据导出。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restart"/>
            <w:vAlign w:val="center"/>
          </w:tcPr>
          <w:p>
            <w:pPr>
              <w:rPr>
                <w:rFonts w:ascii="宋体" w:hAnsi="宋体"/>
                <w:color w:val="auto"/>
                <w:sz w:val="21"/>
                <w:szCs w:val="21"/>
              </w:rPr>
            </w:pPr>
            <w:r>
              <w:rPr>
                <w:rFonts w:hint="eastAsia" w:ascii="宋体" w:hAnsi="宋体"/>
                <w:color w:val="auto"/>
                <w:sz w:val="21"/>
                <w:szCs w:val="21"/>
              </w:rPr>
              <w:t>系统管理</w:t>
            </w:r>
          </w:p>
        </w:tc>
        <w:tc>
          <w:tcPr>
            <w:tcW w:w="1984" w:type="dxa"/>
            <w:vAlign w:val="center"/>
          </w:tcPr>
          <w:p>
            <w:pPr>
              <w:rPr>
                <w:rFonts w:ascii="宋体" w:hAnsi="宋体"/>
                <w:color w:val="auto"/>
                <w:sz w:val="21"/>
                <w:szCs w:val="21"/>
              </w:rPr>
            </w:pPr>
            <w:r>
              <w:rPr>
                <w:rFonts w:hint="eastAsia" w:ascii="宋体" w:hAnsi="宋体"/>
                <w:color w:val="auto"/>
                <w:sz w:val="21"/>
                <w:szCs w:val="21"/>
              </w:rPr>
              <w:t>信息维护</w:t>
            </w:r>
          </w:p>
        </w:tc>
        <w:tc>
          <w:tcPr>
            <w:tcW w:w="4332" w:type="dxa"/>
            <w:vAlign w:val="center"/>
          </w:tcPr>
          <w:p>
            <w:pPr>
              <w:rPr>
                <w:rFonts w:ascii="宋体" w:hAnsi="宋体"/>
                <w:color w:val="auto"/>
                <w:sz w:val="21"/>
                <w:szCs w:val="21"/>
              </w:rPr>
            </w:pPr>
            <w:r>
              <w:rPr>
                <w:rFonts w:hint="eastAsia" w:ascii="宋体" w:hAnsi="宋体"/>
                <w:color w:val="auto"/>
                <w:sz w:val="21"/>
                <w:szCs w:val="21"/>
              </w:rPr>
              <w:t>支持在系统中维护机构组织信息，科室信息，医护人员信息，医护人员所属科室、医疗组等信息。支持查询维护提供系统涉及的数据字典。支持维护菜单启停。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权限管理</w:t>
            </w:r>
          </w:p>
        </w:tc>
        <w:tc>
          <w:tcPr>
            <w:tcW w:w="4332" w:type="dxa"/>
            <w:vAlign w:val="center"/>
          </w:tcPr>
          <w:p>
            <w:pPr>
              <w:rPr>
                <w:rFonts w:ascii="宋体" w:hAnsi="宋体"/>
                <w:color w:val="auto"/>
                <w:sz w:val="21"/>
                <w:szCs w:val="21"/>
              </w:rPr>
            </w:pPr>
            <w:r>
              <w:rPr>
                <w:rFonts w:hint="eastAsia" w:ascii="宋体" w:hAnsi="宋体"/>
                <w:color w:val="auto"/>
                <w:sz w:val="21"/>
                <w:szCs w:val="21"/>
              </w:rPr>
              <w:t>支持在系统中添加、编辑、删除、复制角色信息，并能为角色分配菜单权限及数据查看范围权限，提供角色启用、角色禁用、角色复制、人员管理、权限复制等功能。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参数配置</w:t>
            </w:r>
          </w:p>
        </w:tc>
        <w:tc>
          <w:tcPr>
            <w:tcW w:w="4332" w:type="dxa"/>
            <w:vAlign w:val="center"/>
          </w:tcPr>
          <w:p>
            <w:pPr>
              <w:rPr>
                <w:rFonts w:ascii="宋体" w:hAnsi="宋体"/>
                <w:color w:val="auto"/>
                <w:sz w:val="21"/>
                <w:szCs w:val="21"/>
              </w:rPr>
            </w:pPr>
            <w:r>
              <w:rPr>
                <w:rFonts w:hint="eastAsia" w:ascii="宋体" w:hAnsi="宋体"/>
                <w:color w:val="auto"/>
                <w:sz w:val="21"/>
                <w:szCs w:val="21"/>
              </w:rPr>
              <w:t>支持提供流程参数配置功能，支持启停审核业务场景；支持配置默认医师备选操作；支持配置特定场景的审核业务流程等。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restart"/>
            <w:vAlign w:val="center"/>
          </w:tcPr>
          <w:p>
            <w:pPr>
              <w:rPr>
                <w:rFonts w:ascii="宋体" w:hAnsi="宋体"/>
                <w:color w:val="auto"/>
                <w:sz w:val="21"/>
                <w:szCs w:val="21"/>
              </w:rPr>
            </w:pPr>
            <w:r>
              <w:rPr>
                <w:rFonts w:hint="eastAsia" w:ascii="宋体" w:hAnsi="宋体"/>
                <w:color w:val="auto"/>
                <w:sz w:val="21"/>
                <w:szCs w:val="21"/>
              </w:rPr>
              <w:t>智审规则管理</w:t>
            </w:r>
          </w:p>
        </w:tc>
        <w:tc>
          <w:tcPr>
            <w:tcW w:w="1984" w:type="dxa"/>
            <w:vAlign w:val="center"/>
          </w:tcPr>
          <w:p>
            <w:pPr>
              <w:rPr>
                <w:rFonts w:ascii="宋体" w:hAnsi="宋体"/>
                <w:color w:val="auto"/>
                <w:sz w:val="21"/>
                <w:szCs w:val="21"/>
              </w:rPr>
            </w:pPr>
            <w:r>
              <w:rPr>
                <w:rFonts w:hint="eastAsia" w:ascii="宋体" w:hAnsi="宋体"/>
                <w:color w:val="auto"/>
                <w:sz w:val="21"/>
                <w:szCs w:val="21"/>
              </w:rPr>
              <w:t>规则启停</w:t>
            </w:r>
          </w:p>
        </w:tc>
        <w:tc>
          <w:tcPr>
            <w:tcW w:w="4332" w:type="dxa"/>
            <w:vAlign w:val="center"/>
          </w:tcPr>
          <w:p>
            <w:pPr>
              <w:rPr>
                <w:rFonts w:ascii="宋体" w:hAnsi="宋体"/>
                <w:color w:val="auto"/>
                <w:sz w:val="21"/>
                <w:szCs w:val="21"/>
              </w:rPr>
            </w:pPr>
            <w:r>
              <w:rPr>
                <w:rFonts w:hint="eastAsia" w:ascii="宋体" w:hAnsi="宋体"/>
                <w:color w:val="auto"/>
                <w:sz w:val="21"/>
                <w:szCs w:val="21"/>
              </w:rPr>
              <w:t>该功能可对系统内置的医保审核规则按不同业务场景启停，支持按医保项目或规则类别进行启停。支持对系统内置的病案首页、医保结算清单质控规则进行配置，包括开启、停用、更新等，以此实现用户对质控规则的深度可视化管理。满足不断变化更新的质控规则扩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提醒操作配置</w:t>
            </w:r>
          </w:p>
        </w:tc>
        <w:tc>
          <w:tcPr>
            <w:tcW w:w="4332" w:type="dxa"/>
            <w:vAlign w:val="center"/>
          </w:tcPr>
          <w:p>
            <w:pPr>
              <w:rPr>
                <w:rFonts w:ascii="宋体" w:hAnsi="宋体"/>
                <w:color w:val="auto"/>
                <w:sz w:val="21"/>
                <w:szCs w:val="21"/>
              </w:rPr>
            </w:pPr>
            <w:r>
              <w:rPr>
                <w:rFonts w:hint="eastAsia" w:ascii="宋体" w:hAnsi="宋体"/>
                <w:color w:val="auto"/>
                <w:sz w:val="21"/>
                <w:szCs w:val="21"/>
              </w:rPr>
              <w:t>提供违规疑点数据的操作选项及提醒文本配置功能，支持对不同审核场景、不同项目、不同规则自定义配置操作选项或提醒文本。配置继续使用的备案理由模板，支持配置个人模板或通用模板。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3"/>
              </w:numPr>
              <w:ind w:firstLineChars="0"/>
              <w:jc w:val="center"/>
              <w:rPr>
                <w:rFonts w:ascii="宋体" w:hAnsi="宋体"/>
                <w:color w:val="auto"/>
                <w:sz w:val="21"/>
                <w:szCs w:val="21"/>
              </w:rPr>
            </w:pPr>
          </w:p>
        </w:tc>
        <w:tc>
          <w:tcPr>
            <w:tcW w:w="1276" w:type="dxa"/>
            <w:vMerge w:val="continue"/>
            <w:vAlign w:val="center"/>
          </w:tcPr>
          <w:p>
            <w:pPr>
              <w:rPr>
                <w:rFonts w:ascii="宋体" w:hAnsi="宋体"/>
                <w:color w:val="auto"/>
                <w:sz w:val="21"/>
                <w:szCs w:val="21"/>
              </w:rPr>
            </w:pPr>
          </w:p>
        </w:tc>
        <w:tc>
          <w:tcPr>
            <w:tcW w:w="1984" w:type="dxa"/>
            <w:vAlign w:val="center"/>
          </w:tcPr>
          <w:p>
            <w:pPr>
              <w:rPr>
                <w:rFonts w:ascii="宋体" w:hAnsi="宋体"/>
                <w:color w:val="auto"/>
                <w:sz w:val="21"/>
                <w:szCs w:val="21"/>
              </w:rPr>
            </w:pPr>
            <w:r>
              <w:rPr>
                <w:rFonts w:hint="eastAsia" w:ascii="宋体" w:hAnsi="宋体"/>
                <w:color w:val="auto"/>
                <w:sz w:val="21"/>
                <w:szCs w:val="21"/>
              </w:rPr>
              <w:t>规则分类管理</w:t>
            </w:r>
          </w:p>
        </w:tc>
        <w:tc>
          <w:tcPr>
            <w:tcW w:w="4332" w:type="dxa"/>
            <w:vAlign w:val="center"/>
          </w:tcPr>
          <w:p>
            <w:pPr>
              <w:rPr>
                <w:rFonts w:ascii="宋体" w:hAnsi="宋体"/>
                <w:color w:val="auto"/>
                <w:sz w:val="21"/>
                <w:szCs w:val="21"/>
              </w:rPr>
            </w:pPr>
            <w:r>
              <w:rPr>
                <w:rFonts w:hint="eastAsia" w:ascii="宋体" w:hAnsi="宋体"/>
                <w:color w:val="auto"/>
                <w:sz w:val="21"/>
                <w:szCs w:val="21"/>
              </w:rPr>
              <w:t>提供自定义规则分类的新增、删除、编辑等维护功能，支持用户自定义规则分类，配置规则所属类别。</w:t>
            </w:r>
          </w:p>
        </w:tc>
      </w:tr>
    </w:tbl>
    <w:p>
      <w:pPr>
        <w:rPr>
          <w:color w:val="auto"/>
        </w:rPr>
      </w:pPr>
    </w:p>
    <w:p>
      <w:pPr>
        <w:pStyle w:val="3"/>
        <w:rPr>
          <w:color w:val="auto"/>
        </w:rPr>
      </w:pPr>
      <w:r>
        <w:rPr>
          <w:rFonts w:hint="eastAsia"/>
          <w:color w:val="auto"/>
        </w:rPr>
        <w:t>飞检服务</w:t>
      </w:r>
    </w:p>
    <w:p>
      <w:pPr>
        <w:pStyle w:val="4"/>
        <w:rPr>
          <w:color w:val="auto"/>
          <w:sz w:val="24"/>
          <w:szCs w:val="24"/>
        </w:rPr>
      </w:pPr>
      <w:r>
        <w:rPr>
          <w:color w:val="auto"/>
          <w:sz w:val="24"/>
          <w:szCs w:val="24"/>
        </w:rPr>
        <w:t>数据质控服务</w:t>
      </w:r>
    </w:p>
    <w:p>
      <w:pPr>
        <w:snapToGrid w:val="0"/>
        <w:spacing w:line="360" w:lineRule="auto"/>
        <w:ind w:firstLine="480" w:firstLineChars="200"/>
        <w:jc w:val="left"/>
        <w:rPr>
          <w:rFonts w:ascii="宋体" w:hAnsi="宋体"/>
          <w:color w:val="auto"/>
          <w:szCs w:val="28"/>
        </w:rPr>
      </w:pPr>
      <w:r>
        <w:rPr>
          <w:rFonts w:ascii="宋体" w:hAnsi="宋体"/>
          <w:color w:val="auto"/>
          <w:szCs w:val="28"/>
        </w:rPr>
        <w:t>按照要求安排相关专业人员在院方的统一组织和分工下配合对医院采集周期内按标准提供的医保结算数据进行数据采集质控。反馈医院提取飞检数据质量问题，包括完整性校验、规范性校验、合理性校验和一致性校验。</w:t>
      </w:r>
    </w:p>
    <w:p>
      <w:pPr>
        <w:pStyle w:val="4"/>
        <w:rPr>
          <w:color w:val="auto"/>
          <w:sz w:val="24"/>
          <w:szCs w:val="24"/>
        </w:rPr>
      </w:pPr>
      <w:r>
        <w:rPr>
          <w:color w:val="auto"/>
          <w:sz w:val="24"/>
          <w:szCs w:val="24"/>
        </w:rPr>
        <w:t>数据筛查服务</w:t>
      </w:r>
    </w:p>
    <w:p>
      <w:pPr>
        <w:snapToGrid w:val="0"/>
        <w:spacing w:line="360" w:lineRule="auto"/>
        <w:ind w:firstLine="480" w:firstLineChars="200"/>
        <w:jc w:val="left"/>
        <w:rPr>
          <w:rFonts w:ascii="宋体" w:hAnsi="宋体"/>
          <w:color w:val="auto"/>
          <w:szCs w:val="28"/>
        </w:rPr>
      </w:pPr>
      <w:r>
        <w:rPr>
          <w:rFonts w:ascii="宋体" w:hAnsi="宋体"/>
          <w:color w:val="auto"/>
          <w:szCs w:val="28"/>
        </w:rPr>
        <w:t>1、数据筛查：安排相关大数据分析人员、信息人员、医学分析人员配合医院开展结算数据筛查。</w:t>
      </w:r>
    </w:p>
    <w:p>
      <w:pPr>
        <w:snapToGrid w:val="0"/>
        <w:spacing w:line="360" w:lineRule="auto"/>
        <w:ind w:firstLine="480" w:firstLineChars="200"/>
        <w:jc w:val="left"/>
        <w:rPr>
          <w:rFonts w:ascii="宋体" w:hAnsi="宋体"/>
          <w:color w:val="auto"/>
          <w:szCs w:val="28"/>
        </w:rPr>
      </w:pPr>
      <w:r>
        <w:rPr>
          <w:rFonts w:ascii="宋体" w:hAnsi="宋体"/>
          <w:color w:val="auto"/>
          <w:szCs w:val="28"/>
        </w:rPr>
        <w:t>2、提供疑点汇总信息和明细台账：根据制定的飞行检查规则细则开展数据筛查、分析、统计等工作。自医院提供有效数据后2周内完成数据筛查等工作，提供疑点汇总信息和明细台账。</w:t>
      </w:r>
    </w:p>
    <w:p>
      <w:pPr>
        <w:snapToGrid w:val="0"/>
        <w:spacing w:line="360" w:lineRule="auto"/>
        <w:ind w:firstLine="480" w:firstLineChars="200"/>
        <w:jc w:val="left"/>
        <w:rPr>
          <w:rFonts w:ascii="宋体" w:hAnsi="宋体"/>
          <w:color w:val="auto"/>
          <w:szCs w:val="28"/>
        </w:rPr>
      </w:pPr>
      <w:r>
        <w:rPr>
          <w:rFonts w:ascii="宋体" w:hAnsi="宋体"/>
          <w:color w:val="auto"/>
          <w:szCs w:val="28"/>
        </w:rPr>
        <w:t>3、人工复核：由专业人员对疑点数据进行人工复核。</w:t>
      </w:r>
    </w:p>
    <w:p>
      <w:pPr>
        <w:pStyle w:val="4"/>
        <w:rPr>
          <w:color w:val="auto"/>
          <w:sz w:val="24"/>
          <w:szCs w:val="24"/>
        </w:rPr>
      </w:pPr>
      <w:r>
        <w:rPr>
          <w:color w:val="auto"/>
          <w:sz w:val="24"/>
          <w:szCs w:val="24"/>
        </w:rPr>
        <w:t>数据分析服务</w:t>
      </w:r>
    </w:p>
    <w:p>
      <w:pPr>
        <w:snapToGrid w:val="0"/>
        <w:spacing w:line="360" w:lineRule="auto"/>
        <w:ind w:firstLine="480" w:firstLineChars="200"/>
        <w:jc w:val="left"/>
        <w:rPr>
          <w:rFonts w:ascii="宋体" w:hAnsi="宋体"/>
          <w:color w:val="auto"/>
          <w:szCs w:val="28"/>
        </w:rPr>
      </w:pPr>
      <w:r>
        <w:rPr>
          <w:rFonts w:ascii="宋体" w:hAnsi="宋体"/>
          <w:color w:val="auto"/>
          <w:szCs w:val="28"/>
        </w:rPr>
        <w:t>1、潜在违规风险和数据质量问题分析：通过数据统计分析确定潜在违规风险和数据质量问题。</w:t>
      </w:r>
    </w:p>
    <w:p>
      <w:pPr>
        <w:snapToGrid w:val="0"/>
        <w:spacing w:line="360" w:lineRule="auto"/>
        <w:ind w:firstLine="480" w:firstLineChars="200"/>
        <w:jc w:val="left"/>
        <w:rPr>
          <w:rFonts w:ascii="宋体" w:hAnsi="宋体"/>
          <w:color w:val="auto"/>
          <w:szCs w:val="28"/>
        </w:rPr>
      </w:pPr>
      <w:r>
        <w:rPr>
          <w:rFonts w:ascii="宋体" w:hAnsi="宋体"/>
          <w:color w:val="auto"/>
          <w:szCs w:val="28"/>
        </w:rPr>
        <w:t>2、提供飞检自查自纠分析结果和检查建议：向医院相关人员进行本次服务内容结果汇报，提出整改建议。</w:t>
      </w:r>
    </w:p>
    <w:p>
      <w:pPr>
        <w:snapToGrid w:val="0"/>
        <w:spacing w:line="360" w:lineRule="auto"/>
        <w:ind w:firstLine="480" w:firstLineChars="200"/>
        <w:jc w:val="left"/>
        <w:rPr>
          <w:rFonts w:ascii="宋体" w:hAnsi="宋体"/>
          <w:color w:val="auto"/>
          <w:szCs w:val="28"/>
        </w:rPr>
      </w:pPr>
      <w:r>
        <w:rPr>
          <w:rFonts w:ascii="宋体" w:hAnsi="宋体"/>
          <w:color w:val="auto"/>
          <w:szCs w:val="28"/>
        </w:rPr>
        <w:t>3、解释培训：根据医院需要随时配合做好相关解释培训工作。</w:t>
      </w:r>
    </w:p>
    <w:p>
      <w:pPr>
        <w:snapToGrid w:val="0"/>
        <w:spacing w:line="360" w:lineRule="auto"/>
        <w:ind w:firstLine="480" w:firstLineChars="200"/>
        <w:jc w:val="left"/>
        <w:rPr>
          <w:rFonts w:ascii="宋体" w:hAnsi="宋体"/>
          <w:color w:val="auto"/>
          <w:szCs w:val="28"/>
        </w:rPr>
      </w:pPr>
      <w:r>
        <w:rPr>
          <w:rFonts w:ascii="宋体" w:hAnsi="宋体"/>
          <w:color w:val="auto"/>
          <w:szCs w:val="28"/>
        </w:rPr>
        <w:t>4、资料移交：服务完成后，移交相关材料及数据，并确保本次所取得的任何电子、纸质数据及筛查结果不得外泄。</w:t>
      </w:r>
    </w:p>
    <w:p>
      <w:pPr>
        <w:pStyle w:val="2"/>
        <w:rPr>
          <w:color w:val="auto"/>
        </w:rPr>
      </w:pPr>
      <w:r>
        <w:rPr>
          <w:rFonts w:hint="eastAsia"/>
          <w:color w:val="auto"/>
        </w:rPr>
        <w:t>服务要求</w:t>
      </w:r>
    </w:p>
    <w:p>
      <w:pPr>
        <w:numPr>
          <w:ilvl w:val="0"/>
          <w:numId w:val="4"/>
        </w:numPr>
        <w:snapToGrid w:val="0"/>
        <w:spacing w:line="360" w:lineRule="auto"/>
        <w:ind w:left="0" w:firstLine="357"/>
        <w:rPr>
          <w:rFonts w:ascii="宋体" w:hAnsi="宋体"/>
          <w:color w:val="auto"/>
          <w:szCs w:val="24"/>
        </w:rPr>
      </w:pPr>
      <w:r>
        <w:rPr>
          <w:rFonts w:hint="eastAsia" w:ascii="宋体" w:hAnsi="宋体"/>
          <w:color w:val="auto"/>
          <w:szCs w:val="24"/>
        </w:rPr>
        <w:t>本项目系统需在对接医院HIS系统（E</w:t>
      </w:r>
      <w:r>
        <w:rPr>
          <w:rFonts w:ascii="宋体" w:hAnsi="宋体"/>
          <w:color w:val="auto"/>
          <w:szCs w:val="24"/>
        </w:rPr>
        <w:t>MR</w:t>
      </w:r>
      <w:r>
        <w:rPr>
          <w:rFonts w:hint="eastAsia" w:ascii="宋体" w:hAnsi="宋体"/>
          <w:color w:val="auto"/>
          <w:szCs w:val="24"/>
        </w:rPr>
        <w:t>或其他系统）基础上完成实施（本项目不含医院接口改造费用）。</w:t>
      </w:r>
    </w:p>
    <w:p>
      <w:pPr>
        <w:numPr>
          <w:ilvl w:val="0"/>
          <w:numId w:val="4"/>
        </w:numPr>
        <w:snapToGrid w:val="0"/>
        <w:spacing w:line="360" w:lineRule="auto"/>
        <w:ind w:left="0" w:firstLine="357"/>
        <w:rPr>
          <w:rFonts w:ascii="宋体" w:hAnsi="宋体"/>
          <w:color w:val="auto"/>
          <w:szCs w:val="24"/>
        </w:rPr>
      </w:pPr>
      <w:r>
        <w:rPr>
          <w:rFonts w:hint="eastAsia" w:ascii="宋体" w:hAnsi="宋体"/>
          <w:color w:val="auto"/>
          <w:szCs w:val="24"/>
        </w:rPr>
        <w:t>本项目自合同签订之日起，应在</w:t>
      </w:r>
      <w:r>
        <w:rPr>
          <w:rFonts w:ascii="宋体" w:hAnsi="宋体"/>
          <w:color w:val="auto"/>
          <w:szCs w:val="24"/>
        </w:rPr>
        <w:t>3</w:t>
      </w:r>
      <w:r>
        <w:rPr>
          <w:rFonts w:hint="eastAsia" w:ascii="宋体" w:hAnsi="宋体"/>
          <w:color w:val="auto"/>
          <w:szCs w:val="24"/>
        </w:rPr>
        <w:t>个月内完成系统的升级、测试、部署、联调、培训和上线试运行等工作。</w:t>
      </w:r>
    </w:p>
    <w:p>
      <w:pPr>
        <w:numPr>
          <w:ilvl w:val="0"/>
          <w:numId w:val="4"/>
        </w:numPr>
        <w:snapToGrid w:val="0"/>
        <w:spacing w:line="360" w:lineRule="auto"/>
        <w:ind w:left="0" w:firstLine="357"/>
        <w:rPr>
          <w:rFonts w:ascii="宋体" w:hAnsi="宋体"/>
          <w:color w:val="auto"/>
          <w:szCs w:val="24"/>
        </w:rPr>
      </w:pPr>
      <w:r>
        <w:rPr>
          <w:rFonts w:hint="eastAsia" w:ascii="宋体" w:hAnsi="宋体"/>
          <w:color w:val="auto"/>
          <w:szCs w:val="24"/>
        </w:rPr>
        <w:t>项目自终验之日起进入维护期，承建商需提供为期</w:t>
      </w:r>
      <w:r>
        <w:rPr>
          <w:rFonts w:ascii="宋体" w:hAnsi="宋体"/>
          <w:color w:val="auto"/>
          <w:szCs w:val="24"/>
        </w:rPr>
        <w:t>3</w:t>
      </w:r>
      <w:r>
        <w:rPr>
          <w:rFonts w:hint="eastAsia" w:ascii="宋体" w:hAnsi="宋体"/>
          <w:color w:val="auto"/>
          <w:szCs w:val="24"/>
        </w:rPr>
        <w:t>年的维护服务，保障系统稳定运行。</w:t>
      </w:r>
    </w:p>
    <w:p>
      <w:pPr>
        <w:numPr>
          <w:ilvl w:val="0"/>
          <w:numId w:val="4"/>
        </w:numPr>
        <w:snapToGrid w:val="0"/>
        <w:spacing w:line="360" w:lineRule="auto"/>
        <w:ind w:left="0" w:firstLine="357"/>
        <w:rPr>
          <w:rFonts w:ascii="宋体" w:hAnsi="宋体"/>
          <w:color w:val="auto"/>
          <w:szCs w:val="24"/>
        </w:rPr>
      </w:pPr>
      <w:r>
        <w:rPr>
          <w:rFonts w:ascii="宋体" w:hAnsi="宋体"/>
          <w:color w:val="auto"/>
          <w:szCs w:val="24"/>
        </w:rPr>
        <w:t>承建方需为本项目指派一名专职项目经理，全面负责项目各项管理工作</w:t>
      </w:r>
      <w:r>
        <w:rPr>
          <w:rFonts w:hint="eastAsia" w:ascii="宋体" w:hAnsi="宋体"/>
          <w:color w:val="auto"/>
          <w:szCs w:val="24"/>
        </w:rPr>
        <w:t>。</w:t>
      </w:r>
      <w:r>
        <w:rPr>
          <w:rFonts w:ascii="宋体" w:hAnsi="宋体"/>
          <w:color w:val="auto"/>
          <w:szCs w:val="24"/>
        </w:rPr>
        <w:t>项目</w:t>
      </w:r>
      <w:r>
        <w:rPr>
          <w:rFonts w:hint="eastAsia" w:ascii="宋体" w:hAnsi="宋体"/>
          <w:color w:val="auto"/>
          <w:szCs w:val="24"/>
        </w:rPr>
        <w:t>建设</w:t>
      </w:r>
      <w:r>
        <w:rPr>
          <w:rFonts w:ascii="宋体" w:hAnsi="宋体"/>
          <w:color w:val="auto"/>
          <w:szCs w:val="24"/>
        </w:rPr>
        <w:t>实施阶段，需现场进行项目建设工作。</w:t>
      </w:r>
    </w:p>
    <w:p>
      <w:pPr>
        <w:numPr>
          <w:ilvl w:val="0"/>
          <w:numId w:val="4"/>
        </w:numPr>
        <w:snapToGrid w:val="0"/>
        <w:spacing w:line="360" w:lineRule="auto"/>
        <w:ind w:left="0" w:firstLine="357"/>
        <w:rPr>
          <w:rFonts w:ascii="宋体" w:hAnsi="宋体"/>
          <w:color w:val="auto"/>
          <w:szCs w:val="24"/>
        </w:rPr>
      </w:pPr>
      <w:bookmarkStart w:id="0" w:name="_Hlk189844588"/>
      <w:r>
        <w:rPr>
          <w:rFonts w:ascii="宋体" w:hAnsi="宋体"/>
          <w:color w:val="auto"/>
          <w:szCs w:val="24"/>
        </w:rPr>
        <w:t>项目建设内容完全符合招标要求后，由采购人组织相关专家和技术人员，按照招标文件采购要求及行业标准规范进行验收</w:t>
      </w:r>
      <w:bookmarkEnd w:id="0"/>
      <w:r>
        <w:rPr>
          <w:rFonts w:ascii="宋体" w:hAnsi="宋体"/>
          <w:color w:val="auto"/>
          <w:szCs w:val="24"/>
        </w:rPr>
        <w:t>。</w:t>
      </w:r>
    </w:p>
    <w:p>
      <w:pPr>
        <w:pStyle w:val="2"/>
        <w:rPr>
          <w:color w:val="auto"/>
        </w:rPr>
      </w:pPr>
      <w:r>
        <w:rPr>
          <w:rFonts w:hint="eastAsia"/>
          <w:color w:val="auto"/>
        </w:rPr>
        <w:t>违约责任</w:t>
      </w:r>
    </w:p>
    <w:p>
      <w:pPr>
        <w:snapToGrid w:val="0"/>
        <w:spacing w:line="360" w:lineRule="auto"/>
        <w:ind w:firstLine="480" w:firstLineChars="200"/>
        <w:jc w:val="left"/>
        <w:rPr>
          <w:rFonts w:ascii="宋体" w:hAnsi="宋体"/>
          <w:color w:val="auto"/>
          <w:szCs w:val="28"/>
        </w:rPr>
      </w:pPr>
      <w:r>
        <w:rPr>
          <w:rFonts w:ascii="宋体" w:hAnsi="宋体"/>
          <w:color w:val="auto"/>
          <w:szCs w:val="28"/>
        </w:rPr>
        <w:t>如果</w:t>
      </w:r>
      <w:r>
        <w:rPr>
          <w:rFonts w:hint="eastAsia" w:ascii="宋体" w:hAnsi="宋体"/>
          <w:color w:val="auto"/>
          <w:szCs w:val="28"/>
        </w:rPr>
        <w:t>中标方</w:t>
      </w:r>
      <w:r>
        <w:rPr>
          <w:rFonts w:ascii="宋体" w:hAnsi="宋体"/>
          <w:color w:val="auto"/>
          <w:szCs w:val="28"/>
        </w:rPr>
        <w:t>提供的软件、服务不符合合同约定要求，甲方有权：换货或退货、按合同约定整改服务、拒付合同款项、要求赔偿损失、终止本合同</w:t>
      </w:r>
      <w:r>
        <w:rPr>
          <w:rFonts w:hint="eastAsia" w:ascii="宋体" w:hAnsi="宋体"/>
          <w:color w:val="auto"/>
          <w:szCs w:val="28"/>
        </w:rPr>
        <w:t>，从而引起的经济损失由乙方承担。</w:t>
      </w:r>
    </w:p>
    <w:p>
      <w:pPr>
        <w:pStyle w:val="2"/>
        <w:rPr>
          <w:color w:val="auto"/>
        </w:rPr>
      </w:pPr>
      <w:r>
        <w:rPr>
          <w:rFonts w:hint="eastAsia"/>
          <w:color w:val="auto"/>
        </w:rPr>
        <w:t>运维服务内容</w:t>
      </w:r>
    </w:p>
    <w:p>
      <w:pPr>
        <w:numPr>
          <w:ilvl w:val="0"/>
          <w:numId w:val="5"/>
        </w:numPr>
        <w:snapToGrid w:val="0"/>
        <w:spacing w:before="156" w:beforeLines="50" w:after="156" w:afterLines="50" w:line="360" w:lineRule="auto"/>
        <w:jc w:val="left"/>
        <w:rPr>
          <w:rFonts w:ascii="宋体" w:hAnsi="宋体"/>
          <w:color w:val="auto"/>
          <w:szCs w:val="24"/>
        </w:rPr>
      </w:pPr>
      <w:r>
        <w:rPr>
          <w:rFonts w:hint="eastAsia" w:ascii="宋体" w:hAnsi="宋体"/>
          <w:color w:val="auto"/>
          <w:szCs w:val="24"/>
        </w:rPr>
        <w:t>日常维护</w:t>
      </w:r>
    </w:p>
    <w:p>
      <w:pPr>
        <w:snapToGrid w:val="0"/>
        <w:spacing w:line="360" w:lineRule="auto"/>
        <w:ind w:firstLine="480" w:firstLineChars="200"/>
        <w:jc w:val="left"/>
        <w:rPr>
          <w:rFonts w:ascii="宋体" w:hAnsi="宋体"/>
          <w:color w:val="auto"/>
          <w:szCs w:val="28"/>
        </w:rPr>
      </w:pPr>
      <w:r>
        <w:rPr>
          <w:rFonts w:hint="eastAsia" w:ascii="宋体" w:hAnsi="宋体"/>
          <w:color w:val="auto"/>
          <w:szCs w:val="28"/>
        </w:rPr>
        <w:t>主要是针对系统操作人员在日常业务办理中，因为操作错误所引起的系统错误进行维护；解决应用系统日常运行中所出现的问题，处理因应用系统异常或经办误操作所导致的数据问题；以及对系统在开发过程中因各种原因遗留的 bug 进行修正。</w:t>
      </w:r>
    </w:p>
    <w:p>
      <w:pPr>
        <w:numPr>
          <w:ilvl w:val="0"/>
          <w:numId w:val="5"/>
        </w:numPr>
        <w:snapToGrid w:val="0"/>
        <w:spacing w:before="156" w:beforeLines="50" w:after="156" w:afterLines="50" w:line="360" w:lineRule="auto"/>
        <w:jc w:val="left"/>
        <w:rPr>
          <w:rFonts w:ascii="宋体" w:hAnsi="宋体"/>
          <w:color w:val="auto"/>
          <w:szCs w:val="24"/>
        </w:rPr>
      </w:pPr>
      <w:r>
        <w:rPr>
          <w:rFonts w:hint="eastAsia" w:ascii="宋体" w:hAnsi="宋体"/>
          <w:color w:val="auto"/>
          <w:szCs w:val="24"/>
        </w:rPr>
        <w:t>应急维护服务</w:t>
      </w:r>
    </w:p>
    <w:p>
      <w:pPr>
        <w:snapToGrid w:val="0"/>
        <w:spacing w:line="360" w:lineRule="auto"/>
        <w:ind w:firstLine="480" w:firstLineChars="200"/>
        <w:jc w:val="left"/>
        <w:rPr>
          <w:rFonts w:ascii="宋体" w:hAnsi="宋体"/>
          <w:color w:val="auto"/>
          <w:szCs w:val="28"/>
        </w:rPr>
      </w:pPr>
      <w:r>
        <w:rPr>
          <w:rFonts w:hint="eastAsia" w:ascii="宋体" w:hAnsi="宋体"/>
          <w:color w:val="auto"/>
          <w:szCs w:val="28"/>
        </w:rPr>
        <w:t>制定应急预案，须以保证业务经办正常运行为目标,实行“以人为本、预防为主”的原则。当出现系统需要临时停机或系统出现故障时，应及时根据应急预案采取相应的应急措施，最快时间恢复系统正常运行；当系统出现系统整体性能急速下降，严重影响系统的正常运行，导致部分或全部系统不能正常办理时，进行应急性服务，帮助用户在最短时间内，恢复系统正常状态。</w:t>
      </w:r>
    </w:p>
    <w:p>
      <w:pPr>
        <w:numPr>
          <w:ilvl w:val="0"/>
          <w:numId w:val="5"/>
        </w:numPr>
        <w:snapToGrid w:val="0"/>
        <w:spacing w:before="156" w:beforeLines="50" w:after="156" w:afterLines="50" w:line="360" w:lineRule="auto"/>
        <w:jc w:val="left"/>
        <w:rPr>
          <w:rFonts w:ascii="宋体" w:hAnsi="宋体"/>
          <w:color w:val="auto"/>
          <w:szCs w:val="24"/>
        </w:rPr>
      </w:pPr>
      <w:r>
        <w:rPr>
          <w:rFonts w:hint="eastAsia" w:ascii="宋体" w:hAnsi="宋体"/>
          <w:color w:val="auto"/>
          <w:szCs w:val="24"/>
        </w:rPr>
        <w:t>适应性维护</w:t>
      </w:r>
    </w:p>
    <w:p>
      <w:pPr>
        <w:snapToGrid w:val="0"/>
        <w:spacing w:line="360" w:lineRule="auto"/>
        <w:ind w:firstLine="480" w:firstLineChars="200"/>
        <w:jc w:val="left"/>
        <w:rPr>
          <w:rFonts w:ascii="宋体" w:hAnsi="宋体"/>
          <w:color w:val="auto"/>
          <w:szCs w:val="28"/>
        </w:rPr>
      </w:pPr>
      <w:r>
        <w:rPr>
          <w:rFonts w:hint="eastAsia" w:ascii="宋体" w:hAnsi="宋体"/>
          <w:color w:val="auto"/>
          <w:szCs w:val="28"/>
        </w:rPr>
        <w:t>为适应医院操作人员的使用习惯而做出的改变或为提高操作人员工作效率进行的程序适应性修改。</w:t>
      </w:r>
    </w:p>
    <w:p>
      <w:pPr>
        <w:numPr>
          <w:ilvl w:val="0"/>
          <w:numId w:val="5"/>
        </w:numPr>
        <w:snapToGrid w:val="0"/>
        <w:spacing w:before="156" w:beforeLines="50" w:after="156" w:afterLines="50" w:line="360" w:lineRule="auto"/>
        <w:jc w:val="left"/>
        <w:rPr>
          <w:rFonts w:ascii="宋体" w:hAnsi="宋体"/>
          <w:color w:val="auto"/>
          <w:szCs w:val="24"/>
        </w:rPr>
      </w:pPr>
      <w:r>
        <w:rPr>
          <w:rFonts w:hint="eastAsia" w:ascii="宋体" w:hAnsi="宋体"/>
          <w:color w:val="auto"/>
          <w:szCs w:val="24"/>
        </w:rPr>
        <w:t>整体优化服务</w:t>
      </w:r>
    </w:p>
    <w:p>
      <w:pPr>
        <w:snapToGrid w:val="0"/>
        <w:spacing w:line="360" w:lineRule="auto"/>
        <w:ind w:firstLine="480" w:firstLineChars="200"/>
        <w:jc w:val="left"/>
        <w:rPr>
          <w:rFonts w:ascii="宋体" w:hAnsi="宋体"/>
          <w:color w:val="auto"/>
          <w:szCs w:val="28"/>
        </w:rPr>
      </w:pPr>
      <w:r>
        <w:rPr>
          <w:rFonts w:hint="eastAsia" w:ascii="宋体" w:hAnsi="宋体"/>
          <w:color w:val="auto"/>
          <w:szCs w:val="28"/>
        </w:rPr>
        <w:t>定期优化系统代码，通过</w:t>
      </w:r>
      <w:r>
        <w:rPr>
          <w:rFonts w:ascii="宋体" w:hAnsi="宋体"/>
          <w:color w:val="auto"/>
          <w:szCs w:val="28"/>
        </w:rPr>
        <w:t>算法改进等手段提升执行效率</w:t>
      </w:r>
      <w:r>
        <w:rPr>
          <w:rFonts w:hint="eastAsia" w:ascii="宋体" w:hAnsi="宋体"/>
          <w:color w:val="auto"/>
          <w:szCs w:val="28"/>
        </w:rPr>
        <w:t>；优化数据库</w:t>
      </w:r>
      <w:r>
        <w:rPr>
          <w:rFonts w:ascii="宋体" w:hAnsi="宋体"/>
          <w:color w:val="auto"/>
          <w:szCs w:val="28"/>
        </w:rPr>
        <w:t>查询、索引和表结构，减少</w:t>
      </w:r>
      <w:r>
        <w:rPr>
          <w:rFonts w:hint="eastAsia" w:ascii="宋体" w:hAnsi="宋体"/>
          <w:color w:val="auto"/>
          <w:szCs w:val="28"/>
        </w:rPr>
        <w:t>系统</w:t>
      </w:r>
      <w:r>
        <w:rPr>
          <w:rFonts w:ascii="宋体" w:hAnsi="宋体"/>
          <w:color w:val="auto"/>
          <w:szCs w:val="28"/>
        </w:rPr>
        <w:t>响应时间</w:t>
      </w:r>
      <w:r>
        <w:rPr>
          <w:rFonts w:hint="eastAsia" w:ascii="宋体" w:hAnsi="宋体"/>
          <w:color w:val="auto"/>
          <w:szCs w:val="28"/>
        </w:rPr>
        <w:t>。</w:t>
      </w:r>
    </w:p>
    <w:p>
      <w:pPr>
        <w:numPr>
          <w:ilvl w:val="0"/>
          <w:numId w:val="5"/>
        </w:numPr>
        <w:snapToGrid w:val="0"/>
        <w:spacing w:before="156" w:beforeLines="50" w:after="156" w:afterLines="50" w:line="360" w:lineRule="auto"/>
        <w:jc w:val="left"/>
        <w:rPr>
          <w:rFonts w:ascii="宋体" w:hAnsi="宋体"/>
          <w:color w:val="auto"/>
          <w:szCs w:val="24"/>
        </w:rPr>
      </w:pPr>
      <w:r>
        <w:rPr>
          <w:rFonts w:hint="eastAsia" w:ascii="宋体" w:hAnsi="宋体"/>
          <w:color w:val="auto"/>
          <w:szCs w:val="24"/>
        </w:rPr>
        <w:t>事故分析服务</w:t>
      </w:r>
    </w:p>
    <w:p>
      <w:pPr>
        <w:snapToGrid w:val="0"/>
        <w:spacing w:line="360" w:lineRule="auto"/>
        <w:ind w:firstLine="480" w:firstLineChars="200"/>
        <w:jc w:val="left"/>
        <w:rPr>
          <w:rFonts w:hint="eastAsia" w:ascii="宋体" w:hAnsi="宋体"/>
          <w:color w:val="auto"/>
          <w:szCs w:val="28"/>
        </w:rPr>
      </w:pPr>
      <w:r>
        <w:rPr>
          <w:rFonts w:hint="eastAsia" w:ascii="宋体" w:hAnsi="宋体"/>
          <w:color w:val="auto"/>
          <w:szCs w:val="28"/>
        </w:rPr>
        <w:t>系统发生故障后，由运维单位立即进行问题评估，组织相关人员依照职责分工，各自负责不同的职责以确保应急工作的有序进行，运维团队定期对预案进行评估，总结经验教训，针对存在的问题进行优化和改进，确保在紧急情况下能够快速、有效地应对突发故障和事件，提高应急响应能力及时解决问题，故障和事件解决后，形成相关的运维记录。</w:t>
      </w:r>
    </w:p>
    <w:p>
      <w:pPr>
        <w:pStyle w:val="2"/>
        <w:rPr>
          <w:rFonts w:hint="eastAsia"/>
          <w:lang w:val="en-US" w:eastAsia="zh-CN"/>
        </w:rPr>
      </w:pPr>
      <w:r>
        <w:rPr>
          <w:rFonts w:hint="eastAsia"/>
          <w:lang w:val="en-US" w:eastAsia="zh-CN"/>
        </w:rPr>
        <w:t>演示响应</w:t>
      </w:r>
    </w:p>
    <w:p>
      <w:pPr>
        <w:snapToGrid w:val="0"/>
        <w:spacing w:line="360" w:lineRule="auto"/>
        <w:ind w:firstLine="480" w:firstLineChars="200"/>
        <w:jc w:val="left"/>
        <w:rPr>
          <w:rFonts w:hint="eastAsia" w:ascii="宋体" w:hAnsi="宋体"/>
          <w:szCs w:val="28"/>
        </w:rPr>
      </w:pPr>
      <w:r>
        <w:rPr>
          <w:rFonts w:hint="eastAsia" w:ascii="宋体" w:hAnsi="宋体"/>
          <w:szCs w:val="28"/>
        </w:rPr>
        <w:t>本项目软件产品要求中标人在合同签订前，根据采购</w:t>
      </w:r>
      <w:r>
        <w:rPr>
          <w:rFonts w:hint="eastAsia" w:ascii="宋体" w:hAnsi="宋体"/>
          <w:szCs w:val="28"/>
          <w:lang w:val="en-US" w:eastAsia="zh-CN"/>
        </w:rPr>
        <w:t>单位需求</w:t>
      </w:r>
      <w:r>
        <w:rPr>
          <w:rFonts w:hint="eastAsia" w:ascii="宋体" w:hAnsi="宋体"/>
          <w:szCs w:val="28"/>
        </w:rPr>
        <w:t>完成对医保智能监控系统及飞捡服务进行产品功能演示，并对投标文件中以上内容的相关功能截图真实性进行核验；若产品功能演示不满足，或功能截图真实性核验不通过，将被视为虚假应标，采购人将如实上报财政部门处理。</w:t>
      </w:r>
    </w:p>
    <w:p>
      <w:pPr>
        <w:snapToGrid w:val="0"/>
        <w:spacing w:line="360" w:lineRule="auto"/>
        <w:ind w:firstLine="480" w:firstLineChars="200"/>
        <w:jc w:val="left"/>
        <w:rPr>
          <w:rFonts w:hint="eastAsia" w:ascii="宋体" w:hAnsi="宋体"/>
          <w:color w:val="auto"/>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B5101"/>
    <w:multiLevelType w:val="multilevel"/>
    <w:tmpl w:val="18DB5101"/>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233C6130"/>
    <w:multiLevelType w:val="multilevel"/>
    <w:tmpl w:val="233C613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340124C"/>
    <w:multiLevelType w:val="multilevel"/>
    <w:tmpl w:val="2340124C"/>
    <w:lvl w:ilvl="0" w:tentative="0">
      <w:start w:val="1"/>
      <w:numFmt w:val="decimal"/>
      <w:suff w:val="space"/>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03E4A5F"/>
    <w:multiLevelType w:val="multilevel"/>
    <w:tmpl w:val="703E4A5F"/>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lvlText w:val="%1.%2"/>
      <w:lvlJc w:val="left"/>
      <w:pPr>
        <w:ind w:left="0" w:firstLine="0"/>
      </w:pPr>
      <w:rPr>
        <w:rFonts w:hint="eastAsia"/>
      </w:rPr>
    </w:lvl>
    <w:lvl w:ilvl="2" w:tentative="0">
      <w:start w:val="1"/>
      <w:numFmt w:val="decimal"/>
      <w:pStyle w:val="4"/>
      <w:isLgl/>
      <w:lvlText w:val="%1.%2.%3"/>
      <w:lvlJc w:val="left"/>
      <w:pPr>
        <w:ind w:left="0" w:firstLine="0"/>
      </w:pPr>
      <w:rPr>
        <w:rFonts w:hint="eastAsia"/>
      </w:rPr>
    </w:lvl>
    <w:lvl w:ilvl="3" w:tentative="0">
      <w:start w:val="1"/>
      <w:numFmt w:val="decimal"/>
      <w:pStyle w:val="5"/>
      <w:isLgl/>
      <w:lvlText w:val="%1.%2.%3.%4"/>
      <w:lvlJc w:val="left"/>
      <w:pPr>
        <w:ind w:left="0" w:firstLine="0"/>
      </w:pPr>
      <w:rPr>
        <w:rFonts w:hint="eastAsia"/>
      </w:rPr>
    </w:lvl>
    <w:lvl w:ilvl="4" w:tentative="0">
      <w:start w:val="1"/>
      <w:numFmt w:val="decimal"/>
      <w:pStyle w:val="6"/>
      <w:isLgl/>
      <w:lvlText w:val="%1.%2.%3.%4.%5"/>
      <w:lvlJc w:val="left"/>
      <w:pPr>
        <w:ind w:left="0" w:firstLine="0"/>
      </w:pPr>
      <w:rPr>
        <w:rFonts w:hint="eastAsia"/>
      </w:rPr>
    </w:lvl>
    <w:lvl w:ilvl="5" w:tentative="0">
      <w:start w:val="1"/>
      <w:numFmt w:val="decimal"/>
      <w:pStyle w:val="7"/>
      <w:isLgl/>
      <w:lvlText w:val="%1.%2.%3.%4.%5.%6"/>
      <w:lvlJc w:val="left"/>
      <w:pPr>
        <w:ind w:left="0" w:firstLine="0"/>
      </w:pPr>
      <w:rPr>
        <w:rFonts w:hint="eastAsia"/>
      </w:rPr>
    </w:lvl>
    <w:lvl w:ilvl="6" w:tentative="0">
      <w:start w:val="1"/>
      <w:numFmt w:val="decimal"/>
      <w:pStyle w:val="8"/>
      <w:isLgl/>
      <w:lvlText w:val="%1.%2.%3.%4.%5.%6.%7"/>
      <w:lvlJc w:val="left"/>
      <w:pPr>
        <w:ind w:left="0" w:firstLine="0"/>
      </w:pPr>
      <w:rPr>
        <w:rFonts w:hint="eastAsia"/>
      </w:rPr>
    </w:lvl>
    <w:lvl w:ilvl="7" w:tentative="0">
      <w:start w:val="1"/>
      <w:numFmt w:val="decimal"/>
      <w:pStyle w:val="9"/>
      <w:isLgl/>
      <w:lvlText w:val="%1.%2.%3.%4.%5.%6.%7.%8"/>
      <w:lvlJc w:val="left"/>
      <w:pPr>
        <w:ind w:left="0" w:firstLine="0"/>
      </w:pPr>
      <w:rPr>
        <w:rFonts w:hint="eastAsia"/>
      </w:rPr>
    </w:lvl>
    <w:lvl w:ilvl="8" w:tentative="0">
      <w:start w:val="1"/>
      <w:numFmt w:val="decimal"/>
      <w:pStyle w:val="10"/>
      <w:isLgl/>
      <w:lvlText w:val="%1.%2.%3.%4.%5.%6.%7.%8.%9"/>
      <w:lvlJc w:val="left"/>
      <w:pPr>
        <w:ind w:left="0" w:firstLine="0"/>
      </w:pPr>
      <w:rPr>
        <w:rFonts w:hint="eastAsia"/>
      </w:rPr>
    </w:lvl>
  </w:abstractNum>
  <w:abstractNum w:abstractNumId="4">
    <w:nsid w:val="75F16F75"/>
    <w:multiLevelType w:val="multilevel"/>
    <w:tmpl w:val="75F16F75"/>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75"/>
    <w:rsid w:val="00004AA2"/>
    <w:rsid w:val="00017EEF"/>
    <w:rsid w:val="00020521"/>
    <w:rsid w:val="000206F9"/>
    <w:rsid w:val="00025119"/>
    <w:rsid w:val="0003041A"/>
    <w:rsid w:val="00031E45"/>
    <w:rsid w:val="00033D2C"/>
    <w:rsid w:val="0003469E"/>
    <w:rsid w:val="00043454"/>
    <w:rsid w:val="00044ABE"/>
    <w:rsid w:val="00051F40"/>
    <w:rsid w:val="00056E8B"/>
    <w:rsid w:val="00066A31"/>
    <w:rsid w:val="00074237"/>
    <w:rsid w:val="00083582"/>
    <w:rsid w:val="00092F51"/>
    <w:rsid w:val="000A3006"/>
    <w:rsid w:val="000C03D4"/>
    <w:rsid w:val="000C34D6"/>
    <w:rsid w:val="000D1CF5"/>
    <w:rsid w:val="000F65CC"/>
    <w:rsid w:val="001016DE"/>
    <w:rsid w:val="00105A8D"/>
    <w:rsid w:val="00110927"/>
    <w:rsid w:val="00113FD9"/>
    <w:rsid w:val="00123355"/>
    <w:rsid w:val="00143E73"/>
    <w:rsid w:val="00164D15"/>
    <w:rsid w:val="00165340"/>
    <w:rsid w:val="00166906"/>
    <w:rsid w:val="001A2B4E"/>
    <w:rsid w:val="001B24AF"/>
    <w:rsid w:val="001B310D"/>
    <w:rsid w:val="001B6B19"/>
    <w:rsid w:val="001C4961"/>
    <w:rsid w:val="001C4B64"/>
    <w:rsid w:val="001C75EF"/>
    <w:rsid w:val="001D36D0"/>
    <w:rsid w:val="001E739B"/>
    <w:rsid w:val="001F0C9E"/>
    <w:rsid w:val="00214BF7"/>
    <w:rsid w:val="00217C21"/>
    <w:rsid w:val="002307BC"/>
    <w:rsid w:val="002357C9"/>
    <w:rsid w:val="00237190"/>
    <w:rsid w:val="00237E0D"/>
    <w:rsid w:val="00272F05"/>
    <w:rsid w:val="002817F5"/>
    <w:rsid w:val="00285FD9"/>
    <w:rsid w:val="002B2A69"/>
    <w:rsid w:val="002D2A85"/>
    <w:rsid w:val="002D4A33"/>
    <w:rsid w:val="002D4BDF"/>
    <w:rsid w:val="002D5149"/>
    <w:rsid w:val="00303238"/>
    <w:rsid w:val="00303978"/>
    <w:rsid w:val="0030518B"/>
    <w:rsid w:val="003145C2"/>
    <w:rsid w:val="00361E1C"/>
    <w:rsid w:val="00362520"/>
    <w:rsid w:val="00392DDC"/>
    <w:rsid w:val="003A77BA"/>
    <w:rsid w:val="003C1576"/>
    <w:rsid w:val="003F6BF8"/>
    <w:rsid w:val="00402386"/>
    <w:rsid w:val="004122DD"/>
    <w:rsid w:val="00412527"/>
    <w:rsid w:val="00440810"/>
    <w:rsid w:val="00443769"/>
    <w:rsid w:val="00455B8C"/>
    <w:rsid w:val="00457DE8"/>
    <w:rsid w:val="00491E73"/>
    <w:rsid w:val="00496581"/>
    <w:rsid w:val="004C0BEE"/>
    <w:rsid w:val="004F2DD8"/>
    <w:rsid w:val="005002F6"/>
    <w:rsid w:val="0050030C"/>
    <w:rsid w:val="005020C5"/>
    <w:rsid w:val="0050426D"/>
    <w:rsid w:val="005125A9"/>
    <w:rsid w:val="005334C9"/>
    <w:rsid w:val="0054618B"/>
    <w:rsid w:val="005470F2"/>
    <w:rsid w:val="00566ACF"/>
    <w:rsid w:val="0056718B"/>
    <w:rsid w:val="005674C6"/>
    <w:rsid w:val="0057321B"/>
    <w:rsid w:val="00582A21"/>
    <w:rsid w:val="00585E1C"/>
    <w:rsid w:val="00591075"/>
    <w:rsid w:val="00596BDA"/>
    <w:rsid w:val="005A6CB8"/>
    <w:rsid w:val="005B4B49"/>
    <w:rsid w:val="005B4DB9"/>
    <w:rsid w:val="005C7389"/>
    <w:rsid w:val="005D3DE0"/>
    <w:rsid w:val="005E2A62"/>
    <w:rsid w:val="005E4621"/>
    <w:rsid w:val="00621CDF"/>
    <w:rsid w:val="006310B9"/>
    <w:rsid w:val="00632541"/>
    <w:rsid w:val="00650D18"/>
    <w:rsid w:val="00694A2A"/>
    <w:rsid w:val="006D7B66"/>
    <w:rsid w:val="006F227D"/>
    <w:rsid w:val="006F38A5"/>
    <w:rsid w:val="0070425A"/>
    <w:rsid w:val="0070639D"/>
    <w:rsid w:val="00727C92"/>
    <w:rsid w:val="00754F51"/>
    <w:rsid w:val="0078668B"/>
    <w:rsid w:val="0079281B"/>
    <w:rsid w:val="007969FE"/>
    <w:rsid w:val="007B46F2"/>
    <w:rsid w:val="007B599A"/>
    <w:rsid w:val="007B62D1"/>
    <w:rsid w:val="007B7264"/>
    <w:rsid w:val="007C26CB"/>
    <w:rsid w:val="007E4AD9"/>
    <w:rsid w:val="007F250B"/>
    <w:rsid w:val="007F6D48"/>
    <w:rsid w:val="00800B80"/>
    <w:rsid w:val="00807663"/>
    <w:rsid w:val="00815776"/>
    <w:rsid w:val="00863737"/>
    <w:rsid w:val="00872BB0"/>
    <w:rsid w:val="00877D39"/>
    <w:rsid w:val="008C5216"/>
    <w:rsid w:val="008D2FD9"/>
    <w:rsid w:val="008E31D6"/>
    <w:rsid w:val="009056C5"/>
    <w:rsid w:val="00916C36"/>
    <w:rsid w:val="009308E9"/>
    <w:rsid w:val="00932C48"/>
    <w:rsid w:val="00962DE2"/>
    <w:rsid w:val="00976575"/>
    <w:rsid w:val="00995F9F"/>
    <w:rsid w:val="009A07AE"/>
    <w:rsid w:val="009B11FE"/>
    <w:rsid w:val="009B69C7"/>
    <w:rsid w:val="009C0F8A"/>
    <w:rsid w:val="009C6E2A"/>
    <w:rsid w:val="009E5720"/>
    <w:rsid w:val="00A01E41"/>
    <w:rsid w:val="00A102BE"/>
    <w:rsid w:val="00A23EE3"/>
    <w:rsid w:val="00A31347"/>
    <w:rsid w:val="00A363D4"/>
    <w:rsid w:val="00A46870"/>
    <w:rsid w:val="00A47782"/>
    <w:rsid w:val="00A90E1C"/>
    <w:rsid w:val="00A91DA0"/>
    <w:rsid w:val="00AA2409"/>
    <w:rsid w:val="00AA4278"/>
    <w:rsid w:val="00AB1723"/>
    <w:rsid w:val="00AB43EB"/>
    <w:rsid w:val="00AC518F"/>
    <w:rsid w:val="00AC5668"/>
    <w:rsid w:val="00AD3347"/>
    <w:rsid w:val="00AD446E"/>
    <w:rsid w:val="00B02332"/>
    <w:rsid w:val="00B13B12"/>
    <w:rsid w:val="00B157B7"/>
    <w:rsid w:val="00B31FA4"/>
    <w:rsid w:val="00B72AE3"/>
    <w:rsid w:val="00B8109E"/>
    <w:rsid w:val="00B93285"/>
    <w:rsid w:val="00BA74B0"/>
    <w:rsid w:val="00BA79B9"/>
    <w:rsid w:val="00BB00DC"/>
    <w:rsid w:val="00BB7505"/>
    <w:rsid w:val="00C12EC6"/>
    <w:rsid w:val="00C4590D"/>
    <w:rsid w:val="00C55BCB"/>
    <w:rsid w:val="00C60B15"/>
    <w:rsid w:val="00C61FA1"/>
    <w:rsid w:val="00C641E0"/>
    <w:rsid w:val="00C657B1"/>
    <w:rsid w:val="00C719EC"/>
    <w:rsid w:val="00C86D2F"/>
    <w:rsid w:val="00C9044A"/>
    <w:rsid w:val="00C95428"/>
    <w:rsid w:val="00CA225A"/>
    <w:rsid w:val="00CA44D9"/>
    <w:rsid w:val="00CB683C"/>
    <w:rsid w:val="00CC52C8"/>
    <w:rsid w:val="00CC546A"/>
    <w:rsid w:val="00CD5D06"/>
    <w:rsid w:val="00CE30A6"/>
    <w:rsid w:val="00CE3663"/>
    <w:rsid w:val="00CE7922"/>
    <w:rsid w:val="00D05B6C"/>
    <w:rsid w:val="00D07838"/>
    <w:rsid w:val="00D157D3"/>
    <w:rsid w:val="00D25513"/>
    <w:rsid w:val="00D27FDA"/>
    <w:rsid w:val="00D31495"/>
    <w:rsid w:val="00D543D1"/>
    <w:rsid w:val="00D912E8"/>
    <w:rsid w:val="00D97C49"/>
    <w:rsid w:val="00DC2E59"/>
    <w:rsid w:val="00DC3893"/>
    <w:rsid w:val="00DC7492"/>
    <w:rsid w:val="00DD19B6"/>
    <w:rsid w:val="00DF0E15"/>
    <w:rsid w:val="00E001C4"/>
    <w:rsid w:val="00E12B1D"/>
    <w:rsid w:val="00E2140C"/>
    <w:rsid w:val="00E219E1"/>
    <w:rsid w:val="00E35E15"/>
    <w:rsid w:val="00E52C6B"/>
    <w:rsid w:val="00E7335B"/>
    <w:rsid w:val="00E80862"/>
    <w:rsid w:val="00EA23DF"/>
    <w:rsid w:val="00EB2373"/>
    <w:rsid w:val="00EB64AD"/>
    <w:rsid w:val="00EC6E87"/>
    <w:rsid w:val="00EE5452"/>
    <w:rsid w:val="00EF02C6"/>
    <w:rsid w:val="00EF3FF9"/>
    <w:rsid w:val="00F05860"/>
    <w:rsid w:val="00F06384"/>
    <w:rsid w:val="00F1706E"/>
    <w:rsid w:val="00F2768E"/>
    <w:rsid w:val="00F530F5"/>
    <w:rsid w:val="00F57092"/>
    <w:rsid w:val="00F574CB"/>
    <w:rsid w:val="00F65DF8"/>
    <w:rsid w:val="00F66D71"/>
    <w:rsid w:val="00F814F6"/>
    <w:rsid w:val="00F8497F"/>
    <w:rsid w:val="00F859E5"/>
    <w:rsid w:val="00FC0DF2"/>
    <w:rsid w:val="00FD0090"/>
    <w:rsid w:val="00FE32BA"/>
    <w:rsid w:val="00FF0235"/>
    <w:rsid w:val="00FF1E0C"/>
    <w:rsid w:val="045769A1"/>
    <w:rsid w:val="08FA320E"/>
    <w:rsid w:val="093A5E99"/>
    <w:rsid w:val="19077F78"/>
    <w:rsid w:val="1FD61237"/>
    <w:rsid w:val="263A3754"/>
    <w:rsid w:val="2CEA709A"/>
    <w:rsid w:val="34214E2A"/>
    <w:rsid w:val="37E008FA"/>
    <w:rsid w:val="3E43619D"/>
    <w:rsid w:val="3F4A5777"/>
    <w:rsid w:val="47DB229C"/>
    <w:rsid w:val="4FEB5749"/>
    <w:rsid w:val="51CC6A07"/>
    <w:rsid w:val="5A241FB7"/>
    <w:rsid w:val="5DE02506"/>
    <w:rsid w:val="62BE2F1F"/>
    <w:rsid w:val="687832BB"/>
    <w:rsid w:val="68C611B6"/>
    <w:rsid w:val="69C36608"/>
    <w:rsid w:val="770C63B0"/>
    <w:rsid w:val="7773634A"/>
    <w:rsid w:val="78911338"/>
    <w:rsid w:val="7D1C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0"/>
    <w:qFormat/>
    <w:uiPriority w:val="9"/>
    <w:pPr>
      <w:widowControl/>
      <w:numPr>
        <w:ilvl w:val="0"/>
        <w:numId w:val="1"/>
      </w:numPr>
      <w:wordWrap w:val="0"/>
      <w:spacing w:line="480" w:lineRule="auto"/>
      <w:jc w:val="left"/>
      <w:outlineLvl w:val="0"/>
    </w:pPr>
    <w:rPr>
      <w:rFonts w:ascii="仿宋" w:hAnsi="仿宋" w:eastAsia="仿宋"/>
      <w:b/>
      <w:bCs/>
      <w:kern w:val="44"/>
      <w:sz w:val="28"/>
      <w:szCs w:val="44"/>
    </w:rPr>
  </w:style>
  <w:style w:type="paragraph" w:styleId="3">
    <w:name w:val="heading 2"/>
    <w:basedOn w:val="1"/>
    <w:next w:val="1"/>
    <w:link w:val="21"/>
    <w:unhideWhenUsed/>
    <w:qFormat/>
    <w:uiPriority w:val="9"/>
    <w:pPr>
      <w:widowControl/>
      <w:numPr>
        <w:ilvl w:val="1"/>
        <w:numId w:val="1"/>
      </w:numPr>
      <w:wordWrap w:val="0"/>
      <w:spacing w:line="480" w:lineRule="auto"/>
      <w:jc w:val="left"/>
      <w:outlineLvl w:val="1"/>
    </w:pPr>
    <w:rPr>
      <w:rFonts w:ascii="仿宋" w:hAnsi="仿宋" w:eastAsia="仿宋" w:cstheme="majorBidi"/>
      <w:b/>
      <w:bCs/>
      <w:szCs w:val="32"/>
    </w:rPr>
  </w:style>
  <w:style w:type="paragraph" w:styleId="4">
    <w:name w:val="heading 3"/>
    <w:basedOn w:val="1"/>
    <w:next w:val="1"/>
    <w:link w:val="22"/>
    <w:unhideWhenUsed/>
    <w:qFormat/>
    <w:uiPriority w:val="9"/>
    <w:pPr>
      <w:widowControl/>
      <w:numPr>
        <w:ilvl w:val="2"/>
        <w:numId w:val="1"/>
      </w:numPr>
      <w:wordWrap w:val="0"/>
      <w:spacing w:line="480" w:lineRule="auto"/>
      <w:jc w:val="left"/>
      <w:outlineLvl w:val="2"/>
    </w:pPr>
    <w:rPr>
      <w:rFonts w:ascii="仿宋" w:hAnsi="仿宋" w:eastAsia="仿宋"/>
      <w:b/>
      <w:bCs/>
      <w:sz w:val="30"/>
      <w:szCs w:val="32"/>
    </w:rPr>
  </w:style>
  <w:style w:type="paragraph" w:styleId="5">
    <w:name w:val="heading 4"/>
    <w:basedOn w:val="1"/>
    <w:next w:val="1"/>
    <w:link w:val="23"/>
    <w:unhideWhenUsed/>
    <w:qFormat/>
    <w:uiPriority w:val="9"/>
    <w:pPr>
      <w:widowControl/>
      <w:numPr>
        <w:ilvl w:val="3"/>
        <w:numId w:val="1"/>
      </w:numPr>
      <w:wordWrap w:val="0"/>
      <w:spacing w:line="480" w:lineRule="auto"/>
      <w:jc w:val="left"/>
      <w:outlineLvl w:val="3"/>
    </w:pPr>
    <w:rPr>
      <w:rFonts w:ascii="仿宋" w:hAnsi="仿宋" w:eastAsia="仿宋" w:cstheme="majorBidi"/>
      <w:b/>
      <w:bCs/>
      <w:szCs w:val="28"/>
    </w:rPr>
  </w:style>
  <w:style w:type="paragraph" w:styleId="6">
    <w:name w:val="heading 5"/>
    <w:basedOn w:val="1"/>
    <w:next w:val="1"/>
    <w:link w:val="24"/>
    <w:unhideWhenUsed/>
    <w:qFormat/>
    <w:uiPriority w:val="9"/>
    <w:pPr>
      <w:widowControl/>
      <w:numPr>
        <w:ilvl w:val="4"/>
        <w:numId w:val="1"/>
      </w:numPr>
      <w:wordWrap w:val="0"/>
      <w:spacing w:line="480" w:lineRule="auto"/>
      <w:jc w:val="left"/>
      <w:outlineLvl w:val="4"/>
    </w:pPr>
    <w:rPr>
      <w:rFonts w:ascii="仿宋" w:hAnsi="仿宋" w:eastAsia="仿宋"/>
      <w:b/>
      <w:bCs/>
      <w:szCs w:val="28"/>
    </w:rPr>
  </w:style>
  <w:style w:type="paragraph" w:styleId="7">
    <w:name w:val="heading 6"/>
    <w:basedOn w:val="1"/>
    <w:next w:val="1"/>
    <w:link w:val="25"/>
    <w:unhideWhenUsed/>
    <w:qFormat/>
    <w:uiPriority w:val="9"/>
    <w:pPr>
      <w:widowControl/>
      <w:numPr>
        <w:ilvl w:val="5"/>
        <w:numId w:val="1"/>
      </w:numPr>
      <w:wordWrap w:val="0"/>
      <w:spacing w:line="480" w:lineRule="auto"/>
      <w:jc w:val="left"/>
      <w:outlineLvl w:val="5"/>
    </w:pPr>
    <w:rPr>
      <w:rFonts w:ascii="仿宋" w:hAnsi="仿宋" w:eastAsia="仿宋" w:cstheme="majorBidi"/>
      <w:b/>
      <w:bCs/>
      <w:szCs w:val="24"/>
    </w:rPr>
  </w:style>
  <w:style w:type="paragraph" w:styleId="8">
    <w:name w:val="heading 7"/>
    <w:basedOn w:val="1"/>
    <w:next w:val="1"/>
    <w:link w:val="26"/>
    <w:unhideWhenUsed/>
    <w:qFormat/>
    <w:uiPriority w:val="9"/>
    <w:pPr>
      <w:widowControl/>
      <w:numPr>
        <w:ilvl w:val="6"/>
        <w:numId w:val="1"/>
      </w:numPr>
      <w:wordWrap w:val="0"/>
      <w:spacing w:line="480" w:lineRule="auto"/>
      <w:jc w:val="left"/>
      <w:outlineLvl w:val="6"/>
    </w:pPr>
    <w:rPr>
      <w:rFonts w:ascii="仿宋" w:hAnsi="仿宋" w:eastAsia="仿宋"/>
      <w:b/>
      <w:bCs/>
      <w:szCs w:val="24"/>
    </w:rPr>
  </w:style>
  <w:style w:type="paragraph" w:styleId="9">
    <w:name w:val="heading 8"/>
    <w:basedOn w:val="1"/>
    <w:next w:val="1"/>
    <w:link w:val="27"/>
    <w:unhideWhenUsed/>
    <w:qFormat/>
    <w:uiPriority w:val="9"/>
    <w:pPr>
      <w:widowControl/>
      <w:numPr>
        <w:ilvl w:val="7"/>
        <w:numId w:val="1"/>
      </w:numPr>
      <w:wordWrap w:val="0"/>
      <w:spacing w:line="480" w:lineRule="auto"/>
      <w:jc w:val="left"/>
      <w:outlineLvl w:val="7"/>
    </w:pPr>
    <w:rPr>
      <w:rFonts w:ascii="仿宋" w:hAnsi="仿宋" w:eastAsia="仿宋" w:cstheme="majorBidi"/>
      <w:b/>
      <w:szCs w:val="24"/>
    </w:rPr>
  </w:style>
  <w:style w:type="paragraph" w:styleId="10">
    <w:name w:val="heading 9"/>
    <w:basedOn w:val="1"/>
    <w:next w:val="1"/>
    <w:link w:val="28"/>
    <w:unhideWhenUsed/>
    <w:qFormat/>
    <w:uiPriority w:val="9"/>
    <w:pPr>
      <w:widowControl/>
      <w:numPr>
        <w:ilvl w:val="8"/>
        <w:numId w:val="1"/>
      </w:numPr>
      <w:wordWrap w:val="0"/>
      <w:spacing w:line="480" w:lineRule="auto"/>
      <w:jc w:val="left"/>
      <w:outlineLvl w:val="8"/>
    </w:pPr>
    <w:rPr>
      <w:rFonts w:ascii="仿宋" w:hAnsi="仿宋" w:eastAsia="仿宋" w:cstheme="majorBidi"/>
      <w:b/>
      <w:szCs w:val="21"/>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semiHidden/>
    <w:unhideWhenUsed/>
    <w:qFormat/>
    <w:uiPriority w:val="99"/>
    <w:pPr>
      <w:jc w:val="left"/>
    </w:p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tabs>
        <w:tab w:val="center" w:pos="4153"/>
        <w:tab w:val="right" w:pos="8306"/>
      </w:tabs>
      <w:snapToGrid w:val="0"/>
      <w:jc w:val="center"/>
    </w:pPr>
    <w:rPr>
      <w:sz w:val="18"/>
      <w:szCs w:val="18"/>
    </w:rPr>
  </w:style>
  <w:style w:type="paragraph" w:styleId="14">
    <w:name w:val="annotation subject"/>
    <w:basedOn w:val="11"/>
    <w:next w:val="11"/>
    <w:link w:val="33"/>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标题 1 字符"/>
    <w:basedOn w:val="17"/>
    <w:link w:val="2"/>
    <w:qFormat/>
    <w:uiPriority w:val="9"/>
    <w:rPr>
      <w:rFonts w:ascii="仿宋" w:hAnsi="仿宋" w:eastAsia="仿宋"/>
      <w:b/>
      <w:bCs/>
      <w:kern w:val="44"/>
      <w:sz w:val="28"/>
      <w:szCs w:val="44"/>
    </w:rPr>
  </w:style>
  <w:style w:type="character" w:customStyle="1" w:styleId="21">
    <w:name w:val="标题 2 字符"/>
    <w:basedOn w:val="17"/>
    <w:link w:val="3"/>
    <w:qFormat/>
    <w:uiPriority w:val="9"/>
    <w:rPr>
      <w:rFonts w:ascii="仿宋" w:hAnsi="仿宋" w:eastAsia="仿宋" w:cstheme="majorBidi"/>
      <w:b/>
      <w:bCs/>
      <w:sz w:val="24"/>
      <w:szCs w:val="32"/>
    </w:rPr>
  </w:style>
  <w:style w:type="character" w:customStyle="1" w:styleId="22">
    <w:name w:val="标题 3 字符"/>
    <w:basedOn w:val="17"/>
    <w:link w:val="4"/>
    <w:qFormat/>
    <w:uiPriority w:val="9"/>
    <w:rPr>
      <w:rFonts w:ascii="仿宋" w:hAnsi="仿宋" w:eastAsia="仿宋"/>
      <w:b/>
      <w:bCs/>
      <w:sz w:val="30"/>
      <w:szCs w:val="32"/>
    </w:rPr>
  </w:style>
  <w:style w:type="character" w:customStyle="1" w:styleId="23">
    <w:name w:val="标题 4 字符"/>
    <w:basedOn w:val="17"/>
    <w:link w:val="5"/>
    <w:qFormat/>
    <w:uiPriority w:val="9"/>
    <w:rPr>
      <w:rFonts w:ascii="仿宋" w:hAnsi="仿宋" w:eastAsia="仿宋" w:cstheme="majorBidi"/>
      <w:b/>
      <w:bCs/>
      <w:sz w:val="24"/>
      <w:szCs w:val="28"/>
    </w:rPr>
  </w:style>
  <w:style w:type="character" w:customStyle="1" w:styleId="24">
    <w:name w:val="标题 5 字符"/>
    <w:basedOn w:val="17"/>
    <w:link w:val="6"/>
    <w:qFormat/>
    <w:uiPriority w:val="9"/>
    <w:rPr>
      <w:rFonts w:ascii="仿宋" w:hAnsi="仿宋" w:eastAsia="仿宋"/>
      <w:b/>
      <w:bCs/>
      <w:sz w:val="24"/>
      <w:szCs w:val="28"/>
    </w:rPr>
  </w:style>
  <w:style w:type="character" w:customStyle="1" w:styleId="25">
    <w:name w:val="标题 6 字符"/>
    <w:basedOn w:val="17"/>
    <w:link w:val="7"/>
    <w:qFormat/>
    <w:uiPriority w:val="9"/>
    <w:rPr>
      <w:rFonts w:ascii="仿宋" w:hAnsi="仿宋" w:eastAsia="仿宋" w:cstheme="majorBidi"/>
      <w:b/>
      <w:bCs/>
      <w:sz w:val="24"/>
      <w:szCs w:val="24"/>
    </w:rPr>
  </w:style>
  <w:style w:type="character" w:customStyle="1" w:styleId="26">
    <w:name w:val="标题 7 字符"/>
    <w:basedOn w:val="17"/>
    <w:link w:val="8"/>
    <w:qFormat/>
    <w:uiPriority w:val="9"/>
    <w:rPr>
      <w:rFonts w:ascii="仿宋" w:hAnsi="仿宋" w:eastAsia="仿宋"/>
      <w:b/>
      <w:bCs/>
      <w:sz w:val="24"/>
      <w:szCs w:val="24"/>
    </w:rPr>
  </w:style>
  <w:style w:type="character" w:customStyle="1" w:styleId="27">
    <w:name w:val="标题 8 字符"/>
    <w:basedOn w:val="17"/>
    <w:link w:val="9"/>
    <w:qFormat/>
    <w:uiPriority w:val="9"/>
    <w:rPr>
      <w:rFonts w:ascii="仿宋" w:hAnsi="仿宋" w:eastAsia="仿宋" w:cstheme="majorBidi"/>
      <w:b/>
      <w:sz w:val="24"/>
      <w:szCs w:val="24"/>
    </w:rPr>
  </w:style>
  <w:style w:type="character" w:customStyle="1" w:styleId="28">
    <w:name w:val="标题 9 字符"/>
    <w:basedOn w:val="17"/>
    <w:link w:val="10"/>
    <w:qFormat/>
    <w:uiPriority w:val="9"/>
    <w:rPr>
      <w:rFonts w:ascii="仿宋" w:hAnsi="仿宋" w:eastAsia="仿宋" w:cstheme="majorBidi"/>
      <w:b/>
      <w:sz w:val="24"/>
      <w:szCs w:val="21"/>
    </w:rPr>
  </w:style>
  <w:style w:type="character" w:customStyle="1" w:styleId="29">
    <w:name w:val="批注文字 字符"/>
    <w:basedOn w:val="17"/>
    <w:link w:val="11"/>
    <w:semiHidden/>
    <w:qFormat/>
    <w:uiPriority w:val="99"/>
    <w:rPr>
      <w:rFonts w:eastAsia="宋体"/>
      <w:sz w:val="24"/>
    </w:rPr>
  </w:style>
  <w:style w:type="paragraph" w:customStyle="1" w:styleId="30">
    <w:name w:val="表格样式"/>
    <w:basedOn w:val="1"/>
    <w:qFormat/>
    <w:uiPriority w:val="0"/>
    <w:pPr>
      <w:wordWrap w:val="0"/>
      <w:jc w:val="left"/>
    </w:pPr>
    <w:rPr>
      <w:rFonts w:ascii="仿宋" w:hAnsi="仿宋" w:eastAsiaTheme="minorEastAsia"/>
      <w:szCs w:val="21"/>
    </w:rPr>
  </w:style>
  <w:style w:type="character" w:customStyle="1" w:styleId="31">
    <w:name w:val="页眉 字符"/>
    <w:basedOn w:val="17"/>
    <w:link w:val="13"/>
    <w:qFormat/>
    <w:uiPriority w:val="99"/>
    <w:rPr>
      <w:rFonts w:eastAsia="宋体"/>
      <w:sz w:val="18"/>
      <w:szCs w:val="18"/>
    </w:rPr>
  </w:style>
  <w:style w:type="character" w:customStyle="1" w:styleId="32">
    <w:name w:val="页脚 字符"/>
    <w:basedOn w:val="17"/>
    <w:link w:val="12"/>
    <w:qFormat/>
    <w:uiPriority w:val="99"/>
    <w:rPr>
      <w:rFonts w:eastAsia="宋体"/>
      <w:sz w:val="18"/>
      <w:szCs w:val="18"/>
    </w:rPr>
  </w:style>
  <w:style w:type="character" w:customStyle="1" w:styleId="33">
    <w:name w:val="批注主题 字符"/>
    <w:basedOn w:val="29"/>
    <w:link w:val="14"/>
    <w:semiHidden/>
    <w:qFormat/>
    <w:uiPriority w:val="99"/>
    <w:rPr>
      <w:rFonts w:eastAsia="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489</Words>
  <Characters>493</Characters>
  <Lines>27</Lines>
  <Paragraphs>7</Paragraphs>
  <TotalTime>234</TotalTime>
  <ScaleCrop>false</ScaleCrop>
  <LinksUpToDate>false</LinksUpToDate>
  <CharactersWithSpaces>493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2025-02-18T10:19:00Z</dcterms:created>
  <dc:creator>Administrator</dc:creator>
  <cp:lastModifiedBy>洋葱</cp:lastModifiedBy>
  <dcterms:modified xsi:type="dcterms:W3CDTF">2025-06-18T08:39:32Z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eyJoZGlkIjoiNDU1NTYwMzA3OTAxMmM3ZGI3YWZhN2UyZGNiN2ViZTcifQ==</vt:lpwstr>
  </property>
  <property fmtid="{D5CDD505-2E9C-101B-9397-08002B2CF9AE}" pid="3" name="KSOProductBuildVer">
    <vt:lpwstr>2052-12.1.0.16729</vt:lpwstr>
  </property>
  <property fmtid="{D5CDD505-2E9C-101B-9397-08002B2CF9AE}" pid="4" name="ICV">
    <vt:lpwstr>D52A5C0550E445AEA3C16E5767EA0610_13</vt:lpwstr>
  </property>
</Properties>
</file>