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墨玉县人民医院：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我公司保证满足甲方需求并作出如下承诺：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检测项目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sz w:val="30"/>
          <w:szCs w:val="30"/>
        </w:rPr>
        <w:t>在《医疗机构执业许可证》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相关卫生行政部门批准的诊疗科目范围内。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涉及特殊项目（如产前诊断、基因测序、传染病、肿瘤相关等），提供国家或地方卫生健康部门要求的特殊审批/备案证明文件。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3、具备</w:t>
      </w:r>
      <w:r>
        <w:rPr>
          <w:rFonts w:hint="default" w:ascii="仿宋" w:hAnsi="仿宋" w:eastAsia="仿宋" w:cs="仿宋"/>
          <w:sz w:val="30"/>
          <w:szCs w:val="30"/>
        </w:rPr>
        <w:t>实验室生物安全备案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严格遵守《中华人民共和国个人信息保护法》、《中华人民共和国数据安全法》、《中华人民共和国基本医疗卫生与健康促进法》及《医疗机构病历管理规定》等法律法规。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5、具备有效</w:t>
      </w:r>
      <w:r>
        <w:rPr>
          <w:rFonts w:hint="eastAsia" w:ascii="仿宋" w:hAnsi="仿宋" w:eastAsia="仿宋" w:cs="仿宋"/>
          <w:sz w:val="30"/>
          <w:szCs w:val="30"/>
        </w:rPr>
        <w:t>的质量管理体系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体系运行有效，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</w:t>
      </w:r>
      <w:r>
        <w:rPr>
          <w:rFonts w:hint="eastAsia" w:ascii="仿宋" w:hAnsi="仿宋" w:eastAsia="仿宋" w:cs="仿宋"/>
          <w:sz w:val="30"/>
          <w:szCs w:val="30"/>
        </w:rPr>
        <w:t>持续改进。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6、具备</w:t>
      </w:r>
      <w:r>
        <w:rPr>
          <w:rFonts w:hint="eastAsia" w:ascii="仿宋" w:hAnsi="仿宋" w:eastAsia="仿宋" w:cs="仿宋"/>
          <w:sz w:val="30"/>
          <w:szCs w:val="30"/>
        </w:rPr>
        <w:t>失控处理程序和记录。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sz w:val="30"/>
          <w:szCs w:val="30"/>
        </w:rPr>
        <w:t>室间质量评价：所有项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sz w:val="30"/>
          <w:szCs w:val="30"/>
        </w:rPr>
        <w:t>定期参加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及通过</w:t>
      </w:r>
      <w:r>
        <w:rPr>
          <w:rFonts w:hint="eastAsia" w:ascii="仿宋" w:hAnsi="仿宋" w:eastAsia="仿宋" w:cs="仿宋"/>
          <w:sz w:val="30"/>
          <w:szCs w:val="30"/>
        </w:rPr>
        <w:t>国家卫生健康委临床检验中心 (NCCL) 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自治区</w:t>
      </w:r>
      <w:r>
        <w:rPr>
          <w:rFonts w:hint="eastAsia" w:ascii="仿宋" w:hAnsi="仿宋" w:eastAsia="仿宋" w:cs="仿宋"/>
          <w:sz w:val="30"/>
          <w:szCs w:val="30"/>
        </w:rPr>
        <w:t>级临床检验中心组织的室间质量评价 (EQA)/能力验证 (PT) 计划，并提供近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两年（2023-2024）</w:t>
      </w:r>
      <w:r>
        <w:rPr>
          <w:rFonts w:hint="eastAsia" w:ascii="仿宋" w:hAnsi="仿宋" w:eastAsia="仿宋" w:cs="仿宋"/>
          <w:sz w:val="30"/>
          <w:szCs w:val="30"/>
        </w:rPr>
        <w:t>的合格证明。对于暂无EQA/PT的项目，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</w:t>
      </w:r>
      <w:r>
        <w:rPr>
          <w:rFonts w:hint="eastAsia" w:ascii="仿宋" w:hAnsi="仿宋" w:eastAsia="仿宋" w:cs="仿宋"/>
          <w:sz w:val="30"/>
          <w:szCs w:val="30"/>
        </w:rPr>
        <w:t>提供替代性评估方案（如实验室间比对）及结果证明。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检测方法学与性能验证：明确告知所用检测方法的原理、仪器型号、试剂品牌及批号（或承诺使用经注册批准的试剂）。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提供关键性能指标（精密度、正确度/准确度、线性范围、分析灵敏度、分析特异性、参考区间/临床决定限、生物参考区间验证等）的验证或确认报告。方法学变更需及时通知我方并重新提供验证资料。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sz w:val="30"/>
          <w:szCs w:val="30"/>
        </w:rPr>
        <w:t>仪器设备与校准：检测设备需定期维护、保养和校准，状态良好。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sz w:val="30"/>
          <w:szCs w:val="30"/>
        </w:rPr>
        <w:t>试剂与耗材管理：建立严格的试剂/耗材验收、储存、使用管理制度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确保在有效期内使用。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sz w:val="30"/>
          <w:szCs w:val="30"/>
        </w:rPr>
        <w:t>报告格式与内容：提供标准化的电子报告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纸质报告。报告必须清晰、准确、完整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sz w:val="30"/>
          <w:szCs w:val="30"/>
        </w:rPr>
        <w:t>临界值/危急值报告：建立明确的“危急值”列表及其报告范围。制定并执行严格的“危急值”报告流程：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我方送检的样本</w:t>
      </w:r>
      <w:r>
        <w:rPr>
          <w:rFonts w:hint="eastAsia" w:ascii="仿宋" w:hAnsi="仿宋" w:eastAsia="仿宋" w:cs="仿宋"/>
          <w:sz w:val="30"/>
          <w:szCs w:val="30"/>
        </w:rPr>
        <w:t>检测到危急值后，必须立即（如电话）通知我方指定的接收人员（如检验科值班人员、临床科室），并随后发送正式报告。需提供电话通知的详细记录（时间、接听人、内容确认）。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公司名称（法人签字、盖公章）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4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TZhYTM1OWI1ZmRhODNlY2M2NzU3ZTU5ZTdiM2IifQ=="/>
  </w:docVars>
  <w:rsids>
    <w:rsidRoot w:val="2F1C6A11"/>
    <w:rsid w:val="10F372D0"/>
    <w:rsid w:val="2F1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2025-06-12T09:06:00Z</dcterms:created>
  <dc:creator>Administrator</dc:creator>
  <cp:lastModifiedBy>WPS_1698335855</cp:lastModifiedBy>
  <dcterms:modified xsi:type="dcterms:W3CDTF">2025-06-13T03:24:53Z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9F8BFAC7E691489CAEFFD5F04337C0F3_11</vt:lpwstr>
  </property>
</Properties>
</file>