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墨玉县人民医院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外送检测项目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对将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合作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检验检测机构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）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必具备的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要求与条件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必须上传材料（未上传视为资格审查不合格）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《医疗机构执业许可证》或《营业执照》</w:t>
      </w:r>
      <w:r>
        <w:rPr>
          <w:rFonts w:hint="eastAsia" w:ascii="仿宋" w:hAnsi="仿宋" w:eastAsia="仿宋" w:cs="仿宋"/>
          <w:sz w:val="30"/>
          <w:szCs w:val="30"/>
        </w:rPr>
        <w:t>，且经营范围明确包含医学检验服务。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中国合格评定国家认可委员会 (CNAS) ISO 15189《医学实验室质量和能力认可准则》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最新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认证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证书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3、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人员资质：关键岗位人员（实验室负责人、技术负责人、授权签字人、主要检测人员）需具备相应的专业背景、资格证书和岗位授权证明。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4、承诺函。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textAlignment w:val="auto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5、报价单。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textAlignment w:val="auto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二、相关要求（投标单位须满足以下要求，提供承诺函详见附件1）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仿宋"/>
          <w:sz w:val="30"/>
          <w:szCs w:val="30"/>
        </w:rPr>
        <w:t>所有外送检测项目必须在其《医疗机构执业许可证》或相关卫生行政部门批准的诊疗科目范围内。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</w:t>
      </w:r>
      <w:r>
        <w:rPr>
          <w:rFonts w:hint="eastAsia" w:ascii="仿宋" w:hAnsi="仿宋" w:eastAsia="仿宋" w:cs="仿宋"/>
          <w:sz w:val="30"/>
          <w:szCs w:val="30"/>
        </w:rPr>
        <w:t>若涉及特殊项目（如产前诊断、基因测序、传染病、肿瘤相关等），需提供国家或地方卫生健康部门要求的特殊审批/备案证明文件。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3、具备</w:t>
      </w:r>
      <w:r>
        <w:rPr>
          <w:rFonts w:hint="default" w:ascii="仿宋" w:hAnsi="仿宋" w:eastAsia="仿宋" w:cs="仿宋"/>
          <w:sz w:val="30"/>
          <w:szCs w:val="30"/>
        </w:rPr>
        <w:t>实验室生物安全备案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通过。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4、</w:t>
      </w:r>
      <w:r>
        <w:rPr>
          <w:rFonts w:hint="eastAsia" w:ascii="仿宋" w:hAnsi="仿宋" w:eastAsia="仿宋" w:cs="仿宋"/>
          <w:sz w:val="30"/>
          <w:szCs w:val="30"/>
        </w:rPr>
        <w:t>严格遵守《中华人民共和国个人信息保护法》、《中华人民共和国数据安全法》、《中华人民共和国基本医疗卫生与健康促进法》及《医疗机构病历管理规定》等法律法规。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5、具备有效</w:t>
      </w:r>
      <w:r>
        <w:rPr>
          <w:rFonts w:hint="eastAsia" w:ascii="仿宋" w:hAnsi="仿宋" w:eastAsia="仿宋" w:cs="仿宋"/>
          <w:sz w:val="30"/>
          <w:szCs w:val="30"/>
        </w:rPr>
        <w:t>的质量管理体系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体系运行有效，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要</w:t>
      </w:r>
      <w:r>
        <w:rPr>
          <w:rFonts w:hint="eastAsia" w:ascii="仿宋" w:hAnsi="仿宋" w:eastAsia="仿宋" w:cs="仿宋"/>
          <w:sz w:val="30"/>
          <w:szCs w:val="30"/>
        </w:rPr>
        <w:t>持续改进。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6、具备</w:t>
      </w:r>
      <w:r>
        <w:rPr>
          <w:rFonts w:hint="eastAsia" w:ascii="仿宋" w:hAnsi="仿宋" w:eastAsia="仿宋" w:cs="仿宋"/>
          <w:sz w:val="30"/>
          <w:szCs w:val="30"/>
        </w:rPr>
        <w:t>失控处理程序和记录。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7、</w:t>
      </w:r>
      <w:r>
        <w:rPr>
          <w:rFonts w:hint="eastAsia" w:ascii="仿宋" w:hAnsi="仿宋" w:eastAsia="仿宋" w:cs="仿宋"/>
          <w:sz w:val="30"/>
          <w:szCs w:val="30"/>
        </w:rPr>
        <w:t>室间质量评价：所有外送项目必须定期参加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及通过</w:t>
      </w:r>
      <w:r>
        <w:rPr>
          <w:rFonts w:hint="eastAsia" w:ascii="仿宋" w:hAnsi="仿宋" w:eastAsia="仿宋" w:cs="仿宋"/>
          <w:sz w:val="30"/>
          <w:szCs w:val="30"/>
        </w:rPr>
        <w:t>国家卫生健康委临床检验中心 (NCCL) 或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自治区</w:t>
      </w:r>
      <w:r>
        <w:rPr>
          <w:rFonts w:hint="eastAsia" w:ascii="仿宋" w:hAnsi="仿宋" w:eastAsia="仿宋" w:cs="仿宋"/>
          <w:sz w:val="30"/>
          <w:szCs w:val="30"/>
        </w:rPr>
        <w:t>级临床检验中心组织的室间质量评价 (EQA)/能力验证 (PT) 计划，并提供近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两年（2023-2024）</w:t>
      </w:r>
      <w:r>
        <w:rPr>
          <w:rFonts w:hint="eastAsia" w:ascii="仿宋" w:hAnsi="仿宋" w:eastAsia="仿宋" w:cs="仿宋"/>
          <w:sz w:val="30"/>
          <w:szCs w:val="30"/>
        </w:rPr>
        <w:t>的合格证明。对于暂无EQA/PT的项目，需提供替代性评估方案（如实验室间比对）及结果证明。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8、</w:t>
      </w:r>
      <w:r>
        <w:rPr>
          <w:rFonts w:hint="eastAsia" w:ascii="仿宋" w:hAnsi="仿宋" w:eastAsia="仿宋" w:cs="仿宋"/>
          <w:sz w:val="30"/>
          <w:szCs w:val="30"/>
        </w:rPr>
        <w:t>检测方法学与性能验证：明确告知所用检测方法的原理、仪器型号、试剂品牌及批号（或承诺使用经注册批准的试剂）。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提供关键性能指标（精密度、正确度/准确度、线性范围、分析灵敏度、分析特异性、参考区间/临床决定限、生物参考区间验证等）的验证或确认报告。方法学变更需及时通知我方并重新提供验证资料。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9、</w:t>
      </w:r>
      <w:r>
        <w:rPr>
          <w:rFonts w:hint="eastAsia" w:ascii="仿宋" w:hAnsi="仿宋" w:eastAsia="仿宋" w:cs="仿宋"/>
          <w:sz w:val="30"/>
          <w:szCs w:val="30"/>
        </w:rPr>
        <w:t>仪器设备与校准：检测设备需定期维护、保养和校准，状态良好。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10、</w:t>
      </w:r>
      <w:r>
        <w:rPr>
          <w:rFonts w:hint="eastAsia" w:ascii="仿宋" w:hAnsi="仿宋" w:eastAsia="仿宋" w:cs="仿宋"/>
          <w:sz w:val="30"/>
          <w:szCs w:val="30"/>
        </w:rPr>
        <w:t>试剂与耗材管理：建立严格的试剂/耗材验收、储存、使用管理制度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确保在有效期内使用。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11、</w:t>
      </w:r>
      <w:r>
        <w:rPr>
          <w:rFonts w:hint="eastAsia" w:ascii="仿宋" w:hAnsi="仿宋" w:eastAsia="仿宋" w:cs="仿宋"/>
          <w:sz w:val="30"/>
          <w:szCs w:val="30"/>
        </w:rPr>
        <w:t>报告格式与内容：提供标准化的电子报告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及</w:t>
      </w:r>
      <w:r>
        <w:rPr>
          <w:rFonts w:hint="eastAsia" w:ascii="仿宋" w:hAnsi="仿宋" w:eastAsia="仿宋" w:cs="仿宋"/>
          <w:sz w:val="30"/>
          <w:szCs w:val="30"/>
        </w:rPr>
        <w:t>纸质报告。报告必须清晰、准确、完整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12、</w:t>
      </w:r>
      <w:r>
        <w:rPr>
          <w:rFonts w:hint="eastAsia" w:ascii="仿宋" w:hAnsi="仿宋" w:eastAsia="仿宋" w:cs="仿宋"/>
          <w:sz w:val="30"/>
          <w:szCs w:val="30"/>
        </w:rPr>
        <w:t>临界值/危急值报告：建立明确的“危急值”列表及其报告范围。制定并执行严格的“危急值”报告流程：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我方送检的样本</w:t>
      </w:r>
      <w:r>
        <w:rPr>
          <w:rFonts w:hint="eastAsia" w:ascii="仿宋" w:hAnsi="仿宋" w:eastAsia="仿宋" w:cs="仿宋"/>
          <w:sz w:val="30"/>
          <w:szCs w:val="30"/>
        </w:rPr>
        <w:t>检测到危急值后，必须立即（如电话）通知我方指定的接收人员（如检验科值班人员、临床科室），并随后发送正式报告。需提供电话通知的详细记录（时间、接听人、内容确认）。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zZTZhYTM1OWI1ZmRhODNlY2M2NzU3ZTU5ZTdiM2IifQ=="/>
  </w:docVars>
  <w:rsids>
    <w:rsidRoot w:val="480B3BCB"/>
    <w:rsid w:val="03D270B5"/>
    <w:rsid w:val="0D015662"/>
    <w:rsid w:val="19E93778"/>
    <w:rsid w:val="32A72B61"/>
    <w:rsid w:val="35EE7497"/>
    <w:rsid w:val="3F422B55"/>
    <w:rsid w:val="480B3BCB"/>
    <w:rsid w:val="51B51175"/>
    <w:rsid w:val="63FF576A"/>
    <w:rsid w:val="7655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1774</Words>
  <Characters>1843</Characters>
  <Lines>0</Lines>
  <Paragraphs>0</Paragraphs>
  <TotalTime>9</TotalTime>
  <ScaleCrop>false</ScaleCrop>
  <LinksUpToDate>false</LinksUpToDate>
  <CharactersWithSpaces>1874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2025-06-11T02:49:00Z</dcterms:created>
  <dc:creator>             ♚ </dc:creator>
  <cp:lastModifiedBy>Administrator</cp:lastModifiedBy>
  <dcterms:modified xsi:type="dcterms:W3CDTF">2025-06-12T09:07:38Z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0F3E0C636A104013812CA9FA227C2588_13</vt:lpwstr>
  </property>
  <property fmtid="{D5CDD505-2E9C-101B-9397-08002B2CF9AE}" pid="4" name="KSOTemplateDocerSaveRecord">
    <vt:lpwstr>eyJoZGlkIjoiMTllOTNlN2I2ZWZjMzRlOGMwNmQ1ODU0NTRmYmFkYTgiLCJ1c2VySWQiOiIxNTUzNjk3NTU4In0=</vt:lpwstr>
  </property>
</Properties>
</file>