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50" w:lineRule="exact"/>
        <w:ind w:firstLine="720" w:firstLineChars="200"/>
        <w:jc w:val="center"/>
        <w:rPr>
          <w:rFonts w:hint="eastAsia" w:ascii="微软雅黑" w:hAnsi="微软雅黑" w:eastAsia="微软雅黑" w:cs="微软雅黑"/>
          <w:b/>
          <w:bCs/>
          <w:color w:val="auto"/>
          <w:sz w:val="36"/>
          <w:szCs w:val="36"/>
          <w:lang w:val="en-US" w:eastAsia="zh-CN"/>
        </w:rPr>
      </w:pPr>
    </w:p>
    <w:p>
      <w:pPr>
        <w:pageBreakBefore w:val="0"/>
        <w:kinsoku/>
        <w:wordWrap/>
        <w:overflowPunct/>
        <w:topLinePunct w:val="0"/>
        <w:bidi w:val="0"/>
        <w:spacing w:line="550" w:lineRule="exact"/>
        <w:ind w:firstLine="720" w:firstLineChars="200"/>
        <w:jc w:val="center"/>
        <w:rPr>
          <w:rFonts w:hint="default"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lang w:val="en-US" w:eastAsia="zh-CN"/>
        </w:rPr>
        <w:t>和田市人民放射科医用显示器采购项目</w:t>
      </w:r>
    </w:p>
    <w:p>
      <w:pPr>
        <w:pageBreakBefore w:val="0"/>
        <w:kinsoku/>
        <w:wordWrap/>
        <w:overflowPunct/>
        <w:topLinePunct w:val="0"/>
        <w:bidi w:val="0"/>
        <w:spacing w:line="550" w:lineRule="exact"/>
        <w:ind w:firstLine="800" w:firstLineChars="200"/>
        <w:jc w:val="center"/>
        <w:rPr>
          <w:rFonts w:hint="eastAsia" w:ascii="微软雅黑" w:hAnsi="微软雅黑" w:eastAsia="微软雅黑" w:cs="微软雅黑"/>
          <w:color w:val="auto"/>
          <w:sz w:val="40"/>
          <w:szCs w:val="40"/>
          <w:lang w:val="en-US" w:eastAsia="zh-CN"/>
        </w:rPr>
      </w:pPr>
    </w:p>
    <w:p>
      <w:pPr>
        <w:pageBreakBefore w:val="0"/>
        <w:kinsoku/>
        <w:wordWrap/>
        <w:overflowPunct/>
        <w:topLinePunct w:val="0"/>
        <w:bidi w:val="0"/>
        <w:spacing w:line="550" w:lineRule="exact"/>
        <w:ind w:firstLine="800" w:firstLineChars="200"/>
        <w:jc w:val="center"/>
        <w:rPr>
          <w:rFonts w:hint="eastAsia" w:ascii="微软雅黑" w:hAnsi="微软雅黑" w:eastAsia="微软雅黑" w:cs="微软雅黑"/>
          <w:color w:val="auto"/>
          <w:sz w:val="40"/>
          <w:szCs w:val="40"/>
          <w:lang w:val="en-US" w:eastAsia="zh-CN"/>
        </w:rPr>
      </w:pPr>
    </w:p>
    <w:p>
      <w:pPr>
        <w:pStyle w:val="4"/>
        <w:pageBreakBefore w:val="0"/>
        <w:kinsoku/>
        <w:wordWrap/>
        <w:overflowPunct/>
        <w:topLinePunct w:val="0"/>
        <w:bidi w:val="0"/>
        <w:spacing w:line="550" w:lineRule="exact"/>
        <w:ind w:firstLine="420" w:firstLineChars="200"/>
        <w:rPr>
          <w:rFonts w:hint="eastAsia"/>
          <w:color w:val="auto"/>
          <w:lang w:val="en-US" w:eastAsia="zh-CN"/>
        </w:rPr>
      </w:pPr>
    </w:p>
    <w:p>
      <w:pPr>
        <w:pageBreakBefore w:val="0"/>
        <w:kinsoku/>
        <w:wordWrap/>
        <w:overflowPunct/>
        <w:topLinePunct w:val="0"/>
        <w:bidi w:val="0"/>
        <w:spacing w:line="550" w:lineRule="exact"/>
        <w:ind w:firstLine="800" w:firstLineChars="200"/>
        <w:jc w:val="center"/>
        <w:rPr>
          <w:rFonts w:hint="eastAsia" w:ascii="微软雅黑" w:hAnsi="微软雅黑" w:eastAsia="微软雅黑" w:cs="微软雅黑"/>
          <w:color w:val="auto"/>
          <w:sz w:val="40"/>
          <w:szCs w:val="40"/>
          <w:lang w:val="en-US" w:eastAsia="zh-CN"/>
        </w:rPr>
      </w:pPr>
      <w:r>
        <w:rPr>
          <w:rFonts w:hint="eastAsia" w:ascii="微软雅黑" w:hAnsi="微软雅黑" w:eastAsia="微软雅黑" w:cs="微软雅黑"/>
          <w:color w:val="auto"/>
          <w:sz w:val="40"/>
          <w:szCs w:val="40"/>
          <w:lang w:val="en-US" w:eastAsia="zh-CN"/>
        </w:rPr>
        <w:t>竞价文件</w:t>
      </w:r>
    </w:p>
    <w:p>
      <w:pPr>
        <w:pStyle w:val="8"/>
        <w:pageBreakBefore w:val="0"/>
        <w:kinsoku/>
        <w:wordWrap/>
        <w:overflowPunct/>
        <w:topLinePunct w:val="0"/>
        <w:bidi w:val="0"/>
        <w:spacing w:line="550" w:lineRule="exact"/>
        <w:ind w:firstLine="723" w:firstLineChars="200"/>
        <w:rPr>
          <w:rFonts w:hint="eastAsia" w:hAnsi="宋体" w:cs="Arial"/>
          <w:b/>
          <w:color w:val="auto"/>
          <w:sz w:val="36"/>
        </w:rPr>
      </w:pPr>
    </w:p>
    <w:p>
      <w:pPr>
        <w:pStyle w:val="8"/>
        <w:pageBreakBefore w:val="0"/>
        <w:kinsoku/>
        <w:wordWrap/>
        <w:overflowPunct/>
        <w:topLinePunct w:val="0"/>
        <w:bidi w:val="0"/>
        <w:spacing w:line="550" w:lineRule="exact"/>
        <w:rPr>
          <w:rFonts w:hint="eastAsia" w:hAnsi="宋体" w:cs="Arial"/>
          <w:b/>
          <w:color w:val="auto"/>
          <w:sz w:val="36"/>
        </w:rPr>
      </w:pPr>
    </w:p>
    <w:p>
      <w:pPr>
        <w:pStyle w:val="8"/>
        <w:pageBreakBefore w:val="0"/>
        <w:kinsoku/>
        <w:wordWrap/>
        <w:overflowPunct/>
        <w:topLinePunct w:val="0"/>
        <w:bidi w:val="0"/>
        <w:spacing w:line="550" w:lineRule="exact"/>
        <w:rPr>
          <w:rFonts w:hint="eastAsia" w:hAnsi="宋体" w:cs="Arial"/>
          <w:b/>
          <w:color w:val="auto"/>
          <w:sz w:val="36"/>
        </w:rPr>
      </w:pPr>
    </w:p>
    <w:p>
      <w:pPr>
        <w:pStyle w:val="8"/>
        <w:pageBreakBefore w:val="0"/>
        <w:kinsoku/>
        <w:wordWrap/>
        <w:overflowPunct/>
        <w:topLinePunct w:val="0"/>
        <w:bidi w:val="0"/>
        <w:spacing w:line="550" w:lineRule="exact"/>
        <w:rPr>
          <w:rFonts w:hint="eastAsia" w:hAnsi="宋体" w:cs="Arial"/>
          <w:b/>
          <w:color w:val="auto"/>
          <w:sz w:val="36"/>
        </w:rPr>
      </w:pPr>
    </w:p>
    <w:p>
      <w:pPr>
        <w:pStyle w:val="8"/>
        <w:pageBreakBefore w:val="0"/>
        <w:kinsoku/>
        <w:wordWrap/>
        <w:overflowPunct/>
        <w:topLinePunct w:val="0"/>
        <w:bidi w:val="0"/>
        <w:spacing w:line="550" w:lineRule="exact"/>
        <w:rPr>
          <w:rFonts w:hint="eastAsia" w:hAnsi="宋体" w:cs="Arial"/>
          <w:b/>
          <w:color w:val="auto"/>
          <w:sz w:val="36"/>
        </w:rPr>
      </w:pPr>
    </w:p>
    <w:p>
      <w:pPr>
        <w:pStyle w:val="8"/>
        <w:pageBreakBefore w:val="0"/>
        <w:kinsoku/>
        <w:wordWrap/>
        <w:overflowPunct/>
        <w:topLinePunct w:val="0"/>
        <w:bidi w:val="0"/>
        <w:spacing w:line="550" w:lineRule="exact"/>
        <w:rPr>
          <w:rFonts w:hint="eastAsia" w:hAnsi="宋体" w:cs="Arial"/>
          <w:b/>
          <w:color w:val="auto"/>
          <w:sz w:val="36"/>
        </w:rPr>
      </w:pPr>
    </w:p>
    <w:p>
      <w:pPr>
        <w:pStyle w:val="8"/>
        <w:pageBreakBefore w:val="0"/>
        <w:kinsoku/>
        <w:wordWrap/>
        <w:overflowPunct/>
        <w:topLinePunct w:val="0"/>
        <w:bidi w:val="0"/>
        <w:spacing w:line="550" w:lineRule="exact"/>
        <w:rPr>
          <w:rFonts w:hint="eastAsia" w:hAnsi="宋体" w:cs="Arial"/>
          <w:b/>
          <w:color w:val="auto"/>
          <w:sz w:val="36"/>
        </w:rPr>
      </w:pPr>
    </w:p>
    <w:p>
      <w:pPr>
        <w:pStyle w:val="8"/>
        <w:pageBreakBefore w:val="0"/>
        <w:kinsoku/>
        <w:wordWrap/>
        <w:overflowPunct/>
        <w:topLinePunct w:val="0"/>
        <w:bidi w:val="0"/>
        <w:spacing w:line="550" w:lineRule="exact"/>
        <w:rPr>
          <w:rFonts w:hint="eastAsia" w:hAnsi="宋体" w:cs="Arial"/>
          <w:b/>
          <w:color w:val="auto"/>
          <w:sz w:val="36"/>
        </w:rPr>
      </w:pPr>
    </w:p>
    <w:p>
      <w:pPr>
        <w:pStyle w:val="8"/>
        <w:pageBreakBefore w:val="0"/>
        <w:kinsoku/>
        <w:wordWrap/>
        <w:overflowPunct/>
        <w:topLinePunct w:val="0"/>
        <w:bidi w:val="0"/>
        <w:spacing w:line="550" w:lineRule="exact"/>
        <w:rPr>
          <w:rFonts w:hint="eastAsia" w:hAnsi="宋体" w:cs="Arial"/>
          <w:b/>
          <w:color w:val="auto"/>
          <w:sz w:val="36"/>
        </w:rPr>
      </w:pPr>
    </w:p>
    <w:p>
      <w:pPr>
        <w:pStyle w:val="8"/>
        <w:pageBreakBefore w:val="0"/>
        <w:kinsoku/>
        <w:wordWrap/>
        <w:overflowPunct/>
        <w:topLinePunct w:val="0"/>
        <w:bidi w:val="0"/>
        <w:spacing w:line="550" w:lineRule="exact"/>
        <w:rPr>
          <w:rFonts w:hint="eastAsia" w:hAnsi="宋体" w:cs="Arial"/>
          <w:b/>
          <w:color w:val="auto"/>
          <w:sz w:val="36"/>
        </w:rPr>
      </w:pPr>
    </w:p>
    <w:p>
      <w:pPr>
        <w:pStyle w:val="8"/>
        <w:pageBreakBefore w:val="0"/>
        <w:kinsoku/>
        <w:wordWrap/>
        <w:overflowPunct/>
        <w:topLinePunct w:val="0"/>
        <w:bidi w:val="0"/>
        <w:spacing w:line="550" w:lineRule="exact"/>
        <w:ind w:firstLine="723" w:firstLineChars="200"/>
        <w:rPr>
          <w:rFonts w:hint="eastAsia" w:hAnsi="宋体" w:cs="Arial"/>
          <w:b/>
          <w:color w:val="auto"/>
          <w:sz w:val="36"/>
        </w:rPr>
      </w:pPr>
    </w:p>
    <w:p>
      <w:pPr>
        <w:pStyle w:val="8"/>
        <w:keepNext w:val="0"/>
        <w:keepLines w:val="0"/>
        <w:pageBreakBefore w:val="0"/>
        <w:widowControl w:val="0"/>
        <w:kinsoku/>
        <w:wordWrap/>
        <w:overflowPunct/>
        <w:topLinePunct w:val="0"/>
        <w:autoSpaceDE/>
        <w:autoSpaceDN/>
        <w:bidi w:val="0"/>
        <w:adjustRightInd/>
        <w:snapToGrid/>
        <w:spacing w:line="550" w:lineRule="exact"/>
        <w:ind w:left="218" w:leftChars="104" w:firstLine="723" w:firstLineChars="200"/>
        <w:jc w:val="left"/>
        <w:textAlignment w:val="auto"/>
        <w:rPr>
          <w:rFonts w:hint="eastAsia" w:hAnsi="宋体" w:cs="Arial"/>
          <w:b/>
          <w:color w:val="auto"/>
          <w:sz w:val="36"/>
          <w:lang w:val="en-US" w:eastAsia="zh-CN"/>
        </w:rPr>
      </w:pPr>
      <w:r>
        <w:rPr>
          <w:rFonts w:hint="eastAsia" w:hAnsi="宋体" w:cs="Arial"/>
          <w:b/>
          <w:color w:val="auto"/>
          <w:sz w:val="36"/>
        </w:rPr>
        <w:t>项目名称：</w:t>
      </w:r>
      <w:r>
        <w:rPr>
          <w:rFonts w:hint="eastAsia" w:hAnsi="宋体" w:cs="Arial"/>
          <w:b/>
          <w:color w:val="auto"/>
          <w:sz w:val="36"/>
          <w:u w:val="single"/>
          <w:lang w:eastAsia="zh-CN"/>
        </w:rPr>
        <w:t>和田市人民医院</w:t>
      </w:r>
      <w:r>
        <w:rPr>
          <w:rFonts w:hint="eastAsia" w:hAnsi="宋体" w:cs="Arial"/>
          <w:b/>
          <w:color w:val="auto"/>
          <w:sz w:val="36"/>
          <w:u w:val="single"/>
          <w:lang w:val="en-US" w:eastAsia="zh-CN"/>
        </w:rPr>
        <w:t>放射科医用显示器采购</w:t>
      </w:r>
      <w:r>
        <w:rPr>
          <w:rFonts w:hint="eastAsia" w:hAnsi="宋体" w:cs="Arial"/>
          <w:b/>
          <w:color w:val="auto"/>
          <w:sz w:val="36"/>
          <w:u w:val="single"/>
          <w:lang w:eastAsia="zh-CN"/>
        </w:rPr>
        <w:t>项目</w:t>
      </w:r>
    </w:p>
    <w:p>
      <w:pPr>
        <w:pStyle w:val="8"/>
        <w:keepNext w:val="0"/>
        <w:keepLines w:val="0"/>
        <w:pageBreakBefore w:val="0"/>
        <w:widowControl w:val="0"/>
        <w:kinsoku/>
        <w:wordWrap/>
        <w:overflowPunct/>
        <w:topLinePunct w:val="0"/>
        <w:autoSpaceDE/>
        <w:autoSpaceDN/>
        <w:bidi w:val="0"/>
        <w:adjustRightInd/>
        <w:snapToGrid/>
        <w:spacing w:line="550" w:lineRule="exact"/>
        <w:ind w:left="218" w:leftChars="104" w:firstLine="723" w:firstLineChars="200"/>
        <w:jc w:val="left"/>
        <w:textAlignment w:val="auto"/>
        <w:rPr>
          <w:rFonts w:hint="eastAsia"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val="en-US" w:eastAsia="zh-CN"/>
        </w:rPr>
        <w:t xml:space="preserve">和田市人民医院 </w:t>
      </w:r>
    </w:p>
    <w:p>
      <w:pPr>
        <w:pStyle w:val="8"/>
        <w:keepNext w:val="0"/>
        <w:keepLines w:val="0"/>
        <w:pageBreakBefore w:val="0"/>
        <w:widowControl w:val="0"/>
        <w:kinsoku/>
        <w:wordWrap/>
        <w:overflowPunct/>
        <w:topLinePunct w:val="0"/>
        <w:autoSpaceDE/>
        <w:autoSpaceDN/>
        <w:bidi w:val="0"/>
        <w:adjustRightInd/>
        <w:snapToGrid/>
        <w:spacing w:line="550" w:lineRule="exact"/>
        <w:ind w:left="218" w:leftChars="104" w:firstLine="723" w:firstLineChars="200"/>
        <w:jc w:val="left"/>
        <w:textAlignment w:val="auto"/>
        <w:rPr>
          <w:rFonts w:hint="default" w:hAnsi="宋体" w:eastAsia="宋体" w:cs="Arial"/>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温女士</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550" w:lineRule="exact"/>
        <w:ind w:left="218" w:leftChars="104" w:firstLine="723" w:firstLineChars="200"/>
        <w:jc w:val="left"/>
        <w:textAlignment w:val="auto"/>
        <w:rPr>
          <w:rFonts w:hint="default" w:hAnsi="宋体" w:eastAsia="宋体" w:cs="Arial"/>
          <w:color w:val="auto"/>
          <w:sz w:val="36"/>
          <w:u w:val="single"/>
          <w:lang w:val="en-US" w:eastAsia="zh-CN"/>
        </w:rPr>
      </w:pPr>
      <w:r>
        <w:rPr>
          <w:rFonts w:hint="eastAsia" w:hAnsi="宋体" w:cs="Arial"/>
          <w:b/>
          <w:color w:val="auto"/>
          <w:sz w:val="36"/>
          <w:highlight w:val="none"/>
        </w:rPr>
        <w:t>电    话：</w:t>
      </w:r>
      <w:r>
        <w:rPr>
          <w:rFonts w:hint="eastAsia" w:hAnsi="宋体" w:cs="Arial"/>
          <w:b/>
          <w:color w:val="auto"/>
          <w:sz w:val="36"/>
          <w:highlight w:val="none"/>
          <w:u w:val="single"/>
          <w:lang w:val="en-US" w:eastAsia="zh-CN"/>
        </w:rPr>
        <w:t>0903-2930187</w:t>
      </w:r>
      <w:r>
        <w:rPr>
          <w:rFonts w:hint="eastAsia" w:hAnsi="宋体" w:cs="Arial"/>
          <w:b/>
          <w:color w:val="auto"/>
          <w:sz w:val="36"/>
          <w:highlight w:val="none"/>
          <w:lang w:val="en-US" w:eastAsia="zh-CN"/>
        </w:rPr>
        <w:t xml:space="preserve">  </w:t>
      </w:r>
    </w:p>
    <w:p>
      <w:pPr>
        <w:pageBreakBefore w:val="0"/>
        <w:kinsoku/>
        <w:wordWrap/>
        <w:overflowPunct/>
        <w:topLinePunct w:val="0"/>
        <w:bidi w:val="0"/>
        <w:spacing w:line="550" w:lineRule="exact"/>
        <w:ind w:left="218" w:leftChars="104" w:firstLine="800" w:firstLineChars="200"/>
        <w:jc w:val="center"/>
        <w:rPr>
          <w:rFonts w:hint="default" w:ascii="微软雅黑" w:hAnsi="微软雅黑" w:eastAsia="微软雅黑" w:cs="微软雅黑"/>
          <w:color w:val="auto"/>
          <w:sz w:val="40"/>
          <w:szCs w:val="40"/>
          <w:lang w:val="en-US" w:eastAsia="zh-CN"/>
        </w:rPr>
      </w:pPr>
    </w:p>
    <w:p>
      <w:pPr>
        <w:pStyle w:val="11"/>
        <w:pageBreakBefore w:val="0"/>
        <w:kinsoku/>
        <w:wordWrap/>
        <w:overflowPunct/>
        <w:topLinePunct w:val="0"/>
        <w:bidi w:val="0"/>
        <w:spacing w:line="550" w:lineRule="exact"/>
        <w:ind w:firstLine="800" w:firstLineChars="200"/>
        <w:rPr>
          <w:rFonts w:hint="default" w:ascii="微软雅黑" w:hAnsi="微软雅黑" w:eastAsia="微软雅黑" w:cs="微软雅黑"/>
          <w:color w:val="auto"/>
          <w:sz w:val="40"/>
          <w:szCs w:val="40"/>
          <w:lang w:val="en-US" w:eastAsia="zh-CN"/>
        </w:rPr>
      </w:pPr>
    </w:p>
    <w:p>
      <w:pPr>
        <w:pStyle w:val="11"/>
        <w:pageBreakBefore w:val="0"/>
        <w:kinsoku/>
        <w:wordWrap/>
        <w:overflowPunct/>
        <w:topLinePunct w:val="0"/>
        <w:bidi w:val="0"/>
        <w:spacing w:line="550" w:lineRule="exact"/>
        <w:ind w:firstLine="800" w:firstLineChars="200"/>
        <w:rPr>
          <w:rFonts w:hint="default" w:ascii="微软雅黑" w:hAnsi="微软雅黑" w:eastAsia="微软雅黑" w:cs="微软雅黑"/>
          <w:color w:val="auto"/>
          <w:sz w:val="40"/>
          <w:szCs w:val="40"/>
          <w:lang w:val="en-US" w:eastAsia="zh-CN"/>
        </w:rPr>
      </w:pPr>
    </w:p>
    <w:p>
      <w:pPr>
        <w:pageBreakBefore w:val="0"/>
        <w:kinsoku/>
        <w:wordWrap/>
        <w:overflowPunct/>
        <w:topLinePunct w:val="0"/>
        <w:bidi w:val="0"/>
        <w:spacing w:line="550" w:lineRule="exact"/>
        <w:ind w:firstLine="360" w:firstLineChars="100"/>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u w:val="none"/>
          <w:lang w:val="en-US" w:eastAsia="zh-CN"/>
        </w:rPr>
        <w:t>和田市人民医院放射科医用显示器采购项目竞价</w:t>
      </w:r>
      <w:r>
        <w:rPr>
          <w:rFonts w:hint="eastAsia" w:ascii="黑体" w:hAnsi="黑体" w:eastAsia="黑体" w:cs="黑体"/>
          <w:color w:val="auto"/>
          <w:sz w:val="36"/>
          <w:szCs w:val="36"/>
          <w:u w:val="none"/>
          <w:lang w:val="en-US" w:eastAsia="zh-Hans"/>
        </w:rPr>
        <w:t>文件</w:t>
      </w:r>
    </w:p>
    <w:p>
      <w:pPr>
        <w:pageBreakBefore w:val="0"/>
        <w:kinsoku/>
        <w:wordWrap/>
        <w:overflowPunct/>
        <w:topLinePunct w:val="0"/>
        <w:bidi w:val="0"/>
        <w:spacing w:line="550" w:lineRule="exact"/>
        <w:ind w:firstLine="640" w:firstLineChars="200"/>
        <w:rPr>
          <w:rFonts w:hint="eastAsia" w:ascii="黑体" w:hAnsi="黑体" w:eastAsia="黑体" w:cs="黑体"/>
          <w:color w:val="auto"/>
          <w:sz w:val="32"/>
          <w:szCs w:val="32"/>
          <w:lang w:val="en-US" w:eastAsia="zh-CN"/>
        </w:rPr>
      </w:pPr>
    </w:p>
    <w:p>
      <w:pPr>
        <w:pageBreakBefore w:val="0"/>
        <w:kinsoku/>
        <w:wordWrap/>
        <w:overflowPunct/>
        <w:topLinePunct w:val="0"/>
        <w:bidi w:val="0"/>
        <w:spacing w:line="55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pageBreakBefore w:val="0"/>
        <w:kinsoku/>
        <w:wordWrap/>
        <w:overflowPunct/>
        <w:topLinePunct w:val="0"/>
        <w:bidi w:val="0"/>
        <w:spacing w:line="55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1.项目编号：</w:t>
      </w:r>
    </w:p>
    <w:p>
      <w:pPr>
        <w:pageBreakBefore w:val="0"/>
        <w:kinsoku/>
        <w:wordWrap/>
        <w:overflowPunct/>
        <w:topLinePunct w:val="0"/>
        <w:bidi w:val="0"/>
        <w:spacing w:line="550" w:lineRule="exact"/>
        <w:ind w:firstLine="643"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2.项目名称：</w:t>
      </w:r>
      <w:r>
        <w:rPr>
          <w:rFonts w:hint="eastAsia" w:ascii="仿宋" w:hAnsi="仿宋" w:eastAsia="仿宋" w:cs="仿宋"/>
          <w:b w:val="0"/>
          <w:bCs w:val="0"/>
          <w:color w:val="auto"/>
          <w:sz w:val="32"/>
          <w:szCs w:val="32"/>
          <w:lang w:val="en-US" w:eastAsia="zh-CN"/>
        </w:rPr>
        <w:t>和田市人民医院放射科医用显示器采购项目</w:t>
      </w:r>
    </w:p>
    <w:p>
      <w:pPr>
        <w:pageBreakBefore w:val="0"/>
        <w:kinsoku/>
        <w:wordWrap/>
        <w:overflowPunct/>
        <w:topLinePunct w:val="0"/>
        <w:bidi w:val="0"/>
        <w:spacing w:line="550" w:lineRule="exact"/>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3.采购机构：</w:t>
      </w:r>
      <w:r>
        <w:rPr>
          <w:rFonts w:hint="eastAsia" w:ascii="仿宋" w:hAnsi="仿宋" w:eastAsia="仿宋" w:cs="仿宋"/>
          <w:b w:val="0"/>
          <w:bCs w:val="0"/>
          <w:color w:val="auto"/>
          <w:sz w:val="32"/>
          <w:szCs w:val="32"/>
          <w:lang w:val="en-US" w:eastAsia="zh-CN"/>
        </w:rPr>
        <w:t xml:space="preserve">和田市人民医院 </w:t>
      </w:r>
    </w:p>
    <w:p>
      <w:pPr>
        <w:pageBreakBefore w:val="0"/>
        <w:kinsoku/>
        <w:wordWrap/>
        <w:overflowPunct/>
        <w:topLinePunct w:val="0"/>
        <w:bidi w:val="0"/>
        <w:spacing w:line="550" w:lineRule="exact"/>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4.采购形式：</w:t>
      </w:r>
      <w:r>
        <w:rPr>
          <w:rFonts w:hint="eastAsia" w:ascii="仿宋" w:hAnsi="仿宋" w:eastAsia="仿宋" w:cs="仿宋"/>
          <w:b w:val="0"/>
          <w:bCs w:val="0"/>
          <w:color w:val="auto"/>
          <w:sz w:val="32"/>
          <w:szCs w:val="32"/>
          <w:lang w:val="en-US" w:eastAsia="zh-CN"/>
        </w:rPr>
        <w:t>政采云平台-在线询价</w:t>
      </w:r>
    </w:p>
    <w:p>
      <w:pPr>
        <w:pageBreakBefore w:val="0"/>
        <w:kinsoku/>
        <w:wordWrap/>
        <w:overflowPunct/>
        <w:topLinePunct w:val="0"/>
        <w:bidi w:val="0"/>
        <w:spacing w:line="550" w:lineRule="exact"/>
        <w:ind w:firstLine="643" w:firstLineChars="200"/>
        <w:jc w:val="lef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5.采购内容：</w:t>
      </w:r>
      <w:r>
        <w:rPr>
          <w:rFonts w:hint="eastAsia" w:ascii="仿宋" w:hAnsi="仿宋" w:eastAsia="仿宋" w:cs="仿宋"/>
          <w:i w:val="0"/>
          <w:iCs w:val="0"/>
          <w:color w:val="000000"/>
          <w:kern w:val="0"/>
          <w:sz w:val="28"/>
          <w:szCs w:val="28"/>
          <w:u w:val="none"/>
          <w:lang w:val="en-US" w:eastAsia="zh-CN" w:bidi="ar"/>
        </w:rPr>
        <w:t>医用显示器3台</w:t>
      </w:r>
    </w:p>
    <w:p>
      <w:pPr>
        <w:pageBreakBefore w:val="0"/>
        <w:kinsoku/>
        <w:wordWrap/>
        <w:overflowPunct/>
        <w:topLinePunct w:val="0"/>
        <w:bidi w:val="0"/>
        <w:spacing w:line="55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6.</w:t>
      </w:r>
      <w:r>
        <w:rPr>
          <w:rFonts w:hint="eastAsia" w:ascii="仿宋" w:hAnsi="仿宋" w:eastAsia="仿宋" w:cs="仿宋"/>
          <w:b/>
          <w:color w:val="auto"/>
          <w:sz w:val="30"/>
          <w:szCs w:val="30"/>
          <w:highlight w:val="none"/>
          <w:lang w:val="en-US" w:eastAsia="zh-CN"/>
        </w:rPr>
        <w:t>设备交付时间和具体地点</w:t>
      </w:r>
      <w:r>
        <w:rPr>
          <w:rFonts w:hint="eastAsia" w:ascii="仿宋" w:hAnsi="仿宋" w:eastAsia="仿宋" w:cs="仿宋"/>
          <w:b/>
          <w:bCs/>
          <w:color w:val="auto"/>
          <w:sz w:val="32"/>
          <w:szCs w:val="32"/>
          <w:lang w:val="en-US" w:eastAsia="zh-CN"/>
        </w:rPr>
        <w:t>：</w:t>
      </w:r>
      <w:r>
        <w:rPr>
          <w:rFonts w:hint="eastAsia" w:ascii="仿宋" w:hAnsi="仿宋" w:eastAsia="仿宋" w:cs="仿宋"/>
          <w:b w:val="0"/>
          <w:bCs w:val="0"/>
          <w:color w:val="auto"/>
          <w:sz w:val="32"/>
          <w:szCs w:val="32"/>
          <w:lang w:val="en-US" w:eastAsia="zh-CN"/>
        </w:rPr>
        <w:t>合同签订后，7个工作日内配送至院方指定地点。</w:t>
      </w:r>
    </w:p>
    <w:p>
      <w:pPr>
        <w:pStyle w:val="4"/>
        <w:pageBreakBefore w:val="0"/>
        <w:kinsoku/>
        <w:wordWrap/>
        <w:overflowPunct/>
        <w:topLinePunct w:val="0"/>
        <w:bidi w:val="0"/>
        <w:spacing w:line="550" w:lineRule="exact"/>
        <w:ind w:firstLine="602" w:firstLineChars="200"/>
        <w:rPr>
          <w:rFonts w:hint="default"/>
          <w:color w:val="auto"/>
          <w:lang w:val="en-US" w:eastAsia="zh-CN"/>
        </w:rPr>
      </w:pPr>
      <w:r>
        <w:rPr>
          <w:rFonts w:hint="eastAsia" w:ascii="仿宋" w:hAnsi="仿宋" w:eastAsia="仿宋" w:cs="仿宋"/>
          <w:b/>
          <w:color w:val="auto"/>
          <w:kern w:val="2"/>
          <w:sz w:val="30"/>
          <w:szCs w:val="30"/>
          <w:highlight w:val="none"/>
          <w:lang w:val="en-US" w:eastAsia="zh-CN" w:bidi="ar-SA"/>
        </w:rPr>
        <w:t>7.项目最高限价：10.5</w:t>
      </w:r>
      <w:bookmarkStart w:id="2" w:name="_GoBack"/>
      <w:bookmarkEnd w:id="2"/>
      <w:r>
        <w:rPr>
          <w:rFonts w:hint="eastAsia" w:ascii="仿宋" w:hAnsi="仿宋" w:eastAsia="仿宋" w:cs="仿宋"/>
          <w:b w:val="0"/>
          <w:bCs w:val="0"/>
          <w:color w:val="auto"/>
          <w:sz w:val="32"/>
          <w:szCs w:val="32"/>
          <w:lang w:val="en-US" w:eastAsia="zh-CN"/>
        </w:rPr>
        <w:t>万元</w:t>
      </w:r>
    </w:p>
    <w:p>
      <w:pPr>
        <w:pageBreakBefore w:val="0"/>
        <w:kinsoku/>
        <w:wordWrap/>
        <w:overflowPunct/>
        <w:topLinePunct w:val="0"/>
        <w:bidi w:val="0"/>
        <w:spacing w:line="55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pageBreakBefore w:val="0"/>
        <w:kinsoku/>
        <w:wordWrap/>
        <w:overflowPunct/>
        <w:topLinePunct w:val="0"/>
        <w:bidi w:val="0"/>
        <w:spacing w:line="55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1.满足《中华人民共和国政府采购法》第二十二条规定；</w:t>
      </w:r>
    </w:p>
    <w:p>
      <w:pPr>
        <w:pageBreakBefore w:val="0"/>
        <w:kinsoku/>
        <w:wordWrap/>
        <w:overflowPunct/>
        <w:topLinePunct w:val="0"/>
        <w:bidi w:val="0"/>
        <w:spacing w:line="550" w:lineRule="exact"/>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具有独立承担民事责任的能力：在中华人民共和国境内注册的法人或其他组织或自然人， 投标（响应）时提交有效的营业执照（或事业法人登记证或身份证等相关证明） </w:t>
      </w:r>
      <w:r>
        <w:rPr>
          <w:rFonts w:hint="eastAsia" w:ascii="仿宋" w:hAnsi="仿宋" w:eastAsia="仿宋" w:cs="仿宋"/>
          <w:color w:val="auto"/>
          <w:sz w:val="30"/>
          <w:szCs w:val="30"/>
          <w:lang w:eastAsia="zh-CN"/>
        </w:rPr>
        <w:t>。</w:t>
      </w:r>
    </w:p>
    <w:p>
      <w:pPr>
        <w:pageBreakBefore w:val="0"/>
        <w:kinsoku/>
        <w:wordWrap/>
        <w:overflowPunct/>
        <w:topLinePunct w:val="0"/>
        <w:bidi w:val="0"/>
        <w:spacing w:line="55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.本项目的特定资格要求：</w:t>
      </w:r>
    </w:p>
    <w:p>
      <w:pPr>
        <w:pStyle w:val="4"/>
        <w:pageBreakBefore w:val="0"/>
        <w:kinsoku/>
        <w:wordWrap/>
        <w:overflowPunct/>
        <w:topLinePunct w:val="0"/>
        <w:bidi w:val="0"/>
        <w:spacing w:line="55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相关体系认证管理证书</w:t>
      </w:r>
    </w:p>
    <w:p>
      <w:pPr>
        <w:pStyle w:val="4"/>
        <w:pageBreakBefore w:val="0"/>
        <w:kinsoku/>
        <w:wordWrap/>
        <w:overflowPunct/>
        <w:topLinePunct w:val="0"/>
        <w:bidi w:val="0"/>
        <w:spacing w:line="55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pageBreakBefore w:val="0"/>
        <w:kinsoku/>
        <w:wordWrap/>
        <w:overflowPunct/>
        <w:topLinePunct w:val="0"/>
        <w:bidi w:val="0"/>
        <w:spacing w:line="550" w:lineRule="exact"/>
        <w:ind w:firstLine="640" w:firstLineChars="200"/>
        <w:jc w:val="left"/>
        <w:rPr>
          <w:rFonts w:hint="eastAsia" w:ascii="仿宋" w:hAnsi="仿宋" w:eastAsia="仿宋" w:cs="仿宋"/>
          <w:b w:val="0"/>
          <w:bCs w:val="0"/>
          <w:color w:val="auto"/>
          <w:kern w:val="2"/>
          <w:sz w:val="32"/>
          <w:szCs w:val="32"/>
          <w:lang w:val="en-US" w:eastAsia="zh-CN" w:bidi="ar-SA"/>
        </w:rPr>
      </w:pPr>
      <w:bookmarkStart w:id="0" w:name="EB042d3e125ccb4c8297f240a16ca9cda3"/>
      <w:r>
        <w:rPr>
          <w:rFonts w:hint="eastAsia" w:ascii="仿宋" w:hAnsi="仿宋" w:eastAsia="仿宋" w:cs="仿宋"/>
          <w:b w:val="0"/>
          <w:bCs w:val="0"/>
          <w:color w:val="auto"/>
          <w:sz w:val="32"/>
          <w:szCs w:val="32"/>
          <w:lang w:val="en-US" w:eastAsia="zh-CN"/>
        </w:rPr>
        <w:t>2.1</w:t>
      </w:r>
      <w:r>
        <w:rPr>
          <w:rFonts w:hint="eastAsia" w:ascii="仿宋" w:hAnsi="仿宋" w:eastAsia="仿宋" w:cs="仿宋"/>
          <w:b w:val="0"/>
          <w:bCs w:val="0"/>
          <w:color w:val="auto"/>
          <w:kern w:val="2"/>
          <w:sz w:val="32"/>
          <w:szCs w:val="32"/>
          <w:lang w:val="en-US" w:eastAsia="zh-CN" w:bidi="ar-SA"/>
        </w:rPr>
        <w:t>采购项目清单及技术参数</w:t>
      </w:r>
    </w:p>
    <w:bookmarkEnd w:id="0"/>
    <w:tbl>
      <w:tblPr>
        <w:tblStyle w:val="15"/>
        <w:tblpPr w:leftFromText="180" w:rightFromText="180" w:vertAnchor="text" w:horzAnchor="page" w:tblpX="1672" w:tblpY="571"/>
        <w:tblOverlap w:val="never"/>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3436"/>
        <w:gridCol w:w="1277"/>
        <w:gridCol w:w="1125"/>
        <w:gridCol w:w="2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12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50" w:lineRule="exact"/>
              <w:ind w:firstLine="1687" w:firstLineChars="7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和田市人民医院放射科医用显示器购置项目采购清单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50" w:lineRule="exact"/>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left="-42" w:leftChars="-20" w:right="-2" w:rightChars="-1" w:firstLine="482" w:firstLineChars="200"/>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color w:val="auto"/>
                <w:sz w:val="24"/>
                <w:szCs w:val="24"/>
                <w:highlight w:val="none"/>
              </w:rPr>
              <w:t>采购内容</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left="-42" w:leftChars="-20" w:right="-2" w:rightChars="-1" w:firstLine="482" w:firstLineChars="200"/>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color w:val="auto"/>
                <w:sz w:val="24"/>
                <w:szCs w:val="24"/>
                <w:highlight w:val="none"/>
              </w:rPr>
              <w:t>数量</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381"/>
              </w:tabs>
              <w:kinsoku/>
              <w:wordWrap/>
              <w:overflowPunct/>
              <w:topLinePunct w:val="0"/>
              <w:bidi w:val="0"/>
              <w:spacing w:line="550" w:lineRule="exact"/>
              <w:ind w:right="-2" w:rightChars="-1"/>
              <w:jc w:val="left"/>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单位</w:t>
            </w:r>
          </w:p>
        </w:tc>
        <w:tc>
          <w:tcPr>
            <w:tcW w:w="2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50" w:lineRule="exact"/>
              <w:ind w:firstLine="482" w:firstLineChars="20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50" w:lineRule="exact"/>
              <w:ind w:firstLine="480" w:firstLineChars="20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50" w:lineRule="exact"/>
              <w:ind w:firstLine="440" w:firstLineChars="20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医用显示器</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50" w:lineRule="exact"/>
              <w:ind w:firstLine="440" w:firstLineChars="20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50" w:lineRule="exact"/>
              <w:ind w:firstLine="440" w:firstLineChars="20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50" w:lineRule="exact"/>
              <w:ind w:firstLine="480" w:firstLineChars="200"/>
              <w:jc w:val="left"/>
              <w:textAlignment w:val="center"/>
              <w:rPr>
                <w:rFonts w:hint="eastAsia" w:ascii="仿宋" w:hAnsi="仿宋" w:eastAsia="仿宋" w:cs="仿宋"/>
                <w:i w:val="0"/>
                <w:iCs w:val="0"/>
                <w:color w:val="auto"/>
                <w:kern w:val="0"/>
                <w:sz w:val="24"/>
                <w:szCs w:val="24"/>
                <w:u w:val="none"/>
                <w:lang w:val="en-US" w:eastAsia="zh-CN" w:bidi="ar"/>
              </w:rPr>
            </w:pPr>
          </w:p>
        </w:tc>
      </w:tr>
    </w:tbl>
    <w:p>
      <w:pPr>
        <w:pStyle w:val="2"/>
        <w:pageBreakBefore w:val="0"/>
        <w:numPr>
          <w:ilvl w:val="0"/>
          <w:numId w:val="0"/>
        </w:numPr>
        <w:kinsoku/>
        <w:wordWrap/>
        <w:overflowPunct/>
        <w:topLinePunct w:val="0"/>
        <w:bidi w:val="0"/>
        <w:spacing w:line="550" w:lineRule="exact"/>
        <w:ind w:firstLine="643" w:firstLineChars="200"/>
        <w:rPr>
          <w:rFonts w:hint="eastAsia" w:ascii="仿宋" w:hAnsi="仿宋" w:eastAsia="仿宋" w:cs="仿宋"/>
          <w:b w:val="0"/>
          <w:bCs w:val="0"/>
          <w:color w:val="auto"/>
          <w:sz w:val="32"/>
          <w:szCs w:val="32"/>
          <w:highlight w:val="none"/>
        </w:rPr>
      </w:pPr>
      <w:r>
        <w:rPr>
          <w:rFonts w:hint="eastAsia" w:ascii="仿宋" w:hAnsi="仿宋" w:eastAsia="仿宋" w:cs="仿宋"/>
          <w:b/>
          <w:color w:val="auto"/>
          <w:sz w:val="32"/>
          <w:szCs w:val="32"/>
          <w:highlight w:val="none"/>
        </w:rPr>
        <w:t>主要技术参数及要求</w:t>
      </w:r>
    </w:p>
    <w:p>
      <w:pPr>
        <w:numPr>
          <w:ilvl w:val="0"/>
          <w:numId w:val="0"/>
        </w:numPr>
        <w:ind w:firstLine="640" w:firstLineChars="200"/>
        <w:jc w:val="left"/>
        <w:rPr>
          <w:rFonts w:hint="eastAsia" w:ascii="仿宋" w:hAnsi="仿宋" w:eastAsia="仿宋" w:cs="仿宋"/>
          <w:i w:val="0"/>
          <w:iCs w:val="0"/>
          <w:color w:val="auto"/>
          <w:kern w:val="2"/>
          <w:sz w:val="32"/>
          <w:szCs w:val="32"/>
          <w:lang w:val="en-US" w:eastAsia="zh-CN" w:bidi="ar-SA"/>
        </w:rPr>
      </w:pPr>
      <w:r>
        <w:rPr>
          <w:rFonts w:hint="eastAsia" w:ascii="仿宋" w:hAnsi="仿宋" w:eastAsia="仿宋" w:cs="仿宋"/>
          <w:i w:val="0"/>
          <w:iCs w:val="0"/>
          <w:color w:val="auto"/>
          <w:kern w:val="2"/>
          <w:sz w:val="32"/>
          <w:szCs w:val="32"/>
          <w:lang w:val="en-US" w:eastAsia="zh-CN" w:bidi="ar-SA"/>
        </w:rPr>
        <w:t>1.对角线尺寸≥31.5"；分辨率≥8MP(3840×2160)；点距≤0.18159×0.18159mm；响应时间≤7ms；可视角度≥178°，最大亮度≥1000cd/m2，对比度≥1300:1，色彩≥42bit，提供相关证明材料。</w:t>
      </w:r>
    </w:p>
    <w:p>
      <w:pPr>
        <w:numPr>
          <w:ilvl w:val="0"/>
          <w:numId w:val="0"/>
        </w:numPr>
        <w:ind w:firstLine="640" w:firstLineChars="200"/>
        <w:jc w:val="left"/>
        <w:rPr>
          <w:rFonts w:hint="eastAsia" w:ascii="仿宋" w:hAnsi="仿宋" w:eastAsia="仿宋" w:cs="仿宋"/>
          <w:i w:val="0"/>
          <w:iCs w:val="0"/>
          <w:color w:val="auto"/>
          <w:kern w:val="2"/>
          <w:sz w:val="32"/>
          <w:szCs w:val="32"/>
          <w:lang w:val="en-US" w:eastAsia="zh-CN" w:bidi="ar-SA"/>
        </w:rPr>
      </w:pPr>
      <w:r>
        <w:rPr>
          <w:rFonts w:hint="eastAsia" w:ascii="仿宋" w:hAnsi="仿宋" w:eastAsia="仿宋" w:cs="仿宋"/>
          <w:i w:val="0"/>
          <w:iCs w:val="0"/>
          <w:color w:val="auto"/>
          <w:kern w:val="2"/>
          <w:sz w:val="32"/>
          <w:szCs w:val="32"/>
          <w:lang w:val="en-US" w:eastAsia="zh-CN" w:bidi="ar-SA"/>
        </w:rPr>
        <w:t>2.满足前置传感器≥1、背光传感器≥1、温度传感器≥1,提供相关证明材料。</w:t>
      </w:r>
    </w:p>
    <w:p>
      <w:pPr>
        <w:numPr>
          <w:ilvl w:val="0"/>
          <w:numId w:val="0"/>
        </w:numPr>
        <w:ind w:firstLine="640" w:firstLineChars="200"/>
        <w:jc w:val="left"/>
        <w:rPr>
          <w:rFonts w:hint="eastAsia" w:ascii="仿宋" w:hAnsi="仿宋" w:eastAsia="仿宋" w:cs="仿宋"/>
          <w:i w:val="0"/>
          <w:iCs w:val="0"/>
          <w:color w:val="auto"/>
          <w:kern w:val="2"/>
          <w:sz w:val="32"/>
          <w:szCs w:val="32"/>
          <w:lang w:val="en-US" w:eastAsia="zh-CN" w:bidi="ar-SA"/>
        </w:rPr>
      </w:pPr>
      <w:r>
        <w:rPr>
          <w:rFonts w:hint="eastAsia" w:ascii="仿宋" w:hAnsi="仿宋" w:eastAsia="仿宋" w:cs="仿宋"/>
          <w:i w:val="0"/>
          <w:iCs w:val="0"/>
          <w:color w:val="auto"/>
          <w:kern w:val="2"/>
          <w:sz w:val="32"/>
          <w:szCs w:val="32"/>
          <w:lang w:val="en-US" w:eastAsia="zh-CN" w:bidi="ar-SA"/>
        </w:rPr>
        <w:t>3.显示器内置</w:t>
      </w:r>
    </w:p>
    <w:p>
      <w:pPr>
        <w:numPr>
          <w:ilvl w:val="0"/>
          <w:numId w:val="0"/>
        </w:numPr>
        <w:ind w:firstLine="640" w:firstLineChars="200"/>
        <w:jc w:val="left"/>
        <w:rPr>
          <w:rFonts w:hint="eastAsia" w:ascii="仿宋" w:hAnsi="仿宋" w:eastAsia="仿宋" w:cs="仿宋"/>
          <w:i w:val="0"/>
          <w:iCs w:val="0"/>
          <w:color w:val="auto"/>
          <w:kern w:val="2"/>
          <w:sz w:val="32"/>
          <w:szCs w:val="32"/>
          <w:lang w:val="en-US" w:eastAsia="zh-CN" w:bidi="ar-SA"/>
        </w:rPr>
      </w:pPr>
      <w:r>
        <w:rPr>
          <w:rFonts w:hint="eastAsia" w:ascii="仿宋" w:hAnsi="仿宋" w:eastAsia="仿宋" w:cs="仿宋"/>
          <w:i w:val="0"/>
          <w:iCs w:val="0"/>
          <w:color w:val="auto"/>
          <w:kern w:val="2"/>
          <w:sz w:val="32"/>
          <w:szCs w:val="32"/>
          <w:lang w:val="en-US" w:eastAsia="zh-CN" w:bidi="ar-SA"/>
        </w:rPr>
        <w:t>DICOM,GAMMA2.2,GAMM2.4 ,DSA,DSI ,CT/MRI-JS，提供产品说明书内置曲线的证明材料。</w:t>
      </w:r>
    </w:p>
    <w:p>
      <w:pPr>
        <w:numPr>
          <w:ilvl w:val="0"/>
          <w:numId w:val="0"/>
        </w:numPr>
        <w:jc w:val="left"/>
        <w:rPr>
          <w:rFonts w:hint="eastAsia" w:ascii="仿宋" w:hAnsi="仿宋" w:eastAsia="仿宋" w:cs="仿宋"/>
          <w:i w:val="0"/>
          <w:iCs w:val="0"/>
          <w:color w:val="auto"/>
          <w:kern w:val="2"/>
          <w:sz w:val="32"/>
          <w:szCs w:val="32"/>
          <w:lang w:val="en-US" w:eastAsia="zh-CN" w:bidi="ar-SA"/>
        </w:rPr>
      </w:pPr>
      <w:r>
        <w:rPr>
          <w:rFonts w:hint="eastAsia" w:ascii="仿宋" w:hAnsi="仿宋" w:eastAsia="仿宋" w:cs="仿宋"/>
          <w:i w:val="0"/>
          <w:iCs w:val="0"/>
          <w:color w:val="auto"/>
          <w:kern w:val="2"/>
          <w:sz w:val="32"/>
          <w:szCs w:val="32"/>
          <w:lang w:val="en-US" w:eastAsia="zh-CN" w:bidi="ar-SA"/>
        </w:rPr>
        <w:t xml:space="preserve">   4.视频信号输入接口：DP≥2，DVI-D≥1；提供该产品说明书内的证明材料或实物照片。</w:t>
      </w:r>
    </w:p>
    <w:p>
      <w:pPr>
        <w:numPr>
          <w:ilvl w:val="0"/>
          <w:numId w:val="0"/>
        </w:numPr>
        <w:ind w:firstLine="640" w:firstLineChars="200"/>
        <w:jc w:val="left"/>
        <w:rPr>
          <w:rFonts w:hint="eastAsia" w:ascii="仿宋" w:hAnsi="仿宋" w:eastAsia="仿宋" w:cs="仿宋"/>
          <w:i w:val="0"/>
          <w:iCs w:val="0"/>
          <w:color w:val="auto"/>
          <w:kern w:val="2"/>
          <w:sz w:val="32"/>
          <w:szCs w:val="32"/>
          <w:lang w:val="en-US" w:eastAsia="zh-CN" w:bidi="ar-SA"/>
        </w:rPr>
      </w:pPr>
      <w:r>
        <w:rPr>
          <w:rFonts w:hint="eastAsia" w:ascii="仿宋" w:hAnsi="仿宋" w:eastAsia="仿宋" w:cs="仿宋"/>
          <w:i w:val="0"/>
          <w:iCs w:val="0"/>
          <w:color w:val="auto"/>
          <w:kern w:val="2"/>
          <w:sz w:val="32"/>
          <w:szCs w:val="32"/>
          <w:lang w:val="en-US" w:eastAsia="zh-CN" w:bidi="ar-SA"/>
        </w:rPr>
        <w:t>5.显示器LUT表可以动态生成，亮度在200-800cd/m2范围内可动态调节，提供可以动态生成LUT表的证明材料，提供产品说明书内能证明可动态调节亮度的范围的证明材料。</w:t>
      </w:r>
    </w:p>
    <w:p>
      <w:pPr>
        <w:numPr>
          <w:ilvl w:val="0"/>
          <w:numId w:val="0"/>
        </w:numPr>
        <w:ind w:firstLine="640" w:firstLineChars="200"/>
        <w:jc w:val="left"/>
        <w:rPr>
          <w:rFonts w:hint="eastAsia" w:ascii="仿宋" w:hAnsi="仿宋" w:eastAsia="仿宋" w:cs="仿宋"/>
          <w:i w:val="0"/>
          <w:iCs w:val="0"/>
          <w:color w:val="auto"/>
          <w:kern w:val="2"/>
          <w:sz w:val="32"/>
          <w:szCs w:val="32"/>
          <w:lang w:val="en-US" w:eastAsia="zh-CN" w:bidi="ar-SA"/>
        </w:rPr>
      </w:pPr>
      <w:r>
        <w:rPr>
          <w:rFonts w:hint="eastAsia" w:ascii="仿宋" w:hAnsi="仿宋" w:eastAsia="仿宋" w:cs="仿宋"/>
          <w:i w:val="0"/>
          <w:iCs w:val="0"/>
          <w:color w:val="auto"/>
          <w:kern w:val="2"/>
          <w:sz w:val="32"/>
          <w:szCs w:val="32"/>
          <w:lang w:val="en-US" w:eastAsia="zh-CN" w:bidi="ar-SA"/>
        </w:rPr>
        <w:t>6.智能化专业显示器质量保证软件，具有医用显示器质量检测、校准和提供书面报告的功能，提供软件功能截图或者照片，提供国家知识产权局认可的证明材料。</w:t>
      </w:r>
    </w:p>
    <w:p>
      <w:pPr>
        <w:numPr>
          <w:ilvl w:val="0"/>
          <w:numId w:val="0"/>
        </w:numPr>
        <w:ind w:firstLine="640" w:firstLineChars="200"/>
        <w:jc w:val="left"/>
        <w:rPr>
          <w:rFonts w:hint="eastAsia" w:ascii="仿宋" w:hAnsi="仿宋" w:eastAsia="仿宋" w:cs="仿宋"/>
          <w:i w:val="0"/>
          <w:iCs w:val="0"/>
          <w:color w:val="auto"/>
          <w:kern w:val="2"/>
          <w:sz w:val="32"/>
          <w:szCs w:val="32"/>
          <w:lang w:val="en-US" w:eastAsia="zh-CN" w:bidi="ar-SA"/>
        </w:rPr>
      </w:pPr>
      <w:r>
        <w:rPr>
          <w:rFonts w:hint="eastAsia" w:ascii="仿宋" w:hAnsi="仿宋" w:eastAsia="仿宋" w:cs="仿宋"/>
          <w:i w:val="0"/>
          <w:iCs w:val="0"/>
          <w:color w:val="auto"/>
          <w:kern w:val="2"/>
          <w:sz w:val="32"/>
          <w:szCs w:val="32"/>
          <w:lang w:val="en-US" w:eastAsia="zh-CN" w:bidi="ar-SA"/>
        </w:rPr>
        <w:t>7.标准QC策略库软件设置模块提供≥12个不可变更的标准QC策略库,此类策略只可查看,不支持修改,提供软件功能界面截图并标注每个策略的应用范围。</w:t>
      </w:r>
    </w:p>
    <w:p>
      <w:pPr>
        <w:numPr>
          <w:ilvl w:val="0"/>
          <w:numId w:val="0"/>
        </w:numPr>
        <w:ind w:firstLine="640" w:firstLineChars="200"/>
        <w:jc w:val="left"/>
        <w:rPr>
          <w:rFonts w:hint="eastAsia" w:ascii="仿宋" w:hAnsi="仿宋" w:eastAsia="仿宋" w:cs="仿宋"/>
          <w:i w:val="0"/>
          <w:iCs w:val="0"/>
          <w:color w:val="auto"/>
          <w:kern w:val="2"/>
          <w:sz w:val="32"/>
          <w:szCs w:val="32"/>
          <w:lang w:val="en-US" w:eastAsia="zh-CN" w:bidi="ar-SA"/>
        </w:rPr>
      </w:pPr>
      <w:r>
        <w:rPr>
          <w:rFonts w:hint="eastAsia" w:ascii="仿宋" w:hAnsi="仿宋" w:eastAsia="仿宋" w:cs="仿宋"/>
          <w:i w:val="0"/>
          <w:iCs w:val="0"/>
          <w:color w:val="auto"/>
          <w:kern w:val="2"/>
          <w:sz w:val="32"/>
          <w:szCs w:val="32"/>
          <w:lang w:val="en-US" w:eastAsia="zh-CN" w:bidi="ar-SA"/>
        </w:rPr>
        <w:t>8.自动检测:可以配置自动检测的周期、时间,条件达成后,软件自动对显示器进行性能检测,结果自动发送到管理员邮箱,提供检测频次、时间和邮箱配置的界面截图。</w:t>
      </w:r>
    </w:p>
    <w:p>
      <w:pPr>
        <w:numPr>
          <w:ilvl w:val="0"/>
          <w:numId w:val="0"/>
        </w:numPr>
        <w:ind w:firstLine="640" w:firstLineChars="200"/>
        <w:jc w:val="left"/>
        <w:rPr>
          <w:rFonts w:hint="eastAsia" w:ascii="仿宋" w:hAnsi="仿宋" w:eastAsia="仿宋" w:cs="仿宋"/>
          <w:i w:val="0"/>
          <w:iCs w:val="0"/>
          <w:color w:val="auto"/>
          <w:kern w:val="2"/>
          <w:sz w:val="32"/>
          <w:szCs w:val="32"/>
          <w:lang w:val="en-US" w:eastAsia="zh-CN" w:bidi="ar-SA"/>
        </w:rPr>
      </w:pPr>
      <w:r>
        <w:rPr>
          <w:rFonts w:hint="eastAsia" w:ascii="仿宋" w:hAnsi="仿宋" w:eastAsia="仿宋" w:cs="仿宋"/>
          <w:i w:val="0"/>
          <w:iCs w:val="0"/>
          <w:color w:val="auto"/>
          <w:kern w:val="2"/>
          <w:sz w:val="32"/>
          <w:szCs w:val="32"/>
          <w:lang w:val="en-US" w:eastAsia="zh-CN" w:bidi="ar-SA"/>
        </w:rPr>
        <w:t>9.多维信息检索:软件可通过机型、SN、操作类型、结果、QC策略、操作人、日期范围、显示器类型等多维信息检索检测报告。</w:t>
      </w:r>
    </w:p>
    <w:p>
      <w:pPr>
        <w:numPr>
          <w:ilvl w:val="0"/>
          <w:numId w:val="0"/>
        </w:numPr>
        <w:ind w:firstLine="640" w:firstLineChars="200"/>
        <w:jc w:val="left"/>
        <w:rPr>
          <w:rFonts w:hint="eastAsia" w:ascii="仿宋" w:hAnsi="仿宋" w:eastAsia="仿宋" w:cs="仿宋"/>
          <w:i w:val="0"/>
          <w:iCs w:val="0"/>
          <w:color w:val="auto"/>
          <w:kern w:val="2"/>
          <w:sz w:val="32"/>
          <w:szCs w:val="32"/>
          <w:lang w:val="en-US" w:eastAsia="zh-CN" w:bidi="ar-SA"/>
        </w:rPr>
      </w:pPr>
      <w:r>
        <w:rPr>
          <w:rFonts w:hint="eastAsia" w:ascii="仿宋" w:hAnsi="仿宋" w:eastAsia="仿宋" w:cs="仿宋"/>
          <w:i w:val="0"/>
          <w:iCs w:val="0"/>
          <w:color w:val="auto"/>
          <w:kern w:val="2"/>
          <w:sz w:val="32"/>
          <w:szCs w:val="32"/>
          <w:lang w:val="en-US" w:eastAsia="zh-CN" w:bidi="ar-SA"/>
        </w:rPr>
        <w:t>10.具备无丝印按键，可快速调用阅片灯、一键增亮等功能，提供相关证明材料。</w:t>
      </w:r>
    </w:p>
    <w:p>
      <w:pPr>
        <w:numPr>
          <w:ilvl w:val="0"/>
          <w:numId w:val="0"/>
        </w:numPr>
        <w:ind w:firstLine="640" w:firstLineChars="200"/>
        <w:jc w:val="left"/>
        <w:rPr>
          <w:rFonts w:hint="eastAsia" w:ascii="仿宋" w:hAnsi="仿宋" w:eastAsia="仿宋" w:cs="仿宋"/>
          <w:i w:val="0"/>
          <w:iCs w:val="0"/>
          <w:color w:val="auto"/>
          <w:kern w:val="2"/>
          <w:sz w:val="32"/>
          <w:szCs w:val="32"/>
          <w:lang w:val="en-US" w:eastAsia="zh-CN" w:bidi="ar-SA"/>
        </w:rPr>
      </w:pPr>
      <w:r>
        <w:rPr>
          <w:rFonts w:hint="eastAsia" w:ascii="仿宋" w:hAnsi="仿宋" w:eastAsia="仿宋" w:cs="仿宋"/>
          <w:i w:val="0"/>
          <w:iCs w:val="0"/>
          <w:color w:val="auto"/>
          <w:kern w:val="2"/>
          <w:sz w:val="32"/>
          <w:szCs w:val="32"/>
          <w:lang w:val="en-US" w:eastAsia="zh-CN" w:bidi="ar-SA"/>
        </w:rPr>
        <w:t>11.产品获得CCC强制认证，并且3C认证证书上委托人、生产者（制造商）和生产企业名称须完全一致，提供中国强制认证证书。</w:t>
      </w:r>
    </w:p>
    <w:p>
      <w:pPr>
        <w:numPr>
          <w:ilvl w:val="0"/>
          <w:numId w:val="0"/>
        </w:numPr>
        <w:ind w:firstLine="640" w:firstLineChars="200"/>
        <w:jc w:val="left"/>
        <w:rPr>
          <w:rFonts w:hint="eastAsia" w:ascii="仿宋" w:hAnsi="仿宋" w:eastAsia="仿宋" w:cs="仿宋"/>
          <w:i w:val="0"/>
          <w:iCs w:val="0"/>
          <w:color w:val="auto"/>
          <w:kern w:val="2"/>
          <w:sz w:val="32"/>
          <w:szCs w:val="32"/>
          <w:lang w:val="en-US" w:eastAsia="zh-CN" w:bidi="ar-SA"/>
        </w:rPr>
      </w:pPr>
      <w:r>
        <w:rPr>
          <w:rFonts w:hint="eastAsia" w:ascii="仿宋" w:hAnsi="仿宋" w:eastAsia="仿宋" w:cs="仿宋"/>
          <w:i w:val="0"/>
          <w:iCs w:val="0"/>
          <w:color w:val="auto"/>
          <w:kern w:val="2"/>
          <w:sz w:val="32"/>
          <w:szCs w:val="32"/>
          <w:lang w:val="en-US" w:eastAsia="zh-CN" w:bidi="ar-SA"/>
        </w:rPr>
        <w:t>12.产品获得中国节能产品认证，并且节能认证证书上委托人、生产者和生产企业名称完全一致。</w:t>
      </w:r>
    </w:p>
    <w:p>
      <w:pPr>
        <w:pStyle w:val="8"/>
        <w:keepNext w:val="0"/>
        <w:keepLines w:val="0"/>
        <w:pageBreakBefore w:val="0"/>
        <w:widowControl w:val="0"/>
        <w:kinsoku/>
        <w:wordWrap/>
        <w:overflowPunct/>
        <w:topLinePunct w:val="0"/>
        <w:autoSpaceDE/>
        <w:autoSpaceDN/>
        <w:bidi w:val="0"/>
        <w:adjustRightInd/>
        <w:snapToGrid/>
        <w:spacing w:line="550" w:lineRule="exact"/>
        <w:ind w:right="-120" w:rightChars="-57" w:firstLine="640" w:firstLineChars="200"/>
        <w:textAlignment w:val="auto"/>
        <w:rPr>
          <w:rFonts w:hint="eastAsia" w:ascii="仿宋" w:hAnsi="仿宋" w:eastAsia="仿宋" w:cs="仿宋"/>
          <w:i w:val="0"/>
          <w:iCs w:val="0"/>
          <w:color w:val="auto"/>
          <w:sz w:val="32"/>
          <w:szCs w:val="32"/>
        </w:rPr>
      </w:pPr>
      <w:r>
        <w:rPr>
          <w:rFonts w:hint="eastAsia" w:ascii="仿宋" w:hAnsi="仿宋" w:eastAsia="仿宋" w:cs="仿宋"/>
          <w:i w:val="0"/>
          <w:iCs w:val="0"/>
          <w:color w:val="auto"/>
          <w:sz w:val="32"/>
          <w:szCs w:val="32"/>
        </w:rPr>
        <w:t>（2）商务要求</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1.1 货物为本次招标前原制造商制造的非淘汰类全新产品，整机无污染，无侵权行为、表面无划损、 无任何缺陷隐患，在中国境内可依常规安全合法使用。货物为原厂商未启封全新包装，</w:t>
      </w:r>
      <w:r>
        <w:rPr>
          <w:rFonts w:hint="eastAsia" w:ascii="仿宋" w:hAnsi="仿宋" w:eastAsia="仿宋" w:cs="仿宋"/>
          <w:color w:val="auto"/>
          <w:sz w:val="30"/>
          <w:szCs w:val="30"/>
          <w:highlight w:val="none"/>
          <w:lang w:val="en-US" w:eastAsia="zh-CN"/>
        </w:rPr>
        <w:t>出具</w:t>
      </w:r>
      <w:r>
        <w:rPr>
          <w:rFonts w:hint="eastAsia" w:ascii="仿宋" w:hAnsi="仿宋" w:eastAsia="仿宋" w:cs="仿宋"/>
          <w:color w:val="auto"/>
          <w:sz w:val="30"/>
          <w:szCs w:val="30"/>
          <w:highlight w:val="none"/>
        </w:rPr>
        <w:t>厂</w:t>
      </w:r>
      <w:r>
        <w:rPr>
          <w:rFonts w:hint="eastAsia" w:ascii="仿宋" w:hAnsi="仿宋" w:eastAsia="仿宋" w:cs="仿宋"/>
          <w:color w:val="auto"/>
          <w:sz w:val="30"/>
          <w:szCs w:val="30"/>
          <w:highlight w:val="none"/>
          <w:lang w:val="en-US" w:eastAsia="zh-CN"/>
        </w:rPr>
        <w:t>检</w:t>
      </w:r>
      <w:r>
        <w:rPr>
          <w:rFonts w:hint="eastAsia" w:ascii="仿宋" w:hAnsi="仿宋" w:eastAsia="仿宋" w:cs="仿宋"/>
          <w:color w:val="auto"/>
          <w:sz w:val="30"/>
          <w:szCs w:val="30"/>
          <w:highlight w:val="none"/>
        </w:rPr>
        <w:t>合格证，序列号、包装箱号与出厂批号一致，并可追索查阅。应附关键设备的用户手册、保修手册、有关单证资料及配备件、随机工具等，设备使用操作及安全须知等重要资料应附有中文说明。</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 本次采购所采购商品的基本参数要求为最基本配置，如无特别说明，任何产品不得低于上述基本配置供货，并作为产品到货最终验收标准。</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 xml:space="preserve"> 投标人在实际供货时，若被发现提供的货物未能达到招标文件和投标文件中的有关要求，采购人将有权单方面中止合同的执行，并追究因中标人所提供的未达到所承诺准确率产品而产生的所有损失和责任。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 xml:space="preserve">报价要求：报价应包括供货方设计、安装、随机零配件、标配工具、运输费用及保险、调试、培训、质保期服务、各项税费及合同实施过程中不可预见费用等。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交货期：合同签订后</w:t>
      </w:r>
      <w:r>
        <w:rPr>
          <w:rFonts w:hint="eastAsia" w:ascii="仿宋" w:hAnsi="仿宋" w:eastAsia="仿宋" w:cs="仿宋"/>
          <w:color w:val="auto"/>
          <w:sz w:val="30"/>
          <w:szCs w:val="30"/>
          <w:highlight w:val="none"/>
          <w:lang w:val="en-US" w:eastAsia="zh-CN"/>
        </w:rPr>
        <w:t>7个工作日</w:t>
      </w:r>
      <w:r>
        <w:rPr>
          <w:rFonts w:hint="eastAsia" w:ascii="仿宋" w:hAnsi="仿宋" w:eastAsia="仿宋" w:cs="仿宋"/>
          <w:color w:val="auto"/>
          <w:sz w:val="30"/>
          <w:szCs w:val="30"/>
          <w:highlight w:val="none"/>
        </w:rPr>
        <w:t>内完成供货、</w:t>
      </w:r>
      <w:r>
        <w:rPr>
          <w:rFonts w:hint="eastAsia" w:ascii="仿宋" w:hAnsi="仿宋" w:eastAsia="仿宋" w:cs="仿宋"/>
          <w:color w:val="auto"/>
          <w:sz w:val="30"/>
          <w:szCs w:val="30"/>
          <w:highlight w:val="none"/>
          <w:lang w:val="en-US" w:eastAsia="zh-CN"/>
        </w:rPr>
        <w:t>组装、</w:t>
      </w:r>
      <w:r>
        <w:rPr>
          <w:rFonts w:hint="eastAsia" w:ascii="仿宋" w:hAnsi="仿宋" w:eastAsia="仿宋" w:cs="仿宋"/>
          <w:color w:val="auto"/>
          <w:sz w:val="30"/>
          <w:szCs w:val="30"/>
          <w:highlight w:val="none"/>
        </w:rPr>
        <w:t xml:space="preserve">调试并交付验收，除双方对推迟工期书面达成一致外，中标人要在规定的工期内完工。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4、交货地点：采购人指定地点。</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5、培训要求： 投标人要满足本节要求的培训服务。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培训内容：系统设备软硬件培训。包括各种常见的软硬件故障及特点、系统的工作原理及特点，相关的设备安装和维护及常见故障现象及诊断、常见的问题及解决办法等。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用户单位培训：所有设备的安装调试、系统优化培训。</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特别强调：用户（项目单位）有权对投标人提出的培训项目内容进行选择。其他：培训开始时间与用户协商后安排实施。中标人应负责所有培训费用。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质量保证及售后服务：</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 xml:space="preserve">.1 </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货物质量保证投标人提供的货物必须是原厂生产的、全新的、未使用过的正品（包括零部件），并完全符合国家质量标准，所有设备按照厂家规定的产品包装，附使用说明、合格证、随机标准附件。所有产品 符合《中华人民共和国产品质量法》、《中华人民共和国计量法》、《中华人民共和国标准化法》要求、相关行业管理规定。</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6.2</w:t>
      </w:r>
      <w:r>
        <w:rPr>
          <w:rFonts w:hint="eastAsia" w:ascii="仿宋" w:hAnsi="仿宋" w:eastAsia="仿宋" w:cs="仿宋"/>
          <w:color w:val="auto"/>
          <w:sz w:val="30"/>
          <w:szCs w:val="30"/>
          <w:highlight w:val="none"/>
        </w:rPr>
        <w:t xml:space="preserve"> </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lang w:val="en-US" w:eastAsia="zh-CN"/>
        </w:rPr>
        <w:t>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书面承诺，否则投标无效。</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6.3</w:t>
      </w:r>
      <w:r>
        <w:rPr>
          <w:rFonts w:hint="eastAsia" w:ascii="仿宋" w:hAnsi="仿宋" w:eastAsia="仿宋" w:cs="仿宋"/>
          <w:color w:val="auto"/>
          <w:sz w:val="30"/>
          <w:szCs w:val="30"/>
          <w:highlight w:val="none"/>
        </w:rPr>
        <w:t xml:space="preserve">售后服务要求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（1）质保期为</w:t>
      </w:r>
      <w:r>
        <w:rPr>
          <w:rFonts w:hint="eastAsia" w:ascii="仿宋" w:hAnsi="仿宋" w:eastAsia="仿宋" w:cs="仿宋"/>
          <w:color w:val="auto"/>
          <w:sz w:val="30"/>
          <w:szCs w:val="30"/>
          <w:highlight w:val="none"/>
          <w:lang w:val="en-US" w:eastAsia="zh-CN"/>
        </w:rPr>
        <w:t>一</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eastAsia="zh-CN"/>
        </w:rPr>
        <w:t>及以上</w:t>
      </w:r>
      <w:r>
        <w:rPr>
          <w:rFonts w:hint="eastAsia" w:ascii="仿宋" w:hAnsi="仿宋" w:eastAsia="仿宋" w:cs="仿宋"/>
          <w:color w:val="auto"/>
          <w:sz w:val="30"/>
          <w:szCs w:val="30"/>
          <w:highlight w:val="none"/>
        </w:rPr>
        <w:t>（采购需求中另有要求的从其规定）。从验收合格之日起</w:t>
      </w:r>
      <w:r>
        <w:rPr>
          <w:rFonts w:hint="eastAsia" w:ascii="仿宋" w:hAnsi="仿宋" w:eastAsia="仿宋" w:cs="仿宋"/>
          <w:color w:val="auto"/>
          <w:sz w:val="30"/>
          <w:szCs w:val="30"/>
          <w:highlight w:val="none"/>
          <w:lang w:eastAsia="zh-CN"/>
        </w:rPr>
        <w:t>一</w:t>
      </w:r>
      <w:r>
        <w:rPr>
          <w:rFonts w:hint="eastAsia" w:ascii="仿宋" w:hAnsi="仿宋" w:eastAsia="仿宋" w:cs="仿宋"/>
          <w:color w:val="auto"/>
          <w:sz w:val="30"/>
          <w:szCs w:val="30"/>
          <w:highlight w:val="none"/>
        </w:rPr>
        <w:t xml:space="preserve">年内（采购需求中另有要求的从其规定），采购人所购设备各部件发生非人为故障，投标人应上门更换同种品牌不低于原规格型号的新部件，费用包含在本项目的投标报价内。投标人投标产品属于国家规定“三包”范围的，其产品质量保证期不得 低于“三包”规定；投标人的质量保证期承诺优于国家“三包”规定的，按投标人实际承诺执行。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采购人报修后，除招标文件有特殊要求外，投标人须在 2 小时内派员上门现场维护，并在24小时内解决问题，在规定时间内不能解决问题的设备，应提供不低于原档次的零部件给采购人代用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在投标文件中提交书面承诺函，否则投标无效</w:t>
      </w:r>
      <w:r>
        <w:rPr>
          <w:rFonts w:hint="eastAsia" w:ascii="仿宋" w:hAnsi="仿宋" w:eastAsia="仿宋" w:cs="仿宋"/>
          <w:color w:val="auto"/>
          <w:sz w:val="30"/>
          <w:szCs w:val="30"/>
          <w:highlight w:val="none"/>
        </w:rPr>
        <w:t xml:space="preserve">。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保修期间，非易损件一个月内连续2次出现同一故障，投标人必须无条件更换同一档次零部件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在投标文件中提交书面承诺函，否则投标无效</w:t>
      </w:r>
      <w:r>
        <w:rPr>
          <w:rFonts w:hint="eastAsia" w:ascii="仿宋" w:hAnsi="仿宋" w:eastAsia="仿宋" w:cs="仿宋"/>
          <w:color w:val="auto"/>
          <w:sz w:val="30"/>
          <w:szCs w:val="30"/>
          <w:highlight w:val="none"/>
        </w:rPr>
        <w:t>。</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 xml:space="preserve">质保期满后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 xml:space="preserve">1）质保期满后，投标人提供终身有偿上门维护服务。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（2）保证保修期以后对用户的零配件供应。保修期后设备维修配件更换只收取成本费用。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、采购人配合条件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投标人在投标文件中要列明在项目实施过程中要求采购人提供的配合条件。</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 xml:space="preserve">、违约责任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（1）中标人未能按时交付货物或交付的货物不符合招标文件，合同规定标准的，则向采购人支付货物总金额 5％的违约金，违约金从履约保证金中扣除。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2）如发现中标人交付货物的质量，规格和数量，不符合或达不到合同规定的技术参数和要求的，采购人有权拒收货物，由此造成采购人损失的，中标人向采购人支付货物总金额5%的违约金，违约金从履约保证金中扣除。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维保</w:t>
      </w:r>
      <w:r>
        <w:rPr>
          <w:rFonts w:hint="eastAsia" w:ascii="仿宋" w:hAnsi="仿宋" w:eastAsia="仿宋" w:cs="仿宋"/>
          <w:color w:val="auto"/>
          <w:sz w:val="30"/>
          <w:szCs w:val="30"/>
          <w:highlight w:val="none"/>
        </w:rPr>
        <w:t xml:space="preserve">期内，中标人无法按时为采购人提供售后服务或以任何理由拒绝履行售后服务承诺的，中标人向采购人支付货物总金额5%的违约金，违约金从履约保证金中扣除。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（4）如在合同执行期间因中标人违约导致履约保证金部分扣除，中标人需在五个工作日内将扣除的 履约保证金补齐。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t xml:space="preserve">、付款方式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签订合同收货验收合格后待地区财政下发的《中央医疗服务与保障能力提升》(和地财社〔2023】64号)项目中的医疗机构能力建设补助资金结余资金地方财政拨付到位后100%支付（具体以合同签订为准）；</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）中标人向采购人申请付款的同时，应向采购人开具等额有效发票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 xml:space="preserve"> </w:t>
      </w:r>
    </w:p>
    <w:p>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）履约保证金</w:t>
      </w:r>
      <w:r>
        <w:rPr>
          <w:rFonts w:hint="eastAsia" w:ascii="仿宋" w:hAnsi="仿宋" w:eastAsia="仿宋" w:cs="仿宋"/>
          <w:color w:val="auto"/>
          <w:sz w:val="30"/>
          <w:szCs w:val="30"/>
          <w:highlight w:val="none"/>
          <w:lang w:eastAsia="zh-CN"/>
        </w:rPr>
        <w:t>按照履约保函形式执行（</w:t>
      </w:r>
      <w:r>
        <w:rPr>
          <w:rFonts w:hint="eastAsia" w:ascii="仿宋" w:hAnsi="仿宋" w:eastAsia="仿宋" w:cs="仿宋"/>
          <w:color w:val="auto"/>
          <w:sz w:val="30"/>
          <w:szCs w:val="30"/>
          <w:highlight w:val="none"/>
          <w:lang w:val="en-US" w:eastAsia="zh-CN"/>
        </w:rPr>
        <w:t>具体以合同签订为准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p>
      <w:pPr>
        <w:pStyle w:val="4"/>
        <w:pageBreakBefore w:val="0"/>
        <w:kinsoku/>
        <w:wordWrap/>
        <w:overflowPunct/>
        <w:topLinePunct w:val="0"/>
        <w:bidi w:val="0"/>
        <w:spacing w:line="55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pageBreakBefore w:val="0"/>
        <w:kinsoku/>
        <w:wordWrap/>
        <w:overflowPunct/>
        <w:topLinePunct w:val="0"/>
        <w:bidi w:val="0"/>
        <w:snapToGrid w:val="0"/>
        <w:spacing w:line="550" w:lineRule="exact"/>
        <w:ind w:firstLine="602" w:firstLineChars="20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资格性审查表</w:t>
      </w:r>
    </w:p>
    <w:tbl>
      <w:tblPr>
        <w:tblStyle w:val="15"/>
        <w:tblW w:w="5562" w:type="pct"/>
        <w:tblInd w:w="-3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6"/>
        <w:gridCol w:w="90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480" w:type="pct"/>
            <w:noWrap w:val="0"/>
            <w:vAlign w:val="center"/>
          </w:tcPr>
          <w:p>
            <w:pPr>
              <w:pageBreakBefore w:val="0"/>
              <w:kinsoku/>
              <w:wordWrap/>
              <w:overflowPunct/>
              <w:topLinePunct w:val="0"/>
              <w:bidi w:val="0"/>
              <w:snapToGrid w:val="0"/>
              <w:spacing w:line="550" w:lineRule="exact"/>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4519" w:type="pct"/>
            <w:noWrap w:val="0"/>
            <w:vAlign w:val="center"/>
          </w:tcPr>
          <w:p>
            <w:pPr>
              <w:pageBreakBefore w:val="0"/>
              <w:kinsoku/>
              <w:wordWrap/>
              <w:overflowPunct/>
              <w:topLinePunct w:val="0"/>
              <w:bidi w:val="0"/>
              <w:snapToGrid w:val="0"/>
              <w:spacing w:line="550" w:lineRule="exact"/>
              <w:ind w:firstLine="602" w:firstLineChars="20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0" w:type="pct"/>
            <w:noWrap w:val="0"/>
            <w:vAlign w:val="center"/>
          </w:tcPr>
          <w:p>
            <w:pPr>
              <w:pStyle w:val="21"/>
              <w:pageBreakBefore w:val="0"/>
              <w:numPr>
                <w:ilvl w:val="0"/>
                <w:numId w:val="0"/>
              </w:numPr>
              <w:kinsoku/>
              <w:wordWrap/>
              <w:overflowPunct/>
              <w:topLinePunct w:val="0"/>
              <w:bidi w:val="0"/>
              <w:snapToGrid w:val="0"/>
              <w:spacing w:line="550" w:lineRule="exac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w:t>
            </w:r>
          </w:p>
        </w:tc>
        <w:tc>
          <w:tcPr>
            <w:tcW w:w="4519" w:type="pct"/>
            <w:noWrap w:val="0"/>
            <w:vAlign w:val="center"/>
          </w:tcPr>
          <w:p>
            <w:pPr>
              <w:pageBreakBefore w:val="0"/>
              <w:tabs>
                <w:tab w:val="left" w:pos="612"/>
              </w:tabs>
              <w:kinsoku/>
              <w:wordWrap/>
              <w:overflowPunct/>
              <w:topLinePunct w:val="0"/>
              <w:bidi w:val="0"/>
              <w:snapToGrid w:val="0"/>
              <w:spacing w:line="55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具备《中华人民共和国政府采购法》第二十二条规定的条件</w:t>
            </w:r>
            <w:r>
              <w:rPr>
                <w:rFonts w:hint="eastAsia" w:ascii="仿宋" w:hAnsi="仿宋" w:eastAsia="仿宋" w:cs="仿宋"/>
                <w:color w:val="auto"/>
                <w:sz w:val="30"/>
                <w:szCs w:val="3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0" w:type="pct"/>
            <w:noWrap w:val="0"/>
            <w:vAlign w:val="center"/>
          </w:tcPr>
          <w:p>
            <w:pPr>
              <w:pageBreakBefore w:val="0"/>
              <w:numPr>
                <w:ilvl w:val="0"/>
                <w:numId w:val="0"/>
              </w:numPr>
              <w:tabs>
                <w:tab w:val="left" w:pos="176"/>
                <w:tab w:val="center" w:pos="591"/>
                <w:tab w:val="left" w:pos="612"/>
              </w:tabs>
              <w:kinsoku/>
              <w:wordWrap/>
              <w:overflowPunct/>
              <w:topLinePunct w:val="0"/>
              <w:bidi w:val="0"/>
              <w:snapToGrid w:val="0"/>
              <w:spacing w:line="550" w:lineRule="exact"/>
              <w:ind w:firstLine="300" w:firstLineChars="10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p>
        </w:tc>
        <w:tc>
          <w:tcPr>
            <w:tcW w:w="4519" w:type="pct"/>
            <w:noWrap w:val="0"/>
            <w:vAlign w:val="center"/>
          </w:tcPr>
          <w:p>
            <w:pPr>
              <w:pageBreakBefore w:val="0"/>
              <w:tabs>
                <w:tab w:val="left" w:pos="612"/>
              </w:tabs>
              <w:kinsoku/>
              <w:wordWrap/>
              <w:overflowPunct/>
              <w:topLinePunct w:val="0"/>
              <w:bidi w:val="0"/>
              <w:snapToGrid w:val="0"/>
              <w:spacing w:line="55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0" w:type="pct"/>
            <w:noWrap w:val="0"/>
            <w:vAlign w:val="center"/>
          </w:tcPr>
          <w:p>
            <w:pPr>
              <w:pStyle w:val="21"/>
              <w:pageBreakBefore w:val="0"/>
              <w:numPr>
                <w:ilvl w:val="0"/>
                <w:numId w:val="0"/>
              </w:numPr>
              <w:kinsoku/>
              <w:wordWrap/>
              <w:overflowPunct/>
              <w:topLinePunct w:val="0"/>
              <w:bidi w:val="0"/>
              <w:snapToGrid w:val="0"/>
              <w:spacing w:line="550" w:lineRule="exac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w:t>
            </w:r>
          </w:p>
        </w:tc>
        <w:tc>
          <w:tcPr>
            <w:tcW w:w="4519" w:type="pct"/>
            <w:noWrap w:val="0"/>
            <w:vAlign w:val="center"/>
          </w:tcPr>
          <w:p>
            <w:pPr>
              <w:pStyle w:val="21"/>
              <w:pageBreakBefore w:val="0"/>
              <w:widowControl/>
              <w:tabs>
                <w:tab w:val="left" w:pos="1446"/>
              </w:tabs>
              <w:kinsoku/>
              <w:wordWrap/>
              <w:overflowPunct/>
              <w:topLinePunct w:val="0"/>
              <w:bidi w:val="0"/>
              <w:snapToGrid w:val="0"/>
              <w:spacing w:line="55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法人投标应附《法定代表人身份证明书》，委托代理人应附《法定代表人授权委托书》；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0" w:type="pct"/>
            <w:noWrap w:val="0"/>
            <w:vAlign w:val="center"/>
          </w:tcPr>
          <w:p>
            <w:pPr>
              <w:pStyle w:val="21"/>
              <w:pageBreakBefore w:val="0"/>
              <w:numPr>
                <w:ilvl w:val="0"/>
                <w:numId w:val="0"/>
              </w:numPr>
              <w:kinsoku/>
              <w:wordWrap/>
              <w:overflowPunct/>
              <w:topLinePunct w:val="0"/>
              <w:bidi w:val="0"/>
              <w:snapToGrid w:val="0"/>
              <w:spacing w:line="550" w:lineRule="exac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lang w:eastAsia="zh-CN"/>
              </w:rPr>
              <w:t>）</w:t>
            </w:r>
          </w:p>
        </w:tc>
        <w:tc>
          <w:tcPr>
            <w:tcW w:w="4519" w:type="pct"/>
            <w:noWrap w:val="0"/>
            <w:vAlign w:val="center"/>
          </w:tcPr>
          <w:p>
            <w:pPr>
              <w:pageBreakBefore w:val="0"/>
              <w:tabs>
                <w:tab w:val="left" w:pos="567"/>
              </w:tabs>
              <w:kinsoku/>
              <w:wordWrap/>
              <w:overflowPunct/>
              <w:topLinePunct w:val="0"/>
              <w:bidi w:val="0"/>
              <w:snapToGrid w:val="0"/>
              <w:spacing w:line="55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bCs/>
                <w:color w:val="auto"/>
                <w:sz w:val="30"/>
                <w:szCs w:val="30"/>
                <w:highlight w:val="none"/>
              </w:rPr>
              <w:t>投标人未被列入“信用中国”网站（www.creditchina.gov.cn）、中国政府采购网（www.ccgp.gov.cn）、国家企业信用信息公示系</w:t>
            </w:r>
            <w:r>
              <w:rPr>
                <w:rFonts w:hint="eastAsia" w:ascii="仿宋" w:hAnsi="仿宋" w:eastAsia="仿宋" w:cs="仿宋"/>
                <w:bCs/>
                <w:color w:val="auto"/>
                <w:sz w:val="30"/>
                <w:szCs w:val="30"/>
                <w:highlight w:val="none"/>
                <w:lang w:val="en-US" w:eastAsia="zh-CN"/>
              </w:rPr>
              <w:t>统</w:t>
            </w:r>
            <w:r>
              <w:rPr>
                <w:rFonts w:hint="eastAsia" w:ascii="仿宋" w:hAnsi="仿宋" w:eastAsia="仿宋" w:cs="仿宋"/>
                <w:bCs/>
                <w:color w:val="auto"/>
                <w:sz w:val="30"/>
                <w:szCs w:val="30"/>
                <w:highlight w:val="none"/>
              </w:rPr>
              <w:t>（http://www.gsxt.gov.cn）</w:t>
            </w:r>
            <w:r>
              <w:rPr>
                <w:rFonts w:hint="eastAsia" w:ascii="仿宋" w:hAnsi="仿宋" w:eastAsia="仿宋" w:cs="仿宋"/>
                <w:bCs/>
                <w:color w:val="auto"/>
                <w:sz w:val="30"/>
                <w:szCs w:val="30"/>
                <w:highlight w:val="none"/>
                <w:lang w:eastAsia="zh-CN"/>
              </w:rPr>
              <w:t>三</w:t>
            </w:r>
            <w:r>
              <w:rPr>
                <w:rFonts w:hint="eastAsia" w:ascii="仿宋" w:hAnsi="仿宋" w:eastAsia="仿宋" w:cs="仿宋"/>
                <w:bCs/>
                <w:color w:val="auto"/>
                <w:sz w:val="30"/>
                <w:szCs w:val="30"/>
                <w:highlight w:val="none"/>
              </w:rPr>
              <w:t>个网站的查询结果，如投标人被列入失信被执行人、税收违法</w:t>
            </w:r>
            <w:r>
              <w:rPr>
                <w:rFonts w:hint="eastAsia" w:ascii="仿宋" w:hAnsi="仿宋" w:eastAsia="仿宋" w:cs="仿宋"/>
                <w:bCs/>
                <w:color w:val="auto"/>
                <w:sz w:val="30"/>
                <w:szCs w:val="30"/>
                <w:highlight w:val="none"/>
                <w:lang w:val="en-US" w:eastAsia="zh-CN"/>
              </w:rPr>
              <w:t>黑</w:t>
            </w:r>
            <w:r>
              <w:rPr>
                <w:rFonts w:hint="eastAsia" w:ascii="仿宋" w:hAnsi="仿宋" w:eastAsia="仿宋" w:cs="仿宋"/>
                <w:bCs/>
                <w:color w:val="auto"/>
                <w:sz w:val="30"/>
                <w:szCs w:val="30"/>
                <w:highlight w:val="none"/>
              </w:rPr>
              <w:t>名单、政府采购严重违法失信行为记录名单的（尚在处罚期内的）的</w:t>
            </w:r>
            <w:r>
              <w:rPr>
                <w:rFonts w:hint="eastAsia" w:ascii="仿宋" w:hAnsi="仿宋" w:eastAsia="仿宋" w:cs="仿宋"/>
                <w:bCs/>
                <w:color w:val="auto"/>
                <w:sz w:val="30"/>
                <w:szCs w:val="30"/>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0" w:type="pct"/>
            <w:noWrap w:val="0"/>
            <w:vAlign w:val="center"/>
          </w:tcPr>
          <w:p>
            <w:pPr>
              <w:pStyle w:val="21"/>
              <w:pageBreakBefore w:val="0"/>
              <w:numPr>
                <w:ilvl w:val="0"/>
                <w:numId w:val="0"/>
              </w:numPr>
              <w:kinsoku/>
              <w:wordWrap/>
              <w:overflowPunct/>
              <w:topLinePunct w:val="0"/>
              <w:bidi w:val="0"/>
              <w:snapToGrid w:val="0"/>
              <w:spacing w:line="550" w:lineRule="exac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lang w:eastAsia="zh-CN"/>
              </w:rPr>
              <w:t>）</w:t>
            </w:r>
          </w:p>
        </w:tc>
        <w:tc>
          <w:tcPr>
            <w:tcW w:w="4519" w:type="pct"/>
            <w:noWrap w:val="0"/>
            <w:vAlign w:val="center"/>
          </w:tcPr>
          <w:p>
            <w:pPr>
              <w:pageBreakBefore w:val="0"/>
              <w:tabs>
                <w:tab w:val="left" w:pos="612"/>
              </w:tabs>
              <w:kinsoku/>
              <w:wordWrap/>
              <w:overflowPunct/>
              <w:topLinePunct w:val="0"/>
              <w:bidi w:val="0"/>
              <w:snapToGrid w:val="0"/>
              <w:spacing w:line="55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lang w:val="en-US" w:eastAsia="zh-CN"/>
              </w:rPr>
              <w:t>投标人须提供所投产品生产厂家参数并盖鲜章</w:t>
            </w:r>
            <w:r>
              <w:rPr>
                <w:rFonts w:hint="eastAsia" w:ascii="仿宋" w:hAnsi="仿宋" w:eastAsia="仿宋" w:cs="仿宋"/>
                <w:bCs/>
                <w:color w:val="auto"/>
                <w:sz w:val="30"/>
                <w:szCs w:val="3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0" w:type="pct"/>
            <w:noWrap w:val="0"/>
            <w:vAlign w:val="center"/>
          </w:tcPr>
          <w:p>
            <w:pPr>
              <w:pStyle w:val="21"/>
              <w:pageBreakBefore w:val="0"/>
              <w:numPr>
                <w:ilvl w:val="0"/>
                <w:numId w:val="0"/>
              </w:numPr>
              <w:kinsoku/>
              <w:wordWrap/>
              <w:overflowPunct/>
              <w:topLinePunct w:val="0"/>
              <w:bidi w:val="0"/>
              <w:snapToGrid w:val="0"/>
              <w:spacing w:line="550" w:lineRule="exac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lang w:eastAsia="zh-CN"/>
              </w:rPr>
              <w:t>）</w:t>
            </w:r>
          </w:p>
        </w:tc>
        <w:tc>
          <w:tcPr>
            <w:tcW w:w="4519" w:type="pct"/>
            <w:noWrap w:val="0"/>
            <w:vAlign w:val="center"/>
          </w:tcPr>
          <w:p>
            <w:pPr>
              <w:pageBreakBefore w:val="0"/>
              <w:tabs>
                <w:tab w:val="left" w:pos="612"/>
              </w:tabs>
              <w:kinsoku/>
              <w:wordWrap/>
              <w:overflowPunct/>
              <w:topLinePunct w:val="0"/>
              <w:bidi w:val="0"/>
              <w:snapToGrid w:val="0"/>
              <w:spacing w:line="550" w:lineRule="exact"/>
              <w:ind w:firstLine="600" w:firstLineChars="200"/>
              <w:rPr>
                <w:rFonts w:hint="default"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投标人须提供招标文件中参数条款涉及的相关证书证明。</w:t>
            </w:r>
          </w:p>
        </w:tc>
      </w:tr>
    </w:tbl>
    <w:p>
      <w:pPr>
        <w:pageBreakBefore w:val="0"/>
        <w:kinsoku/>
        <w:wordWrap/>
        <w:overflowPunct/>
        <w:topLinePunct w:val="0"/>
        <w:bidi w:val="0"/>
        <w:snapToGrid w:val="0"/>
        <w:spacing w:line="550" w:lineRule="exact"/>
        <w:jc w:val="both"/>
        <w:rPr>
          <w:rFonts w:hint="eastAsia" w:ascii="仿宋" w:hAnsi="仿宋" w:eastAsia="仿宋" w:cs="仿宋"/>
          <w:b/>
          <w:color w:val="auto"/>
          <w:sz w:val="30"/>
          <w:szCs w:val="30"/>
          <w:highlight w:val="none"/>
        </w:rPr>
      </w:pPr>
    </w:p>
    <w:p>
      <w:pPr>
        <w:pageBreakBefore w:val="0"/>
        <w:kinsoku/>
        <w:wordWrap/>
        <w:overflowPunct/>
        <w:topLinePunct w:val="0"/>
        <w:bidi w:val="0"/>
        <w:snapToGrid w:val="0"/>
        <w:spacing w:line="550" w:lineRule="exact"/>
        <w:ind w:firstLine="602" w:firstLineChars="20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符合性审查表</w:t>
      </w:r>
    </w:p>
    <w:tbl>
      <w:tblPr>
        <w:tblStyle w:val="15"/>
        <w:tblW w:w="5449" w:type="pct"/>
        <w:tblInd w:w="-4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84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693" w:type="pct"/>
            <w:noWrap w:val="0"/>
            <w:vAlign w:val="center"/>
          </w:tcPr>
          <w:p>
            <w:pPr>
              <w:pageBreakBefore w:val="0"/>
              <w:kinsoku/>
              <w:wordWrap/>
              <w:overflowPunct/>
              <w:topLinePunct w:val="0"/>
              <w:bidi w:val="0"/>
              <w:spacing w:line="550" w:lineRule="exact"/>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4306" w:type="pct"/>
            <w:noWrap w:val="0"/>
            <w:vAlign w:val="center"/>
          </w:tcPr>
          <w:p>
            <w:pPr>
              <w:pageBreakBefore w:val="0"/>
              <w:kinsoku/>
              <w:wordWrap/>
              <w:overflowPunct/>
              <w:topLinePunct w:val="0"/>
              <w:bidi w:val="0"/>
              <w:spacing w:line="550" w:lineRule="exact"/>
              <w:ind w:firstLine="602" w:firstLineChars="20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trPr>
        <w:tc>
          <w:tcPr>
            <w:tcW w:w="693" w:type="pct"/>
            <w:noWrap w:val="0"/>
            <w:vAlign w:val="center"/>
          </w:tcPr>
          <w:p>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p>
        </w:tc>
        <w:tc>
          <w:tcPr>
            <w:tcW w:w="4306" w:type="pct"/>
            <w:noWrap w:val="0"/>
            <w:vAlign w:val="center"/>
          </w:tcPr>
          <w:p>
            <w:pPr>
              <w:pageBreakBefore w:val="0"/>
              <w:tabs>
                <w:tab w:val="left" w:pos="612"/>
              </w:tabs>
              <w:kinsoku/>
              <w:wordWrap/>
              <w:overflowPunct/>
              <w:topLinePunct w:val="0"/>
              <w:bidi w:val="0"/>
              <w:spacing w:line="55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693" w:type="pct"/>
            <w:noWrap w:val="0"/>
            <w:vAlign w:val="center"/>
          </w:tcPr>
          <w:p>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p>
        </w:tc>
        <w:tc>
          <w:tcPr>
            <w:tcW w:w="4306" w:type="pct"/>
            <w:noWrap w:val="0"/>
            <w:vAlign w:val="center"/>
          </w:tcPr>
          <w:p>
            <w:pPr>
              <w:pageBreakBefore w:val="0"/>
              <w:kinsoku/>
              <w:wordWrap/>
              <w:overflowPunct/>
              <w:topLinePunct w:val="0"/>
              <w:bidi w:val="0"/>
              <w:spacing w:line="550" w:lineRule="exact"/>
              <w:ind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投标报价未超过本项目最高限价的；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693" w:type="pct"/>
            <w:noWrap w:val="0"/>
            <w:vAlign w:val="center"/>
          </w:tcPr>
          <w:p>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p>
        </w:tc>
        <w:tc>
          <w:tcPr>
            <w:tcW w:w="4306" w:type="pct"/>
            <w:noWrap w:val="0"/>
            <w:vAlign w:val="center"/>
          </w:tcPr>
          <w:p>
            <w:pPr>
              <w:pageBreakBefore w:val="0"/>
              <w:kinsoku/>
              <w:wordWrap/>
              <w:overflowPunct/>
              <w:topLinePunct w:val="0"/>
              <w:bidi w:val="0"/>
              <w:spacing w:line="550" w:lineRule="exact"/>
              <w:ind w:left="1" w:leftChars="0"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693" w:type="pct"/>
            <w:noWrap w:val="0"/>
            <w:vAlign w:val="center"/>
          </w:tcPr>
          <w:p>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p>
        </w:tc>
        <w:tc>
          <w:tcPr>
            <w:tcW w:w="4306" w:type="pct"/>
            <w:noWrap w:val="0"/>
            <w:vAlign w:val="center"/>
          </w:tcPr>
          <w:p>
            <w:pPr>
              <w:pageBreakBefore w:val="0"/>
              <w:kinsoku/>
              <w:wordWrap/>
              <w:overflowPunct/>
              <w:topLinePunct w:val="0"/>
              <w:bidi w:val="0"/>
              <w:spacing w:line="550" w:lineRule="exact"/>
              <w:ind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投标文件完全满足招标文件的</w:t>
            </w:r>
            <w:r>
              <w:rPr>
                <w:rFonts w:hint="eastAsia" w:ascii="仿宋" w:hAnsi="仿宋" w:eastAsia="仿宋" w:cs="仿宋"/>
                <w:color w:val="auto"/>
                <w:sz w:val="30"/>
                <w:szCs w:val="30"/>
                <w:highlight w:val="none"/>
                <w:lang w:val="en-US" w:eastAsia="zh-CN"/>
              </w:rPr>
              <w:t>各项参数</w:t>
            </w:r>
            <w:r>
              <w:rPr>
                <w:rFonts w:hint="eastAsia" w:ascii="仿宋" w:hAnsi="仿宋" w:eastAsia="仿宋" w:cs="仿宋"/>
                <w:color w:val="auto"/>
                <w:sz w:val="30"/>
                <w:szCs w:val="30"/>
                <w:highlight w:val="none"/>
              </w:rPr>
              <w:t xml:space="preserve">条款；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693" w:type="pct"/>
            <w:noWrap w:val="0"/>
            <w:vAlign w:val="center"/>
          </w:tcPr>
          <w:p>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p>
        </w:tc>
        <w:tc>
          <w:tcPr>
            <w:tcW w:w="4306" w:type="pct"/>
            <w:noWrap w:val="0"/>
            <w:vAlign w:val="center"/>
          </w:tcPr>
          <w:p>
            <w:pPr>
              <w:pageBreakBefore w:val="0"/>
              <w:kinsoku/>
              <w:wordWrap/>
              <w:overflowPunct/>
              <w:topLinePunct w:val="0"/>
              <w:bidi w:val="0"/>
              <w:spacing w:line="550" w:lineRule="exact"/>
              <w:ind w:firstLine="600" w:firstLineChars="200"/>
              <w:rPr>
                <w:rFonts w:hint="eastAsia" w:ascii="仿宋" w:hAnsi="仿宋" w:eastAsia="仿宋" w:cs="仿宋"/>
                <w:bCs/>
                <w:color w:val="auto"/>
                <w:kern w:val="2"/>
                <w:sz w:val="30"/>
                <w:szCs w:val="30"/>
                <w:highlight w:val="none"/>
                <w:lang w:val="en-US" w:eastAsia="zh-CN" w:bidi="ar-SA"/>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693" w:type="pct"/>
            <w:noWrap w:val="0"/>
            <w:vAlign w:val="center"/>
          </w:tcPr>
          <w:p>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p>
        </w:tc>
        <w:tc>
          <w:tcPr>
            <w:tcW w:w="4306" w:type="pct"/>
            <w:noWrap w:val="0"/>
            <w:vAlign w:val="center"/>
          </w:tcPr>
          <w:p>
            <w:pPr>
              <w:pageBreakBefore w:val="0"/>
              <w:kinsoku/>
              <w:wordWrap/>
              <w:overflowPunct/>
              <w:topLinePunct w:val="0"/>
              <w:bidi w:val="0"/>
              <w:spacing w:line="550" w:lineRule="exact"/>
              <w:ind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693" w:type="pct"/>
            <w:noWrap w:val="0"/>
            <w:vAlign w:val="center"/>
          </w:tcPr>
          <w:p>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p>
        </w:tc>
        <w:tc>
          <w:tcPr>
            <w:tcW w:w="4306" w:type="pct"/>
            <w:noWrap w:val="0"/>
            <w:vAlign w:val="center"/>
          </w:tcPr>
          <w:p>
            <w:pPr>
              <w:pageBreakBefore w:val="0"/>
              <w:kinsoku/>
              <w:wordWrap/>
              <w:overflowPunct/>
              <w:topLinePunct w:val="0"/>
              <w:bidi w:val="0"/>
              <w:spacing w:line="550" w:lineRule="exact"/>
              <w:ind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按有关法律、法规、规章不属于投标无效的。</w:t>
            </w:r>
          </w:p>
        </w:tc>
      </w:tr>
    </w:tbl>
    <w:p>
      <w:pPr>
        <w:pageBreakBefore w:val="0"/>
        <w:kinsoku/>
        <w:wordWrap/>
        <w:overflowPunct/>
        <w:topLinePunct w:val="0"/>
        <w:bidi w:val="0"/>
        <w:spacing w:line="550" w:lineRule="exact"/>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pageBreakBefore w:val="0"/>
        <w:kinsoku/>
        <w:wordWrap/>
        <w:overflowPunct/>
        <w:topLinePunct w:val="0"/>
        <w:bidi w:val="0"/>
        <w:spacing w:line="550" w:lineRule="exact"/>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pageBreakBefore w:val="0"/>
        <w:kinsoku/>
        <w:wordWrap/>
        <w:overflowPunct/>
        <w:topLinePunct w:val="0"/>
        <w:bidi w:val="0"/>
        <w:spacing w:line="550" w:lineRule="exact"/>
        <w:ind w:firstLine="643" w:firstLineChars="200"/>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p>
    <w:p>
      <w:pPr>
        <w:pageBreakBefore w:val="0"/>
        <w:kinsoku/>
        <w:wordWrap/>
        <w:overflowPunct/>
        <w:topLinePunct w:val="0"/>
        <w:bidi w:val="0"/>
        <w:spacing w:after="120" w:line="550" w:lineRule="exact"/>
        <w:ind w:firstLine="640" w:firstLineChars="200"/>
        <w:jc w:val="center"/>
        <w:textAlignment w:val="baseline"/>
        <w:rPr>
          <w:rFonts w:ascii="黑体" w:hAnsi="黑体" w:eastAsia="黑体" w:cs="黑体"/>
          <w:b/>
          <w:color w:val="auto"/>
          <w:kern w:val="0"/>
          <w:sz w:val="32"/>
          <w:szCs w:val="24"/>
          <w:highlight w:val="none"/>
          <w:lang w:eastAsia="en-US"/>
        </w:rPr>
      </w:pPr>
      <w:r>
        <w:rPr>
          <w:rFonts w:hint="eastAsia" w:ascii="黑体" w:hAnsi="黑体" w:eastAsia="黑体" w:cs="宋体"/>
          <w:color w:val="auto"/>
          <w:sz w:val="32"/>
          <w:szCs w:val="32"/>
          <w:highlight w:val="none"/>
          <w:lang w:eastAsia="zh-CN"/>
        </w:rPr>
        <w:t>★</w:t>
      </w:r>
      <w:r>
        <w:rPr>
          <w:rFonts w:ascii="黑体" w:hAnsi="黑体" w:eastAsia="黑体" w:cs="黑体"/>
          <w:b/>
          <w:color w:val="auto"/>
          <w:kern w:val="0"/>
          <w:sz w:val="32"/>
          <w:szCs w:val="24"/>
          <w:highlight w:val="none"/>
          <w:lang w:eastAsia="en-US"/>
        </w:rPr>
        <w:t>法定代表人身份证明及授权委托书</w:t>
      </w:r>
      <w:bookmarkEnd w:id="1"/>
    </w:p>
    <w:p>
      <w:pPr>
        <w:pageBreakBefore w:val="0"/>
        <w:kinsoku/>
        <w:wordWrap/>
        <w:overflowPunct/>
        <w:topLinePunct w:val="0"/>
        <w:autoSpaceDE w:val="0"/>
        <w:autoSpaceDN w:val="0"/>
        <w:bidi w:val="0"/>
        <w:adjustRightInd w:val="0"/>
        <w:spacing w:line="550" w:lineRule="exact"/>
        <w:ind w:firstLine="480" w:firstLineChars="200"/>
        <w:jc w:val="center"/>
        <w:rPr>
          <w:rFonts w:ascii="宋体" w:hAnsi="宋体"/>
          <w:color w:val="auto"/>
          <w:kern w:val="0"/>
          <w:sz w:val="24"/>
          <w:szCs w:val="24"/>
          <w:highlight w:val="none"/>
        </w:rPr>
      </w:pPr>
      <w:r>
        <w:rPr>
          <w:rFonts w:hint="eastAsia" w:ascii="宋体" w:hAnsi="宋体"/>
          <w:color w:val="auto"/>
          <w:kern w:val="0"/>
          <w:sz w:val="24"/>
          <w:szCs w:val="24"/>
          <w:highlight w:val="none"/>
        </w:rPr>
        <w:t>法定代表人</w:t>
      </w:r>
      <w:r>
        <w:rPr>
          <w:rFonts w:hint="eastAsia" w:ascii="宋体" w:hAnsi="宋体"/>
          <w:color w:val="auto"/>
          <w:kern w:val="0"/>
          <w:sz w:val="24"/>
          <w:szCs w:val="24"/>
          <w:highlight w:val="none"/>
          <w:lang w:val="en-US" w:eastAsia="zh-CN"/>
        </w:rPr>
        <w:t>身份证明书</w:t>
      </w:r>
    </w:p>
    <w:p>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5"/>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adjustRightInd w:val="0"/>
              <w:snapToGrid w:val="0"/>
              <w:spacing w:line="550" w:lineRule="exact"/>
              <w:ind w:firstLine="480" w:firstLineChars="200"/>
              <w:jc w:val="center"/>
              <w:rPr>
                <w:rFonts w:ascii="宋体" w:hAnsi="宋体"/>
                <w:color w:val="auto"/>
                <w:sz w:val="24"/>
                <w:szCs w:val="24"/>
                <w:highlight w:val="none"/>
              </w:rPr>
            </w:pPr>
          </w:p>
          <w:p>
            <w:pPr>
              <w:pageBreakBefore w:val="0"/>
              <w:kinsoku/>
              <w:wordWrap/>
              <w:overflowPunct/>
              <w:topLinePunct w:val="0"/>
              <w:bidi w:val="0"/>
              <w:adjustRightInd w:val="0"/>
              <w:snapToGrid w:val="0"/>
              <w:spacing w:line="550" w:lineRule="exact"/>
              <w:ind w:firstLine="480" w:firstLineChars="200"/>
              <w:jc w:val="center"/>
              <w:rPr>
                <w:rFonts w:ascii="宋体" w:hAnsi="宋体"/>
                <w:color w:val="auto"/>
                <w:sz w:val="24"/>
                <w:szCs w:val="24"/>
                <w:highlight w:val="none"/>
              </w:rPr>
            </w:pPr>
          </w:p>
          <w:p>
            <w:pPr>
              <w:pageBreakBefore w:val="0"/>
              <w:kinsoku/>
              <w:wordWrap/>
              <w:overflowPunct/>
              <w:topLinePunct w:val="0"/>
              <w:bidi w:val="0"/>
              <w:adjustRightInd w:val="0"/>
              <w:snapToGrid w:val="0"/>
              <w:spacing w:line="550" w:lineRule="exact"/>
              <w:ind w:firstLine="482" w:firstLineChars="200"/>
              <w:jc w:val="center"/>
              <w:rPr>
                <w:rFonts w:ascii="宋体" w:hAnsi="宋体"/>
                <w:color w:val="auto"/>
                <w:sz w:val="24"/>
                <w:szCs w:val="24"/>
                <w:highlight w:val="none"/>
              </w:rPr>
            </w:pPr>
            <w:r>
              <w:rPr>
                <w:rFonts w:hint="eastAsia" w:ascii="宋体" w:hAnsi="宋体"/>
                <w:b/>
                <w:bCs/>
                <w:color w:val="auto"/>
                <w:sz w:val="24"/>
                <w:szCs w:val="24"/>
                <w:highlight w:val="none"/>
              </w:rPr>
              <w:t>法定代表人</w:t>
            </w:r>
            <w:r>
              <w:rPr>
                <w:rFonts w:hint="eastAsia" w:ascii="宋体" w:hAnsi="宋体"/>
                <w:color w:val="auto"/>
                <w:sz w:val="24"/>
                <w:szCs w:val="24"/>
                <w:highlight w:val="none"/>
              </w:rPr>
              <w:t>《居民身份证》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p>
    <w:p>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p>
    <w:p>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p>
    <w:p>
      <w:pPr>
        <w:pageBreakBefore w:val="0"/>
        <w:tabs>
          <w:tab w:val="left" w:pos="750"/>
        </w:tabs>
        <w:kinsoku/>
        <w:wordWrap/>
        <w:overflowPunct/>
        <w:topLinePunct w:val="0"/>
        <w:bidi w:val="0"/>
        <w:adjustRightInd w:val="0"/>
        <w:snapToGrid w:val="0"/>
        <w:spacing w:line="550" w:lineRule="exact"/>
        <w:ind w:firstLine="480" w:firstLineChars="2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pageBreakBefore w:val="0"/>
        <w:kinsoku/>
        <w:wordWrap/>
        <w:overflowPunct/>
        <w:topLinePunct w:val="0"/>
        <w:autoSpaceDE w:val="0"/>
        <w:autoSpaceDN w:val="0"/>
        <w:bidi w:val="0"/>
        <w:adjustRightInd w:val="0"/>
        <w:spacing w:line="550" w:lineRule="exact"/>
        <w:ind w:firstLine="560" w:firstLineChars="200"/>
        <w:jc w:val="center"/>
        <w:rPr>
          <w:rFonts w:ascii="宋体" w:hAnsi="宋体"/>
          <w:color w:val="auto"/>
          <w:kern w:val="0"/>
          <w:sz w:val="24"/>
          <w:szCs w:val="24"/>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黑体" w:hAnsi="黑体" w:eastAsia="黑体" w:cs="黑体"/>
          <w:b/>
          <w:color w:val="auto"/>
          <w:kern w:val="0"/>
          <w:sz w:val="32"/>
          <w:szCs w:val="24"/>
          <w:highlight w:val="none"/>
          <w:lang w:eastAsia="en-US"/>
        </w:rPr>
        <w:t>法定代表人授权书</w:t>
      </w:r>
    </w:p>
    <w:p>
      <w:pPr>
        <w:pageBreakBefore w:val="0"/>
        <w:kinsoku/>
        <w:wordWrap/>
        <w:overflowPunct/>
        <w:topLinePunct w:val="0"/>
        <w:bidi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pageBreakBefore w:val="0"/>
        <w:kinsoku/>
        <w:wordWrap/>
        <w:overflowPunct/>
        <w:topLinePunct w:val="0"/>
        <w:bidi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pPr>
        <w:pageBreakBefore w:val="0"/>
        <w:kinsoku/>
        <w:wordWrap/>
        <w:overflowPunct/>
        <w:topLinePunct w:val="0"/>
        <w:bidi w:val="0"/>
        <w:spacing w:line="550" w:lineRule="exact"/>
        <w:ind w:firstLine="480" w:firstLineChars="200"/>
        <w:rPr>
          <w:rFonts w:ascii="宋体" w:hAnsi="宋体"/>
          <w:color w:val="auto"/>
          <w:sz w:val="24"/>
          <w:szCs w:val="24"/>
          <w:highlight w:val="none"/>
        </w:rPr>
      </w:pPr>
    </w:p>
    <w:p>
      <w:pPr>
        <w:pageBreakBefore w:val="0"/>
        <w:kinsoku/>
        <w:wordWrap/>
        <w:overflowPunct/>
        <w:topLinePunct w:val="0"/>
        <w:bidi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附：</w:t>
      </w:r>
    </w:p>
    <w:p>
      <w:pPr>
        <w:pageBreakBefore w:val="0"/>
        <w:kinsoku/>
        <w:wordWrap/>
        <w:overflowPunct/>
        <w:topLinePunct w:val="0"/>
        <w:bidi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pPr>
        <w:pageBreakBefore w:val="0"/>
        <w:kinsoku/>
        <w:wordWrap/>
        <w:overflowPunct/>
        <w:topLinePunct w:val="0"/>
        <w:bidi w:val="0"/>
        <w:spacing w:line="55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val="en-US" w:eastAsia="zh-CN"/>
        </w:rPr>
        <w:t>联系电话</w:t>
      </w:r>
      <w:r>
        <w:rPr>
          <w:rFonts w:hint="eastAsia" w:ascii="宋体" w:hAnsi="宋体"/>
          <w:color w:val="auto"/>
          <w:sz w:val="24"/>
          <w:szCs w:val="24"/>
          <w:highlight w:val="none"/>
          <w:u w:val="single"/>
          <w:lang w:val="en-US" w:eastAsia="zh-CN"/>
        </w:rPr>
        <w:t xml:space="preserve">：            </w:t>
      </w:r>
    </w:p>
    <w:p>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pageBreakBefore w:val="0"/>
        <w:kinsoku/>
        <w:wordWrap/>
        <w:overflowPunct/>
        <w:topLinePunct w:val="0"/>
        <w:bidi w:val="0"/>
        <w:adjustRightInd w:val="0"/>
        <w:snapToGrid w:val="0"/>
        <w:spacing w:line="550" w:lineRule="exact"/>
        <w:ind w:left="-88" w:leftChars="-42" w:firstLine="480" w:firstLineChars="200"/>
        <w:rPr>
          <w:rFonts w:ascii="宋体" w:hAnsi="宋体"/>
          <w:color w:val="auto"/>
          <w:sz w:val="24"/>
          <w:szCs w:val="24"/>
          <w:highlight w:val="none"/>
          <w:u w:val="single"/>
        </w:rPr>
      </w:pP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828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b/>
                <w:bCs/>
                <w:color w:val="auto"/>
                <w:sz w:val="24"/>
                <w:szCs w:val="24"/>
                <w:highlight w:val="none"/>
                <w:lang w:eastAsia="zh-CN"/>
              </w:rPr>
              <w:t>法定代表人及</w:t>
            </w:r>
            <w:r>
              <w:rPr>
                <w:rFonts w:hint="eastAsia" w:ascii="宋体" w:hAnsi="宋体"/>
                <w:b/>
                <w:bCs/>
                <w:color w:val="auto"/>
                <w:sz w:val="24"/>
                <w:szCs w:val="24"/>
                <w:highlight w:val="none"/>
              </w:rPr>
              <w:t>被授权人</w:t>
            </w:r>
            <w:r>
              <w:rPr>
                <w:rFonts w:hint="eastAsia" w:ascii="宋体" w:hAnsi="宋体"/>
                <w:color w:val="auto"/>
                <w:sz w:val="24"/>
                <w:szCs w:val="24"/>
                <w:highlight w:val="none"/>
              </w:rPr>
              <w:t>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pPr>
        <w:pageBreakBefore w:val="0"/>
        <w:kinsoku/>
        <w:wordWrap/>
        <w:overflowPunct/>
        <w:topLinePunct w:val="0"/>
        <w:bidi w:val="0"/>
        <w:spacing w:line="550" w:lineRule="exact"/>
        <w:rPr>
          <w:rFonts w:ascii="Times New Roman" w:hAnsi="Times New Roman" w:eastAsia="Times New Roman"/>
          <w:color w:val="auto"/>
          <w:kern w:val="0"/>
          <w:sz w:val="24"/>
          <w:szCs w:val="24"/>
          <w:highlight w:val="none"/>
          <w:lang w:eastAsia="en-US"/>
        </w:rPr>
      </w:pPr>
    </w:p>
    <w:p>
      <w:pPr>
        <w:pageBreakBefore w:val="0"/>
        <w:kinsoku/>
        <w:wordWrap/>
        <w:overflowPunct/>
        <w:topLinePunct w:val="0"/>
        <w:bidi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pPr>
        <w:pageBreakBefore w:val="0"/>
        <w:kinsoku/>
        <w:wordWrap/>
        <w:overflowPunct/>
        <w:topLinePunct w:val="0"/>
        <w:bidi w:val="0"/>
        <w:spacing w:line="550" w:lineRule="exact"/>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pageBreakBefore w:val="0"/>
        <w:kinsoku/>
        <w:wordWrap/>
        <w:overflowPunct/>
        <w:topLinePunct w:val="0"/>
        <w:bidi w:val="0"/>
        <w:spacing w:line="55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pageBreakBefore w:val="0"/>
        <w:kinsoku/>
        <w:wordWrap/>
        <w:overflowPunct/>
        <w:topLinePunct w:val="0"/>
        <w:bidi w:val="0"/>
        <w:spacing w:line="55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pPr>
        <w:pStyle w:val="8"/>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b/>
          <w:bCs/>
          <w:color w:val="auto"/>
          <w:sz w:val="32"/>
          <w:szCs w:val="32"/>
          <w:lang w:val="en-US" w:eastAsia="zh-CN"/>
        </w:rPr>
      </w:pPr>
      <w:r>
        <w:rPr>
          <w:rFonts w:ascii="Times New Roman" w:hAnsi="Times New Roman" w:eastAsia="Times New Roman"/>
          <w:color w:val="auto"/>
          <w:kern w:val="0"/>
          <w:sz w:val="24"/>
          <w:szCs w:val="24"/>
          <w:highlight w:val="none"/>
          <w:lang w:eastAsia="en-US"/>
        </w:rPr>
        <w:br w:type="page"/>
      </w:r>
    </w:p>
    <w:p>
      <w:pPr>
        <w:pageBreakBefore w:val="0"/>
        <w:kinsoku/>
        <w:wordWrap/>
        <w:overflowPunct/>
        <w:topLinePunct w:val="0"/>
        <w:bidi w:val="0"/>
        <w:spacing w:line="550" w:lineRule="exact"/>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pPr>
        <w:pageBreakBefore w:val="0"/>
        <w:tabs>
          <w:tab w:val="left" w:pos="5100"/>
        </w:tabs>
        <w:kinsoku/>
        <w:wordWrap/>
        <w:overflowPunct/>
        <w:topLinePunct w:val="0"/>
        <w:bidi w:val="0"/>
        <w:spacing w:line="550" w:lineRule="exact"/>
        <w:ind w:firstLine="480" w:firstLineChars="200"/>
        <w:textAlignment w:val="baseline"/>
        <w:rPr>
          <w:rFonts w:ascii="宋体" w:hAnsi="宋体" w:cs="宋体"/>
          <w:bCs/>
          <w:color w:val="auto"/>
          <w:sz w:val="24"/>
          <w:szCs w:val="24"/>
          <w:highlight w:val="none"/>
        </w:rPr>
      </w:pPr>
      <w:r>
        <w:rPr>
          <w:rFonts w:ascii="宋体" w:hAnsi="宋体" w:cs="宋体"/>
          <w:bCs/>
          <w:color w:val="auto"/>
          <w:sz w:val="24"/>
          <w:szCs w:val="24"/>
          <w:highlight w:val="none"/>
        </w:rPr>
        <w:t xml:space="preserve">项目名称：                               </w:t>
      </w:r>
    </w:p>
    <w:p>
      <w:pPr>
        <w:pageBreakBefore w:val="0"/>
        <w:widowControl/>
        <w:kinsoku/>
        <w:wordWrap/>
        <w:overflowPunct/>
        <w:topLinePunct w:val="0"/>
        <w:bidi w:val="0"/>
        <w:spacing w:line="550" w:lineRule="exact"/>
        <w:ind w:left="208" w:leftChars="99" w:firstLine="480" w:firstLineChars="20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5"/>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bl>
    <w:p>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pageBreakBefore w:val="0"/>
        <w:kinsoku/>
        <w:wordWrap/>
        <w:overflowPunct/>
        <w:topLinePunct w:val="0"/>
        <w:bidi w:val="0"/>
        <w:spacing w:line="550" w:lineRule="exact"/>
        <w:ind w:firstLine="480" w:firstLineChars="200"/>
        <w:textAlignment w:val="baseline"/>
        <w:rPr>
          <w:rFonts w:ascii="宋体" w:hAnsi="宋体"/>
          <w:b w:val="0"/>
          <w:bCs/>
          <w:color w:val="auto"/>
          <w:sz w:val="24"/>
          <w:highlight w:val="none"/>
        </w:rPr>
      </w:pPr>
      <w:r>
        <w:rPr>
          <w:rFonts w:ascii="宋体" w:hAnsi="宋体"/>
          <w:b w:val="0"/>
          <w:bCs/>
          <w:color w:val="auto"/>
          <w:sz w:val="24"/>
          <w:highlight w:val="none"/>
        </w:rPr>
        <w:t>日期：</w:t>
      </w:r>
    </w:p>
    <w:p>
      <w:pPr>
        <w:pageBreakBefore w:val="0"/>
        <w:kinsoku/>
        <w:wordWrap/>
        <w:overflowPunct/>
        <w:topLinePunct w:val="0"/>
        <w:bidi w:val="0"/>
        <w:spacing w:line="550" w:lineRule="exact"/>
        <w:ind w:firstLine="482" w:firstLineChars="200"/>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pageBreakBefore w:val="0"/>
        <w:kinsoku/>
        <w:wordWrap/>
        <w:overflowPunct/>
        <w:topLinePunct w:val="0"/>
        <w:bidi w:val="0"/>
        <w:spacing w:line="550" w:lineRule="exact"/>
        <w:ind w:firstLine="482" w:firstLineChars="200"/>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w:t>
      </w:r>
      <w:r>
        <w:rPr>
          <w:rFonts w:hint="eastAsia" w:ascii="宋体" w:hAnsi="宋体"/>
          <w:b/>
          <w:color w:val="auto"/>
          <w:sz w:val="24"/>
          <w:szCs w:val="24"/>
          <w:highlight w:val="none"/>
          <w:lang w:val="en-US" w:eastAsia="zh-CN"/>
        </w:rPr>
        <w:t>完整</w:t>
      </w:r>
      <w:r>
        <w:rPr>
          <w:rFonts w:ascii="宋体" w:hAnsi="宋体"/>
          <w:b/>
          <w:color w:val="auto"/>
          <w:sz w:val="24"/>
          <w:szCs w:val="24"/>
          <w:highlight w:val="none"/>
        </w:rPr>
        <w:t>详细写明所有产品型号规格、主要技术参数、数量、综合单价、总价及品牌和产地。</w:t>
      </w:r>
    </w:p>
    <w:p>
      <w:pPr>
        <w:pageBreakBefore w:val="0"/>
        <w:kinsoku/>
        <w:wordWrap/>
        <w:overflowPunct/>
        <w:topLinePunct w:val="0"/>
        <w:bidi w:val="0"/>
        <w:spacing w:line="550" w:lineRule="exact"/>
        <w:ind w:firstLine="482" w:firstLineChars="200"/>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pageBreakBefore w:val="0"/>
        <w:kinsoku/>
        <w:wordWrap/>
        <w:overflowPunct/>
        <w:topLinePunct w:val="0"/>
        <w:bidi w:val="0"/>
        <w:spacing w:line="550" w:lineRule="exact"/>
        <w:ind w:firstLine="480" w:firstLineChars="200"/>
        <w:jc w:val="center"/>
        <w:textAlignment w:val="baseline"/>
        <w:rPr>
          <w:rFonts w:ascii="宋体" w:hAnsi="宋体"/>
          <w:b/>
          <w:color w:val="auto"/>
          <w:sz w:val="32"/>
          <w:szCs w:val="32"/>
          <w:highlight w:val="none"/>
        </w:rPr>
      </w:pPr>
      <w:r>
        <w:rPr>
          <w:rFonts w:ascii="Times New Roman" w:hAnsi="Times New Roman" w:eastAsia="Times New Roman"/>
          <w:color w:val="auto"/>
          <w:kern w:val="0"/>
          <w:sz w:val="24"/>
          <w:szCs w:val="24"/>
          <w:highlight w:val="none"/>
          <w:lang w:eastAsia="en-US"/>
        </w:rPr>
        <w:br w:type="page"/>
      </w:r>
      <w:r>
        <w:rPr>
          <w:rFonts w:ascii="宋体" w:hAnsi="宋体"/>
          <w:b/>
          <w:color w:val="auto"/>
          <w:sz w:val="32"/>
          <w:szCs w:val="32"/>
          <w:highlight w:val="none"/>
        </w:rPr>
        <w:t>设备简要说明一览表</w:t>
      </w:r>
    </w:p>
    <w:p>
      <w:pPr>
        <w:pageBreakBefore w:val="0"/>
        <w:kinsoku/>
        <w:wordWrap/>
        <w:overflowPunct/>
        <w:topLinePunct w:val="0"/>
        <w:bidi w:val="0"/>
        <w:spacing w:line="550" w:lineRule="exact"/>
        <w:ind w:firstLine="482" w:firstLineChars="200"/>
        <w:textAlignment w:val="baseline"/>
        <w:rPr>
          <w:rFonts w:ascii="宋体" w:hAnsi="宋体"/>
          <w:b/>
          <w:color w:val="auto"/>
          <w:sz w:val="24"/>
          <w:highlight w:val="none"/>
        </w:rPr>
      </w:pPr>
    </w:p>
    <w:p>
      <w:pPr>
        <w:pageBreakBefore w:val="0"/>
        <w:tabs>
          <w:tab w:val="left" w:pos="5100"/>
        </w:tabs>
        <w:kinsoku/>
        <w:wordWrap/>
        <w:overflowPunct/>
        <w:topLinePunct w:val="0"/>
        <w:bidi w:val="0"/>
        <w:spacing w:line="550" w:lineRule="exact"/>
        <w:ind w:firstLine="480" w:firstLineChars="200"/>
        <w:textAlignment w:val="baseline"/>
        <w:rPr>
          <w:rFonts w:ascii="宋体" w:hAnsi="宋体" w:cs="宋体"/>
          <w:bCs/>
          <w:color w:val="auto"/>
          <w:sz w:val="24"/>
          <w:szCs w:val="24"/>
          <w:highlight w:val="none"/>
        </w:rPr>
      </w:pPr>
      <w:r>
        <w:rPr>
          <w:rFonts w:ascii="宋体" w:hAnsi="宋体" w:cs="宋体"/>
          <w:bCs/>
          <w:color w:val="auto"/>
          <w:sz w:val="24"/>
          <w:szCs w:val="24"/>
          <w:highlight w:val="none"/>
        </w:rPr>
        <w:t xml:space="preserve">项目名称：                               </w:t>
      </w:r>
    </w:p>
    <w:p>
      <w:pPr>
        <w:pageBreakBefore w:val="0"/>
        <w:widowControl/>
        <w:kinsoku/>
        <w:wordWrap/>
        <w:overflowPunct/>
        <w:topLinePunct w:val="0"/>
        <w:bidi w:val="0"/>
        <w:spacing w:line="550" w:lineRule="exact"/>
        <w:ind w:left="208" w:leftChars="99" w:firstLine="480" w:firstLineChars="20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5"/>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464"/>
        <w:gridCol w:w="3051"/>
        <w:gridCol w:w="2814"/>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jc w:val="both"/>
              <w:textAlignment w:val="baseline"/>
              <w:rPr>
                <w:rFonts w:ascii="宋体" w:hAnsi="宋体"/>
                <w:color w:val="auto"/>
                <w:sz w:val="24"/>
                <w:highlight w:val="none"/>
              </w:rPr>
            </w:pPr>
            <w:r>
              <w:rPr>
                <w:rFonts w:ascii="宋体" w:hAnsi="宋体"/>
                <w:color w:val="auto"/>
                <w:sz w:val="24"/>
                <w:highlight w:val="none"/>
              </w:rPr>
              <w:t>序号</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设备名称</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jc w:val="both"/>
              <w:textAlignment w:val="baseline"/>
              <w:rPr>
                <w:rFonts w:ascii="宋体" w:hAnsi="宋体"/>
                <w:color w:val="auto"/>
                <w:sz w:val="24"/>
                <w:highlight w:val="none"/>
              </w:rPr>
            </w:pPr>
            <w:r>
              <w:rPr>
                <w:rFonts w:ascii="宋体" w:hAnsi="宋体"/>
                <w:color w:val="auto"/>
                <w:sz w:val="24"/>
                <w:highlight w:val="none"/>
              </w:rPr>
              <w:t>规格型号及主要技术参数</w:t>
            </w: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性能说明</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jc w:val="both"/>
              <w:textAlignment w:val="baseline"/>
              <w:rPr>
                <w:rFonts w:ascii="宋体" w:hAnsi="宋体"/>
                <w:color w:val="auto"/>
                <w:sz w:val="24"/>
                <w:highlight w:val="none"/>
              </w:rPr>
            </w:pPr>
            <w:r>
              <w:rPr>
                <w:rFonts w:ascii="宋体" w:hAnsi="宋体"/>
                <w:color w:val="auto"/>
                <w:sz w:val="24"/>
                <w:highlight w:val="none"/>
              </w:rPr>
              <w:t>供货厂（商）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3</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4</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5</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6</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bl>
    <w:p>
      <w:pPr>
        <w:pageBreakBefore w:val="0"/>
        <w:kinsoku/>
        <w:wordWrap/>
        <w:overflowPunct/>
        <w:topLinePunct w:val="0"/>
        <w:bidi w:val="0"/>
        <w:spacing w:line="550" w:lineRule="exact"/>
        <w:ind w:firstLine="480" w:firstLineChars="200"/>
        <w:textAlignment w:val="baseline"/>
        <w:rPr>
          <w:rFonts w:ascii="宋体" w:hAnsi="宋体"/>
          <w:color w:val="auto"/>
          <w:sz w:val="24"/>
          <w:highlight w:val="none"/>
        </w:rPr>
      </w:pPr>
      <w:r>
        <w:rPr>
          <w:rFonts w:ascii="宋体" w:hAnsi="宋体"/>
          <w:color w:val="auto"/>
          <w:sz w:val="24"/>
          <w:highlight w:val="none"/>
        </w:rPr>
        <w:t>注：此表需详列投标的每种设备。</w:t>
      </w:r>
    </w:p>
    <w:p>
      <w:pPr>
        <w:pageBreakBefore w:val="0"/>
        <w:kinsoku/>
        <w:wordWrap/>
        <w:overflowPunct/>
        <w:topLinePunct w:val="0"/>
        <w:bidi w:val="0"/>
        <w:spacing w:line="550" w:lineRule="exact"/>
        <w:rPr>
          <w:rFonts w:ascii="宋体" w:hAnsi="宋体"/>
          <w:color w:val="auto"/>
          <w:sz w:val="24"/>
          <w:highlight w:val="none"/>
        </w:rPr>
      </w:pPr>
    </w:p>
    <w:p>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b/>
          <w:color w:val="auto"/>
          <w:sz w:val="32"/>
          <w:szCs w:val="32"/>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pageBreakBefore w:val="0"/>
        <w:kinsoku/>
        <w:wordWrap/>
        <w:overflowPunct/>
        <w:topLinePunct w:val="0"/>
        <w:bidi w:val="0"/>
        <w:spacing w:line="550" w:lineRule="exact"/>
        <w:ind w:firstLine="643" w:firstLineChars="200"/>
        <w:jc w:val="center"/>
        <w:textAlignment w:val="baseline"/>
        <w:rPr>
          <w:rFonts w:ascii="宋体" w:hAnsi="宋体"/>
          <w:b/>
          <w:color w:val="auto"/>
          <w:sz w:val="32"/>
          <w:szCs w:val="32"/>
          <w:highlight w:val="none"/>
        </w:rPr>
      </w:pPr>
    </w:p>
    <w:p>
      <w:pPr>
        <w:pageBreakBefore w:val="0"/>
        <w:kinsoku/>
        <w:wordWrap/>
        <w:overflowPunct/>
        <w:topLinePunct w:val="0"/>
        <w:bidi w:val="0"/>
        <w:spacing w:line="550" w:lineRule="exact"/>
        <w:ind w:firstLine="480" w:firstLineChars="200"/>
        <w:textAlignment w:val="baseline"/>
        <w:rPr>
          <w:rFonts w:ascii="宋体" w:hAnsi="宋体" w:cs="宋体"/>
          <w:bCs/>
          <w:color w:val="auto"/>
          <w:sz w:val="24"/>
          <w:szCs w:val="24"/>
          <w:highlight w:val="none"/>
        </w:rPr>
      </w:pPr>
      <w:r>
        <w:rPr>
          <w:rFonts w:ascii="宋体" w:hAnsi="宋体" w:cs="宋体"/>
          <w:bCs/>
          <w:color w:val="auto"/>
          <w:sz w:val="24"/>
          <w:szCs w:val="24"/>
          <w:highlight w:val="none"/>
        </w:rPr>
        <w:t>附：1、投标产品渠道的证明材料（格式自拟）</w:t>
      </w:r>
    </w:p>
    <w:p>
      <w:pPr>
        <w:pageBreakBefore w:val="0"/>
        <w:numPr>
          <w:ilvl w:val="0"/>
          <w:numId w:val="3"/>
        </w:numPr>
        <w:kinsoku/>
        <w:wordWrap/>
        <w:overflowPunct/>
        <w:topLinePunct w:val="0"/>
        <w:bidi w:val="0"/>
        <w:spacing w:line="550" w:lineRule="exact"/>
        <w:ind w:firstLine="480" w:firstLineChars="200"/>
        <w:textAlignment w:val="baseline"/>
        <w:rPr>
          <w:rFonts w:ascii="宋体" w:hAnsi="宋体"/>
          <w:color w:val="auto"/>
          <w:sz w:val="24"/>
          <w:highlight w:val="none"/>
        </w:rPr>
      </w:pPr>
      <w:r>
        <w:rPr>
          <w:rFonts w:ascii="宋体" w:hAnsi="宋体"/>
          <w:color w:val="auto"/>
          <w:sz w:val="24"/>
          <w:highlight w:val="none"/>
        </w:rPr>
        <w:t>国家法定检测部门出具的有效的检测报告、质量管理体系认证，与本次项目无关的检测报告视为无效。</w:t>
      </w:r>
    </w:p>
    <w:p>
      <w:pPr>
        <w:pageBreakBefore w:val="0"/>
        <w:kinsoku/>
        <w:wordWrap/>
        <w:overflowPunct/>
        <w:topLinePunct w:val="0"/>
        <w:bidi w:val="0"/>
        <w:spacing w:line="550" w:lineRule="exact"/>
        <w:ind w:firstLine="420" w:firstLineChars="200"/>
        <w:rPr>
          <w:color w:val="auto"/>
          <w:highlight w:val="none"/>
        </w:rPr>
      </w:pPr>
    </w:p>
    <w:p>
      <w:pPr>
        <w:pStyle w:val="18"/>
        <w:pageBreakBefore w:val="0"/>
        <w:kinsoku/>
        <w:wordWrap/>
        <w:overflowPunct/>
        <w:topLinePunct w:val="0"/>
        <w:bidi w:val="0"/>
        <w:spacing w:line="550" w:lineRule="exact"/>
        <w:ind w:firstLine="420" w:firstLineChars="200"/>
        <w:rPr>
          <w:rFonts w:hint="default"/>
          <w:color w:val="auto"/>
          <w:lang w:val="en-US" w:eastAsia="zh-CN"/>
        </w:rPr>
      </w:pPr>
    </w:p>
    <w:sectPr>
      <w:footerReference r:id="rId3" w:type="default"/>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8F52391-0490-48A3-B50E-468B2A4939AA}"/>
  </w:font>
  <w:font w:name="黑体">
    <w:panose1 w:val="02010609060101010101"/>
    <w:charset w:val="86"/>
    <w:family w:val="auto"/>
    <w:pitch w:val="default"/>
    <w:sig w:usb0="800002BF" w:usb1="38CF7CFA" w:usb2="00000016" w:usb3="00000000" w:csb0="00040001" w:csb1="00000000"/>
    <w:embedRegular r:id="rId2" w:fontKey="{108FD1B1-A7C3-488B-947F-150B8FFEA6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4C9C5ADA-AA1F-4DD9-A3A5-493CCF9455FA}"/>
  </w:font>
  <w:font w:name="仿宋">
    <w:panose1 w:val="02010609060101010101"/>
    <w:charset w:val="86"/>
    <w:family w:val="auto"/>
    <w:pitch w:val="default"/>
    <w:sig w:usb0="800002BF" w:usb1="38CF7CFA" w:usb2="00000016" w:usb3="00000000" w:csb0="00040001" w:csb1="00000000"/>
    <w:embedRegular r:id="rId4" w:fontKey="{1AE67F1B-1294-435B-AFF7-1CF1F6130D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BE2583"/>
    <w:multiLevelType w:val="singleLevel"/>
    <w:tmpl w:val="55BE2583"/>
    <w:lvl w:ilvl="0" w:tentative="0">
      <w:start w:val="2"/>
      <w:numFmt w:val="decimal"/>
      <w:suff w:val="nothing"/>
      <w:lvlText w:val="%1、"/>
      <w:lvlJc w:val="left"/>
    </w:lvl>
  </w:abstractNum>
  <w:abstractNum w:abstractNumId="2">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
      <w:suff w:val="nothing"/>
      <w:lvlText w:val="(%3)"/>
      <w:lvlJc w:val="left"/>
      <w:pPr>
        <w:ind w:left="231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MzBmYWRlOTk0YTUyYzljMDA1NjQ0YTQxOGRmZjIifQ=="/>
  </w:docVars>
  <w:rsids>
    <w:rsidRoot w:val="3AA424E4"/>
    <w:rsid w:val="02FF5E45"/>
    <w:rsid w:val="06BB7496"/>
    <w:rsid w:val="0ED542E3"/>
    <w:rsid w:val="0F1C6C56"/>
    <w:rsid w:val="1003287D"/>
    <w:rsid w:val="11146D91"/>
    <w:rsid w:val="13A60192"/>
    <w:rsid w:val="141D6D81"/>
    <w:rsid w:val="15F1340C"/>
    <w:rsid w:val="16093755"/>
    <w:rsid w:val="161812A0"/>
    <w:rsid w:val="16761B4E"/>
    <w:rsid w:val="179C2A20"/>
    <w:rsid w:val="185C36C6"/>
    <w:rsid w:val="18731523"/>
    <w:rsid w:val="18BE1222"/>
    <w:rsid w:val="1A1F732C"/>
    <w:rsid w:val="1B746016"/>
    <w:rsid w:val="1CF34D28"/>
    <w:rsid w:val="1DA1442D"/>
    <w:rsid w:val="1E346046"/>
    <w:rsid w:val="1F746526"/>
    <w:rsid w:val="21592EC3"/>
    <w:rsid w:val="21A40F50"/>
    <w:rsid w:val="220B7F0B"/>
    <w:rsid w:val="22502157"/>
    <w:rsid w:val="26FB0581"/>
    <w:rsid w:val="284D7B2A"/>
    <w:rsid w:val="288F7A04"/>
    <w:rsid w:val="2AEF537F"/>
    <w:rsid w:val="2CCA5809"/>
    <w:rsid w:val="2E127D88"/>
    <w:rsid w:val="2F386BEB"/>
    <w:rsid w:val="2F8E3E32"/>
    <w:rsid w:val="3096017D"/>
    <w:rsid w:val="316F4690"/>
    <w:rsid w:val="32C37159"/>
    <w:rsid w:val="33052C12"/>
    <w:rsid w:val="33F73CD2"/>
    <w:rsid w:val="34325CFC"/>
    <w:rsid w:val="3463293A"/>
    <w:rsid w:val="35B17051"/>
    <w:rsid w:val="38797C33"/>
    <w:rsid w:val="39923F83"/>
    <w:rsid w:val="3AA424E4"/>
    <w:rsid w:val="3C28163E"/>
    <w:rsid w:val="3C2E5791"/>
    <w:rsid w:val="3CEC45CD"/>
    <w:rsid w:val="3E335678"/>
    <w:rsid w:val="3F043905"/>
    <w:rsid w:val="3F324587"/>
    <w:rsid w:val="3FB3410E"/>
    <w:rsid w:val="401934A3"/>
    <w:rsid w:val="40494912"/>
    <w:rsid w:val="409E6EE6"/>
    <w:rsid w:val="412169AB"/>
    <w:rsid w:val="41E56E54"/>
    <w:rsid w:val="42160E3D"/>
    <w:rsid w:val="42454D94"/>
    <w:rsid w:val="426E6F4E"/>
    <w:rsid w:val="43880F63"/>
    <w:rsid w:val="45386DD3"/>
    <w:rsid w:val="45514658"/>
    <w:rsid w:val="455A4BC0"/>
    <w:rsid w:val="45890579"/>
    <w:rsid w:val="46393996"/>
    <w:rsid w:val="473906E7"/>
    <w:rsid w:val="48757F96"/>
    <w:rsid w:val="4955232B"/>
    <w:rsid w:val="4A1B00E6"/>
    <w:rsid w:val="4C7649AB"/>
    <w:rsid w:val="4CE61886"/>
    <w:rsid w:val="4D1A4990"/>
    <w:rsid w:val="4D426A4E"/>
    <w:rsid w:val="4EF1282F"/>
    <w:rsid w:val="4F6F09F1"/>
    <w:rsid w:val="502B3F12"/>
    <w:rsid w:val="50B057F0"/>
    <w:rsid w:val="530651F0"/>
    <w:rsid w:val="53905F44"/>
    <w:rsid w:val="539F5FE7"/>
    <w:rsid w:val="54AF027F"/>
    <w:rsid w:val="56616D9D"/>
    <w:rsid w:val="57D904B8"/>
    <w:rsid w:val="58B75D1A"/>
    <w:rsid w:val="58C4108F"/>
    <w:rsid w:val="58F702C5"/>
    <w:rsid w:val="59254E33"/>
    <w:rsid w:val="59846105"/>
    <w:rsid w:val="59A3656A"/>
    <w:rsid w:val="59D2488F"/>
    <w:rsid w:val="5B0171D9"/>
    <w:rsid w:val="5B117F79"/>
    <w:rsid w:val="5CF25015"/>
    <w:rsid w:val="5D140325"/>
    <w:rsid w:val="5E0966B2"/>
    <w:rsid w:val="5F0B7E50"/>
    <w:rsid w:val="5F3833E6"/>
    <w:rsid w:val="601C657B"/>
    <w:rsid w:val="602D775E"/>
    <w:rsid w:val="606B12BF"/>
    <w:rsid w:val="61540B22"/>
    <w:rsid w:val="621C37CC"/>
    <w:rsid w:val="64190005"/>
    <w:rsid w:val="64F817DC"/>
    <w:rsid w:val="653B1BC2"/>
    <w:rsid w:val="657475C5"/>
    <w:rsid w:val="65A26C4A"/>
    <w:rsid w:val="66AE3E80"/>
    <w:rsid w:val="67F812E9"/>
    <w:rsid w:val="6927080B"/>
    <w:rsid w:val="6B922D63"/>
    <w:rsid w:val="6BB8202A"/>
    <w:rsid w:val="6D566349"/>
    <w:rsid w:val="6D61337A"/>
    <w:rsid w:val="6DA55AEF"/>
    <w:rsid w:val="6E004F03"/>
    <w:rsid w:val="6E320207"/>
    <w:rsid w:val="6EFD6ED0"/>
    <w:rsid w:val="6F2A356F"/>
    <w:rsid w:val="6F2F55F5"/>
    <w:rsid w:val="6FF375E1"/>
    <w:rsid w:val="71187FF6"/>
    <w:rsid w:val="71E37057"/>
    <w:rsid w:val="726330D4"/>
    <w:rsid w:val="75400D68"/>
    <w:rsid w:val="76764FE3"/>
    <w:rsid w:val="77362E4B"/>
    <w:rsid w:val="787872D0"/>
    <w:rsid w:val="78C769A8"/>
    <w:rsid w:val="79456682"/>
    <w:rsid w:val="7BD46F1F"/>
    <w:rsid w:val="7E991353"/>
    <w:rsid w:val="7F1B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toa heading"/>
    <w:basedOn w:val="1"/>
    <w:next w:val="1"/>
    <w:qFormat/>
    <w:uiPriority w:val="0"/>
    <w:pPr>
      <w:spacing w:before="120"/>
    </w:pPr>
    <w:rPr>
      <w:rFonts w:ascii="Arial" w:hAnsi="Arial"/>
      <w:sz w:val="24"/>
    </w:rPr>
  </w:style>
  <w:style w:type="paragraph" w:styleId="6">
    <w:name w:val="Body Text"/>
    <w:basedOn w:val="1"/>
    <w:unhideWhenUsed/>
    <w:qFormat/>
    <w:uiPriority w:val="0"/>
    <w:pPr>
      <w:spacing w:after="120"/>
    </w:pPr>
  </w:style>
  <w:style w:type="paragraph" w:styleId="7">
    <w:name w:val="Body Text Indent"/>
    <w:basedOn w:val="1"/>
    <w:qFormat/>
    <w:uiPriority w:val="0"/>
    <w:pPr>
      <w:tabs>
        <w:tab w:val="left" w:pos="360"/>
      </w:tabs>
      <w:spacing w:line="480" w:lineRule="auto"/>
      <w:ind w:firstLine="360" w:firstLineChars="150"/>
    </w:pPr>
    <w:rPr>
      <w:sz w:val="24"/>
    </w:rPr>
  </w:style>
  <w:style w:type="paragraph" w:styleId="8">
    <w:name w:val="Plain Text"/>
    <w:basedOn w:val="1"/>
    <w:qFormat/>
    <w:uiPriority w:val="0"/>
    <w:rPr>
      <w:rFonts w:ascii="宋体" w:hAnsi="Courier New"/>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toc 1"/>
    <w:basedOn w:val="1"/>
    <w:next w:val="1"/>
    <w:unhideWhenUsed/>
    <w:qFormat/>
    <w:uiPriority w:val="39"/>
    <w:pPr>
      <w:spacing w:before="120" w:after="120"/>
      <w:jc w:val="left"/>
    </w:pPr>
    <w:rPr>
      <w:rFonts w:ascii="Calibri" w:hAnsi="Calibri" w:cs="Calibri"/>
      <w:b/>
      <w:bCs/>
      <w:caps/>
      <w:sz w:val="20"/>
      <w:szCs w:val="20"/>
    </w:rPr>
  </w:style>
  <w:style w:type="paragraph" w:styleId="11">
    <w:name w:val="Body Text 2"/>
    <w:basedOn w:val="1"/>
    <w:qFormat/>
    <w:uiPriority w:val="0"/>
    <w:pPr>
      <w:spacing w:line="360" w:lineRule="auto"/>
    </w:pPr>
    <w:rPr>
      <w:b/>
      <w:sz w:val="28"/>
      <w:szCs w:val="21"/>
    </w:rPr>
  </w:style>
  <w:style w:type="paragraph" w:styleId="12">
    <w:name w:val="Normal (Web)"/>
    <w:basedOn w:val="1"/>
    <w:qFormat/>
    <w:uiPriority w:val="99"/>
    <w:rPr>
      <w:sz w:val="24"/>
    </w:rPr>
  </w:style>
  <w:style w:type="paragraph" w:styleId="13">
    <w:name w:val="Body Text First Indent"/>
    <w:basedOn w:val="6"/>
    <w:unhideWhenUsed/>
    <w:qFormat/>
    <w:uiPriority w:val="0"/>
    <w:pPr>
      <w:ind w:firstLine="420" w:firstLineChars="100"/>
    </w:pPr>
  </w:style>
  <w:style w:type="paragraph" w:styleId="14">
    <w:name w:val="Body Text First Indent 2"/>
    <w:basedOn w:val="7"/>
    <w:qFormat/>
    <w:uiPriority w:val="0"/>
    <w:pPr>
      <w:tabs>
        <w:tab w:val="center" w:pos="4680"/>
      </w:tabs>
      <w:adjustRightInd w:val="0"/>
      <w:spacing w:after="120" w:line="520" w:lineRule="exact"/>
      <w:ind w:firstLine="210"/>
    </w:pPr>
    <w:rPr>
      <w:b/>
      <w:kern w:val="44"/>
      <w:sz w:val="4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1"/>
    <w:basedOn w:val="1"/>
    <w:qFormat/>
    <w:uiPriority w:val="0"/>
    <w:rPr>
      <w:rFonts w:ascii="Times New Roman" w:hAnsi="Times New Roman" w:cs="Calibri"/>
      <w:szCs w:val="21"/>
    </w:rPr>
  </w:style>
  <w:style w:type="paragraph" w:customStyle="1" w:styleId="19">
    <w:name w:val="1"/>
    <w:basedOn w:val="10"/>
    <w:next w:val="11"/>
    <w:qFormat/>
    <w:uiPriority w:val="0"/>
    <w:pPr>
      <w:spacing w:line="300" w:lineRule="auto"/>
      <w:jc w:val="center"/>
    </w:pPr>
    <w:rPr>
      <w:rFonts w:ascii="宋体" w:hAnsi="宋体"/>
      <w:spacing w:val="-20"/>
    </w:rPr>
  </w:style>
  <w:style w:type="paragraph" w:customStyle="1" w:styleId="20">
    <w:name w:val="标题 31"/>
    <w:basedOn w:val="1"/>
    <w:qFormat/>
    <w:uiPriority w:val="0"/>
    <w:pPr>
      <w:keepNext/>
      <w:keepLines/>
      <w:spacing w:before="260" w:beforeAutospacing="0" w:after="260" w:afterAutospacing="0" w:line="413" w:lineRule="auto"/>
      <w:outlineLvl w:val="2"/>
    </w:pPr>
    <w:rPr>
      <w:b/>
      <w:sz w:val="32"/>
    </w:rPr>
  </w:style>
  <w:style w:type="paragraph" w:styleId="21">
    <w:name w:val="List Paragraph"/>
    <w:basedOn w:val="1"/>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3">
    <w:name w:val="font61"/>
    <w:basedOn w:val="17"/>
    <w:qFormat/>
    <w:uiPriority w:val="0"/>
    <w:rPr>
      <w:rFonts w:ascii="宋体" w:hAnsi="宋体" w:eastAsia="宋体" w:cs="宋体"/>
      <w:b/>
      <w:bCs/>
      <w:color w:val="000000"/>
      <w:sz w:val="20"/>
      <w:szCs w:val="20"/>
      <w:u w:val="none"/>
    </w:rPr>
  </w:style>
  <w:style w:type="character" w:customStyle="1" w:styleId="24">
    <w:name w:val="font51"/>
    <w:basedOn w:val="17"/>
    <w:qFormat/>
    <w:uiPriority w:val="0"/>
    <w:rPr>
      <w:rFonts w:hint="default" w:ascii="Arial" w:hAnsi="Arial" w:cs="Arial"/>
      <w:color w:val="000000"/>
      <w:sz w:val="18"/>
      <w:szCs w:val="18"/>
      <w:u w:val="none"/>
    </w:rPr>
  </w:style>
  <w:style w:type="character" w:customStyle="1" w:styleId="25">
    <w:name w:val="font31"/>
    <w:basedOn w:val="17"/>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5524</Words>
  <Characters>5824</Characters>
  <Lines>0</Lines>
  <Paragraphs>0</Paragraphs>
  <TotalTime>6</TotalTime>
  <ScaleCrop>false</ScaleCrop>
  <LinksUpToDate>false</LinksUpToDate>
  <CharactersWithSpaces>6467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匿名</dc:creator>
  <cp:lastModifiedBy>Lenovo</cp:lastModifiedBy>
  <cp:lastPrinted>2023-05-18T10:33:00Z</cp:lastPrinted>
  <dcterms:modified xsi:type="dcterms:W3CDTF">2025-01-09T04:11:37Z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90DF9D80090D4C66BB5DA5EF253119C7_13</vt:lpwstr>
  </property>
</Properties>
</file>