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jc w:val="center"/>
        <w:rPr>
          <w:rFonts w:hint="default"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和田市人民医院结核门诊生物显微镜采购项目</w:t>
      </w:r>
    </w:p>
    <w:p>
      <w:pPr>
        <w:jc w:val="center"/>
        <w:rPr>
          <w:rFonts w:hint="eastAsia" w:ascii="微软雅黑" w:hAnsi="微软雅黑" w:eastAsia="微软雅黑" w:cs="微软雅黑"/>
          <w:color w:val="auto"/>
          <w:sz w:val="40"/>
          <w:szCs w:val="40"/>
          <w:lang w:val="en-US" w:eastAsia="zh-CN"/>
        </w:rPr>
      </w:pPr>
    </w:p>
    <w:p>
      <w:pPr>
        <w:jc w:val="center"/>
        <w:rPr>
          <w:rFonts w:hint="eastAsia" w:ascii="微软雅黑" w:hAnsi="微软雅黑" w:eastAsia="微软雅黑" w:cs="微软雅黑"/>
          <w:color w:val="auto"/>
          <w:sz w:val="40"/>
          <w:szCs w:val="40"/>
          <w:lang w:val="en-US" w:eastAsia="zh-CN"/>
        </w:rPr>
      </w:pPr>
    </w:p>
    <w:p>
      <w:pPr>
        <w:pStyle w:val="4"/>
        <w:rPr>
          <w:rFonts w:hint="eastAsia"/>
          <w:color w:val="auto"/>
          <w:lang w:val="en-US" w:eastAsia="zh-CN"/>
        </w:rPr>
      </w:pPr>
    </w:p>
    <w:p>
      <w:pPr>
        <w:jc w:val="center"/>
        <w:rPr>
          <w:rFonts w:hint="eastAsia" w:ascii="微软雅黑" w:hAnsi="微软雅黑" w:eastAsia="微软雅黑" w:cs="微软雅黑"/>
          <w:color w:val="auto"/>
          <w:sz w:val="40"/>
          <w:szCs w:val="40"/>
          <w:lang w:val="en-US" w:eastAsia="zh-CN"/>
        </w:rPr>
      </w:pPr>
      <w:r>
        <w:rPr>
          <w:rFonts w:hint="eastAsia" w:ascii="微软雅黑" w:hAnsi="微软雅黑" w:eastAsia="微软雅黑" w:cs="微软雅黑"/>
          <w:color w:val="auto"/>
          <w:sz w:val="40"/>
          <w:szCs w:val="40"/>
          <w:lang w:val="en-US" w:eastAsia="zh-CN"/>
        </w:rPr>
        <w:t>竞价文件</w:t>
      </w:r>
    </w:p>
    <w:p>
      <w:pPr>
        <w:pStyle w:val="8"/>
        <w:spacing w:line="360" w:lineRule="auto"/>
        <w:ind w:firstLine="1626" w:firstLineChars="450"/>
        <w:rPr>
          <w:rFonts w:hint="eastAsia" w:hAnsi="宋体" w:cs="Arial"/>
          <w:b/>
          <w:color w:val="auto"/>
          <w:sz w:val="36"/>
        </w:rPr>
      </w:pPr>
    </w:p>
    <w:p>
      <w:pPr>
        <w:pStyle w:val="8"/>
        <w:spacing w:line="360" w:lineRule="auto"/>
        <w:ind w:firstLine="1626" w:firstLineChars="450"/>
        <w:rPr>
          <w:rFonts w:hint="eastAsia" w:hAnsi="宋体" w:cs="Arial"/>
          <w:b/>
          <w:color w:val="auto"/>
          <w:sz w:val="36"/>
        </w:rPr>
      </w:pPr>
    </w:p>
    <w:p>
      <w:pPr>
        <w:pStyle w:val="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Arial"/>
          <w:b/>
          <w:color w:val="auto"/>
          <w:sz w:val="36"/>
        </w:rPr>
      </w:pPr>
    </w:p>
    <w:p>
      <w:pPr>
        <w:pStyle w:val="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Ansi="宋体" w:cs="Arial"/>
          <w:b/>
          <w:color w:val="auto"/>
          <w:sz w:val="36"/>
        </w:rPr>
      </w:pPr>
    </w:p>
    <w:p>
      <w:pPr>
        <w:pStyle w:val="8"/>
        <w:keepNext w:val="0"/>
        <w:keepLines w:val="0"/>
        <w:pageBreakBefore w:val="0"/>
        <w:widowControl w:val="0"/>
        <w:kinsoku/>
        <w:wordWrap/>
        <w:overflowPunct/>
        <w:topLinePunct w:val="0"/>
        <w:autoSpaceDE/>
        <w:autoSpaceDN/>
        <w:bidi w:val="0"/>
        <w:adjustRightInd/>
        <w:snapToGrid/>
        <w:spacing w:line="240" w:lineRule="auto"/>
        <w:ind w:firstLine="361" w:firstLineChars="100"/>
        <w:jc w:val="left"/>
        <w:textAlignment w:val="auto"/>
        <w:rPr>
          <w:rFonts w:hint="eastAsia" w:hAnsi="宋体" w:cs="Arial"/>
          <w:b/>
          <w:color w:val="auto"/>
          <w:sz w:val="36"/>
          <w:lang w:val="en-US" w:eastAsia="zh-CN"/>
        </w:rPr>
      </w:pPr>
      <w:r>
        <w:rPr>
          <w:rFonts w:hint="eastAsia" w:hAnsi="宋体" w:cs="Arial"/>
          <w:b/>
          <w:color w:val="auto"/>
          <w:sz w:val="36"/>
        </w:rPr>
        <w:t>项目名称：</w:t>
      </w:r>
      <w:r>
        <w:rPr>
          <w:rFonts w:hint="eastAsia" w:hAnsi="宋体" w:cs="Arial"/>
          <w:b/>
          <w:color w:val="auto"/>
          <w:sz w:val="36"/>
          <w:u w:val="single"/>
          <w:lang w:eastAsia="zh-CN"/>
        </w:rPr>
        <w:t>和田市人民医院</w:t>
      </w:r>
      <w:r>
        <w:rPr>
          <w:rFonts w:hint="eastAsia" w:hAnsi="宋体" w:cs="Arial"/>
          <w:b/>
          <w:color w:val="auto"/>
          <w:sz w:val="36"/>
          <w:u w:val="single"/>
          <w:lang w:val="en-US" w:eastAsia="zh-CN"/>
        </w:rPr>
        <w:t>结核门诊生物显微镜采购</w:t>
      </w:r>
      <w:r>
        <w:rPr>
          <w:rFonts w:hint="eastAsia" w:hAnsi="宋体" w:cs="Arial"/>
          <w:b/>
          <w:color w:val="auto"/>
          <w:sz w:val="36"/>
          <w:u w:val="single"/>
          <w:lang w:eastAsia="zh-CN"/>
        </w:rPr>
        <w:t>项目</w:t>
      </w:r>
    </w:p>
    <w:p>
      <w:pPr>
        <w:pStyle w:val="8"/>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val="en-US" w:eastAsia="zh-CN"/>
        </w:rPr>
        <w:t xml:space="preserve">和田市人民医院 </w:t>
      </w:r>
    </w:p>
    <w:p>
      <w:pPr>
        <w:pStyle w:val="8"/>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温女士</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u w:val="single"/>
          <w:lang w:val="en-US" w:eastAsia="zh-CN"/>
        </w:rPr>
      </w:pPr>
      <w:r>
        <w:rPr>
          <w:rFonts w:hint="eastAsia" w:hAnsi="宋体" w:cs="Arial"/>
          <w:b/>
          <w:color w:val="auto"/>
          <w:sz w:val="36"/>
          <w:highlight w:val="none"/>
        </w:rPr>
        <w:t>电    话：</w:t>
      </w:r>
      <w:r>
        <w:rPr>
          <w:rFonts w:hint="eastAsia" w:hAnsi="宋体" w:cs="Arial"/>
          <w:b/>
          <w:color w:val="auto"/>
          <w:sz w:val="36"/>
          <w:highlight w:val="none"/>
          <w:u w:val="single"/>
          <w:lang w:val="en-US" w:eastAsia="zh-CN"/>
        </w:rPr>
        <w:t>0903-2930187</w:t>
      </w:r>
      <w:r>
        <w:rPr>
          <w:rFonts w:hint="eastAsia" w:hAnsi="宋体" w:cs="Arial"/>
          <w:b/>
          <w:color w:val="auto"/>
          <w:sz w:val="36"/>
          <w:highlight w:val="none"/>
          <w:lang w:val="en-US" w:eastAsia="zh-CN"/>
        </w:rPr>
        <w:t xml:space="preserve">  </w:t>
      </w:r>
    </w:p>
    <w:p>
      <w:pPr>
        <w:ind w:left="3178" w:leftChars="104" w:hanging="2960" w:hangingChars="740"/>
        <w:jc w:val="center"/>
        <w:rPr>
          <w:rFonts w:hint="default" w:ascii="微软雅黑" w:hAnsi="微软雅黑" w:eastAsia="微软雅黑" w:cs="微软雅黑"/>
          <w:color w:val="auto"/>
          <w:sz w:val="40"/>
          <w:szCs w:val="40"/>
          <w:lang w:val="en-US" w:eastAsia="zh-CN"/>
        </w:rPr>
      </w:pPr>
    </w:p>
    <w:p>
      <w:pPr>
        <w:pStyle w:val="11"/>
        <w:rPr>
          <w:rFonts w:hint="default" w:ascii="微软雅黑" w:hAnsi="微软雅黑" w:eastAsia="微软雅黑" w:cs="微软雅黑"/>
          <w:color w:val="auto"/>
          <w:sz w:val="40"/>
          <w:szCs w:val="40"/>
          <w:lang w:val="en-US" w:eastAsia="zh-CN"/>
        </w:rPr>
      </w:pPr>
    </w:p>
    <w:p>
      <w:pPr>
        <w:pStyle w:val="11"/>
        <w:rPr>
          <w:rFonts w:hint="default" w:ascii="微软雅黑" w:hAnsi="微软雅黑" w:eastAsia="微软雅黑" w:cs="微软雅黑"/>
          <w:color w:val="auto"/>
          <w:sz w:val="40"/>
          <w:szCs w:val="40"/>
          <w:lang w:val="en-US" w:eastAsia="zh-CN"/>
        </w:rPr>
      </w:pPr>
    </w:p>
    <w:p>
      <w:pP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和田市人民医院结核门诊生物显微镜采购项目竞价</w:t>
      </w:r>
      <w:r>
        <w:rPr>
          <w:rFonts w:hint="eastAsia" w:ascii="黑体" w:hAnsi="黑体" w:eastAsia="黑体" w:cs="黑体"/>
          <w:color w:val="auto"/>
          <w:sz w:val="36"/>
          <w:szCs w:val="36"/>
          <w:u w:val="none"/>
          <w:lang w:val="en-US" w:eastAsia="zh-Hans"/>
        </w:rPr>
        <w:t>文件</w:t>
      </w:r>
    </w:p>
    <w:p>
      <w:pPr>
        <w:ind w:firstLine="640" w:firstLineChars="200"/>
        <w:rPr>
          <w:rFonts w:hint="eastAsia" w:ascii="黑体" w:hAnsi="黑体" w:eastAsia="黑体" w:cs="黑体"/>
          <w:color w:val="auto"/>
          <w:sz w:val="32"/>
          <w:szCs w:val="32"/>
          <w:lang w:val="en-US" w:eastAsia="zh-CN"/>
        </w:rPr>
      </w:pP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1.项目编号：</w:t>
      </w:r>
    </w:p>
    <w:p>
      <w:pPr>
        <w:jc w:val="center"/>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    2.项目名称：</w:t>
      </w:r>
      <w:r>
        <w:rPr>
          <w:rFonts w:hint="eastAsia" w:ascii="仿宋" w:hAnsi="仿宋" w:eastAsia="仿宋" w:cs="仿宋"/>
          <w:b w:val="0"/>
          <w:bCs w:val="0"/>
          <w:color w:val="auto"/>
          <w:sz w:val="32"/>
          <w:szCs w:val="32"/>
          <w:lang w:val="en-US" w:eastAsia="zh-CN"/>
        </w:rPr>
        <w:t>和田市人民医院结核门诊生物显微镜采购项目</w:t>
      </w:r>
    </w:p>
    <w:p>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3.采购机构：</w:t>
      </w:r>
      <w:r>
        <w:rPr>
          <w:rFonts w:hint="eastAsia" w:ascii="仿宋" w:hAnsi="仿宋" w:eastAsia="仿宋" w:cs="仿宋"/>
          <w:b w:val="0"/>
          <w:bCs w:val="0"/>
          <w:color w:val="auto"/>
          <w:sz w:val="32"/>
          <w:szCs w:val="32"/>
          <w:lang w:val="en-US" w:eastAsia="zh-CN"/>
        </w:rPr>
        <w:t xml:space="preserve">和田市人民医院 </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4.采购形式：</w:t>
      </w:r>
      <w:r>
        <w:rPr>
          <w:rFonts w:hint="eastAsia" w:ascii="仿宋" w:hAnsi="仿宋" w:eastAsia="仿宋" w:cs="仿宋"/>
          <w:b w:val="0"/>
          <w:bCs w:val="0"/>
          <w:color w:val="auto"/>
          <w:sz w:val="32"/>
          <w:szCs w:val="32"/>
          <w:lang w:val="en-US" w:eastAsia="zh-CN"/>
        </w:rPr>
        <w:t>政采云平台-在线询价</w:t>
      </w:r>
    </w:p>
    <w:p>
      <w:pPr>
        <w:spacing w:line="560" w:lineRule="exact"/>
        <w:ind w:firstLine="643" w:firstLineChars="200"/>
        <w:jc w:val="lef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5.采购内容：</w:t>
      </w:r>
      <w:r>
        <w:rPr>
          <w:rFonts w:hint="eastAsia" w:ascii="仿宋" w:hAnsi="仿宋" w:eastAsia="仿宋" w:cs="仿宋"/>
          <w:i w:val="0"/>
          <w:iCs w:val="0"/>
          <w:color w:val="000000"/>
          <w:kern w:val="0"/>
          <w:sz w:val="28"/>
          <w:szCs w:val="28"/>
          <w:u w:val="none"/>
          <w:lang w:val="en-US" w:eastAsia="zh-CN" w:bidi="ar"/>
        </w:rPr>
        <w:t>生物显微镜1台</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6.</w:t>
      </w:r>
      <w:r>
        <w:rPr>
          <w:rFonts w:hint="eastAsia" w:ascii="仿宋" w:hAnsi="仿宋" w:eastAsia="仿宋" w:cs="仿宋"/>
          <w:b/>
          <w:color w:val="auto"/>
          <w:sz w:val="30"/>
          <w:szCs w:val="30"/>
          <w:highlight w:val="none"/>
          <w:lang w:val="en-US" w:eastAsia="zh-CN"/>
        </w:rPr>
        <w:t>设备交付时间和具体地点</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color w:val="auto"/>
          <w:sz w:val="32"/>
          <w:szCs w:val="32"/>
          <w:lang w:val="en-US" w:eastAsia="zh-CN"/>
        </w:rPr>
        <w:t>合同签订后，7个工作日内配送至院方指定地点。</w:t>
      </w:r>
    </w:p>
    <w:p>
      <w:pPr>
        <w:pStyle w:val="4"/>
        <w:rPr>
          <w:rFonts w:hint="default"/>
          <w:color w:val="auto"/>
          <w:lang w:val="en-US" w:eastAsia="zh-CN"/>
        </w:rPr>
      </w:pPr>
      <w:r>
        <w:rPr>
          <w:rFonts w:hint="eastAsia" w:ascii="仿宋" w:hAnsi="仿宋" w:eastAsia="仿宋" w:cs="仿宋"/>
          <w:b/>
          <w:color w:val="auto"/>
          <w:kern w:val="2"/>
          <w:sz w:val="30"/>
          <w:szCs w:val="30"/>
          <w:highlight w:val="none"/>
          <w:lang w:val="en-US" w:eastAsia="zh-CN" w:bidi="ar-SA"/>
        </w:rPr>
        <w:t>7.项目最高限价：</w:t>
      </w:r>
      <w:r>
        <w:rPr>
          <w:rFonts w:hint="eastAsia" w:ascii="仿宋" w:hAnsi="仿宋" w:eastAsia="仿宋" w:cs="仿宋"/>
          <w:b w:val="0"/>
          <w:bCs/>
          <w:color w:val="auto"/>
          <w:kern w:val="2"/>
          <w:sz w:val="30"/>
          <w:szCs w:val="30"/>
          <w:highlight w:val="none"/>
          <w:lang w:val="en-US" w:eastAsia="zh-CN" w:bidi="ar-SA"/>
        </w:rPr>
        <w:t>4</w:t>
      </w:r>
      <w:r>
        <w:rPr>
          <w:rFonts w:hint="eastAsia" w:ascii="仿宋" w:hAnsi="仿宋" w:eastAsia="仿宋" w:cs="仿宋"/>
          <w:b w:val="0"/>
          <w:bCs w:val="0"/>
          <w:color w:val="auto"/>
          <w:sz w:val="32"/>
          <w:szCs w:val="32"/>
          <w:lang w:val="en-US" w:eastAsia="zh-CN"/>
        </w:rPr>
        <w:t>万元</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1.满足《中华人民共和国政府采购法》第二十二条规定；</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具有独立承担民事责任的能力：在中华人民共和国境内注册的法人或其他组织或自然人， 投标（响应）时提交有效的营业执照（或事业法人登记证或身份证等相关证明） </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其参本次政府采购活动（开标现场查询核实）。</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.本项目的特定资格要求：</w:t>
      </w:r>
    </w:p>
    <w:p>
      <w:pPr>
        <w:spacing w:line="560" w:lineRule="exact"/>
        <w:ind w:firstLine="600" w:firstLineChars="200"/>
        <w:jc w:val="left"/>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）投标人为经销商：</w:t>
      </w:r>
      <w:r>
        <w:rPr>
          <w:rFonts w:hint="eastAsia" w:ascii="仿宋" w:hAnsi="仿宋" w:eastAsia="仿宋" w:cs="仿宋"/>
          <w:color w:val="auto"/>
          <w:sz w:val="30"/>
          <w:szCs w:val="30"/>
          <w:lang w:val="en-US" w:eastAsia="zh-CN"/>
        </w:rPr>
        <w:t>按照所投</w:t>
      </w:r>
      <w:r>
        <w:rPr>
          <w:rFonts w:hint="eastAsia" w:ascii="仿宋" w:hAnsi="仿宋" w:eastAsia="仿宋" w:cs="仿宋"/>
          <w:color w:val="auto"/>
          <w:sz w:val="30"/>
          <w:szCs w:val="30"/>
          <w:lang w:eastAsia="zh-CN"/>
        </w:rPr>
        <w:t>产品医疗器械</w:t>
      </w:r>
      <w:r>
        <w:rPr>
          <w:rFonts w:hint="eastAsia" w:ascii="仿宋" w:hAnsi="仿宋" w:eastAsia="仿宋" w:cs="仿宋"/>
          <w:color w:val="auto"/>
          <w:sz w:val="30"/>
          <w:szCs w:val="30"/>
          <w:lang w:val="en-US" w:eastAsia="zh-CN"/>
        </w:rPr>
        <w:t>分类</w:t>
      </w:r>
      <w:r>
        <w:rPr>
          <w:rFonts w:hint="eastAsia" w:ascii="仿宋" w:hAnsi="仿宋" w:eastAsia="仿宋" w:cs="仿宋"/>
          <w:color w:val="auto"/>
          <w:sz w:val="30"/>
          <w:szCs w:val="30"/>
          <w:lang w:eastAsia="zh-CN"/>
        </w:rPr>
        <w:t>，提供行政管理部门签发有效的《医疗器械经营许可证》（法律法规另有规定，则适用其规定）；投标人为制造商的：所投产品</w:t>
      </w:r>
      <w:r>
        <w:rPr>
          <w:rFonts w:hint="eastAsia" w:ascii="仿宋" w:hAnsi="仿宋" w:eastAsia="仿宋" w:cs="仿宋"/>
          <w:color w:val="auto"/>
          <w:sz w:val="30"/>
          <w:szCs w:val="30"/>
          <w:lang w:val="en-US" w:eastAsia="zh-CN"/>
        </w:rPr>
        <w:t>按照</w:t>
      </w:r>
      <w:r>
        <w:rPr>
          <w:rFonts w:hint="eastAsia" w:ascii="仿宋" w:hAnsi="仿宋" w:eastAsia="仿宋" w:cs="仿宋"/>
          <w:color w:val="auto"/>
          <w:sz w:val="30"/>
          <w:szCs w:val="30"/>
          <w:lang w:eastAsia="zh-CN"/>
        </w:rPr>
        <w:t>医疗器械</w:t>
      </w:r>
      <w:r>
        <w:rPr>
          <w:rFonts w:hint="eastAsia" w:ascii="仿宋" w:hAnsi="仿宋" w:eastAsia="仿宋" w:cs="仿宋"/>
          <w:color w:val="auto"/>
          <w:sz w:val="30"/>
          <w:szCs w:val="30"/>
          <w:lang w:val="en-US" w:eastAsia="zh-CN"/>
        </w:rPr>
        <w:t>分类</w:t>
      </w:r>
      <w:r>
        <w:rPr>
          <w:rFonts w:hint="eastAsia" w:ascii="仿宋" w:hAnsi="仿宋" w:eastAsia="仿宋" w:cs="仿宋"/>
          <w:color w:val="auto"/>
          <w:sz w:val="30"/>
          <w:szCs w:val="30"/>
          <w:lang w:eastAsia="zh-CN"/>
        </w:rPr>
        <w:t>，提供行政管理部门签发有效的《医疗器械生产许可证》（法律法规另有规定，则适用其规定）。</w:t>
      </w:r>
    </w:p>
    <w:p>
      <w:pPr>
        <w:spacing w:line="560" w:lineRule="exact"/>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投标人</w:t>
      </w:r>
      <w:r>
        <w:rPr>
          <w:rFonts w:hint="eastAsia" w:ascii="仿宋" w:hAnsi="仿宋" w:eastAsia="仿宋" w:cs="仿宋"/>
          <w:color w:val="auto"/>
          <w:sz w:val="30"/>
          <w:szCs w:val="30"/>
          <w:lang w:eastAsia="zh-CN"/>
        </w:rPr>
        <w:t>须提供</w:t>
      </w:r>
      <w:r>
        <w:rPr>
          <w:rFonts w:hint="eastAsia" w:ascii="仿宋" w:hAnsi="仿宋" w:eastAsia="仿宋" w:cs="仿宋"/>
          <w:color w:val="auto"/>
          <w:sz w:val="30"/>
          <w:szCs w:val="30"/>
          <w:lang w:val="en-US" w:eastAsia="zh-CN"/>
        </w:rPr>
        <w:t>所投</w:t>
      </w:r>
      <w:r>
        <w:rPr>
          <w:rFonts w:hint="eastAsia" w:ascii="仿宋" w:hAnsi="仿宋" w:eastAsia="仿宋" w:cs="仿宋"/>
          <w:color w:val="auto"/>
          <w:sz w:val="30"/>
          <w:szCs w:val="30"/>
          <w:lang w:eastAsia="zh-CN"/>
        </w:rPr>
        <w:t>产品有效的《中华人民共和国医疗器械注册证》，若注册证有附件的，还须提供附件。</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spacing w:line="560" w:lineRule="exact"/>
        <w:ind w:firstLine="640" w:firstLineChars="200"/>
        <w:jc w:val="left"/>
        <w:rPr>
          <w:rFonts w:hint="eastAsia" w:ascii="仿宋" w:hAnsi="仿宋" w:eastAsia="仿宋" w:cs="仿宋"/>
          <w:b w:val="0"/>
          <w:bCs w:val="0"/>
          <w:color w:val="auto"/>
          <w:sz w:val="32"/>
          <w:szCs w:val="32"/>
          <w:lang w:val="en-US" w:eastAsia="zh-CN"/>
        </w:rPr>
      </w:pPr>
      <w:bookmarkStart w:id="0" w:name="EB042d3e125ccb4c8297f240a16ca9cda3"/>
      <w:r>
        <w:rPr>
          <w:rFonts w:hint="eastAsia" w:ascii="仿宋" w:hAnsi="仿宋" w:eastAsia="仿宋" w:cs="仿宋"/>
          <w:b w:val="0"/>
          <w:bCs w:val="0"/>
          <w:color w:val="auto"/>
          <w:sz w:val="32"/>
          <w:szCs w:val="32"/>
          <w:lang w:val="en-US" w:eastAsia="zh-CN"/>
        </w:rPr>
        <w:t>2.1有关说明</w:t>
      </w:r>
    </w:p>
    <w:p>
      <w:pPr>
        <w:spacing w:line="56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采购需求中带</w:t>
      </w:r>
      <w:r>
        <w:rPr>
          <w:rFonts w:hint="eastAsia" w:ascii="仿宋" w:hAnsi="仿宋" w:eastAsia="仿宋" w:cs="仿宋"/>
          <w:b w:val="0"/>
          <w:bCs w:val="0"/>
          <w:color w:val="auto"/>
          <w:sz w:val="32"/>
          <w:szCs w:val="32"/>
          <w:lang w:val="zh-CN" w:eastAsia="zh-CN"/>
        </w:rPr>
        <w:t>★</w:t>
      </w:r>
      <w:r>
        <w:rPr>
          <w:rFonts w:hint="eastAsia" w:ascii="仿宋" w:hAnsi="仿宋" w:eastAsia="仿宋" w:cs="仿宋"/>
          <w:b w:val="0"/>
          <w:bCs w:val="0"/>
          <w:color w:val="auto"/>
          <w:sz w:val="32"/>
          <w:szCs w:val="32"/>
          <w:lang w:val="en-US" w:eastAsia="zh-CN"/>
        </w:rPr>
        <w:t>条款为实质性条款，必须逐条进行响应，有任何一条负偏离的，将导致无效投标。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2.2采购项目清单及技术参数</w:t>
      </w:r>
    </w:p>
    <w:p>
      <w:pPr>
        <w:spacing w:line="560" w:lineRule="exact"/>
        <w:ind w:firstLine="640" w:firstLineChars="200"/>
        <w:jc w:val="left"/>
        <w:rPr>
          <w:rFonts w:hint="eastAsia" w:ascii="仿宋" w:hAnsi="仿宋" w:eastAsia="仿宋" w:cs="仿宋"/>
          <w:i w:val="0"/>
          <w:iCs w:val="0"/>
          <w:color w:val="auto"/>
          <w:sz w:val="32"/>
          <w:szCs w:val="32"/>
        </w:rPr>
      </w:pPr>
      <w:r>
        <w:rPr>
          <w:rFonts w:hint="eastAsia" w:ascii="仿宋" w:hAnsi="仿宋" w:eastAsia="仿宋" w:cs="仿宋"/>
          <w:b w:val="0"/>
          <w:bCs w:val="0"/>
          <w:color w:val="auto"/>
          <w:kern w:val="2"/>
          <w:sz w:val="32"/>
          <w:szCs w:val="32"/>
          <w:lang w:val="en-US" w:eastAsia="zh-CN" w:bidi="ar-SA"/>
        </w:rPr>
        <w:t>2.2.1采购项目一览表</w:t>
      </w:r>
      <w:bookmarkEnd w:id="0"/>
    </w:p>
    <w:tbl>
      <w:tblPr>
        <w:tblStyle w:val="15"/>
        <w:tblW w:w="9623" w:type="dxa"/>
        <w:tblInd w:w="-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3627"/>
        <w:gridCol w:w="1349"/>
        <w:gridCol w:w="1189"/>
        <w:gridCol w:w="2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2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和田市人民医院结核门诊医疗设备购置项目采购清单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序号</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42" w:leftChars="-20" w:right="-2" w:rightChars="-1"/>
              <w:jc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color w:val="auto"/>
                <w:sz w:val="30"/>
                <w:szCs w:val="30"/>
                <w:highlight w:val="none"/>
              </w:rPr>
              <w:t>采购内容</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42" w:leftChars="-20" w:right="-2" w:rightChars="-1"/>
              <w:jc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color w:val="auto"/>
                <w:sz w:val="30"/>
                <w:szCs w:val="30"/>
                <w:highlight w:val="none"/>
              </w:rPr>
              <w:t>数量</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tabs>
                <w:tab w:val="left" w:pos="381"/>
              </w:tabs>
              <w:spacing w:line="360" w:lineRule="exact"/>
              <w:ind w:right="-2" w:rightChars="-1"/>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单位</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0"/>
                <w:szCs w:val="30"/>
                <w:highlight w:val="none"/>
                <w:u w:val="none"/>
              </w:rPr>
            </w:pPr>
            <w:r>
              <w:rPr>
                <w:rFonts w:hint="eastAsia" w:ascii="仿宋" w:hAnsi="仿宋" w:eastAsia="仿宋" w:cs="仿宋"/>
                <w:b/>
                <w:bCs/>
                <w:i w:val="0"/>
                <w:iCs w:val="0"/>
                <w:color w:val="auto"/>
                <w:kern w:val="0"/>
                <w:sz w:val="30"/>
                <w:szCs w:val="3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1</w:t>
            </w:r>
          </w:p>
        </w:tc>
        <w:tc>
          <w:tcPr>
            <w:tcW w:w="3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000000"/>
                <w:kern w:val="0"/>
                <w:sz w:val="28"/>
                <w:szCs w:val="28"/>
                <w:u w:val="none"/>
                <w:lang w:val="en-US" w:eastAsia="zh-CN" w:bidi="ar"/>
              </w:rPr>
              <w:t>生物显微镜</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0"/>
                <w:szCs w:val="30"/>
                <w:u w:val="none"/>
                <w:lang w:val="en-US" w:eastAsia="zh-CN" w:bidi="ar"/>
              </w:rPr>
            </w:pPr>
          </w:p>
        </w:tc>
      </w:tr>
    </w:tbl>
    <w:p>
      <w:pPr>
        <w:pStyle w:val="2"/>
        <w:numPr>
          <w:ilvl w:val="0"/>
          <w:numId w:val="0"/>
        </w:numPr>
        <w:spacing w:line="500" w:lineRule="exact"/>
        <w:rPr>
          <w:rFonts w:hint="eastAsia" w:ascii="仿宋" w:hAnsi="仿宋" w:eastAsia="仿宋" w:cs="仿宋"/>
          <w:b w:val="0"/>
          <w:bCs w:val="0"/>
          <w:color w:val="auto"/>
          <w:sz w:val="32"/>
          <w:szCs w:val="32"/>
          <w:highlight w:val="none"/>
        </w:rPr>
      </w:pPr>
      <w:r>
        <w:rPr>
          <w:rFonts w:hint="eastAsia" w:ascii="仿宋" w:hAnsi="仿宋" w:eastAsia="仿宋" w:cs="仿宋"/>
          <w:b/>
          <w:color w:val="auto"/>
          <w:sz w:val="32"/>
          <w:szCs w:val="32"/>
          <w:highlight w:val="none"/>
        </w:rPr>
        <w:t>主要技术参数及要求</w:t>
      </w:r>
    </w:p>
    <w:p>
      <w:pPr>
        <w:numPr>
          <w:ilvl w:val="0"/>
          <w:numId w:val="2"/>
        </w:numPr>
        <w:ind w:firstLine="320" w:firstLineChars="100"/>
        <w:rPr>
          <w:rFonts w:hint="eastAsia" w:ascii="仿宋_GB2312" w:hAnsi="仿宋_GB2312" w:eastAsia="仿宋_GB2312" w:cs="仿宋_GB2312"/>
          <w:sz w:val="32"/>
          <w:szCs w:val="32"/>
          <w:lang w:val="en-US" w:eastAsia="uk-UA"/>
        </w:rPr>
      </w:pPr>
      <w:r>
        <w:rPr>
          <w:rFonts w:hint="eastAsia" w:ascii="仿宋_GB2312" w:hAnsi="仿宋_GB2312" w:eastAsia="仿宋_GB2312" w:cs="仿宋_GB2312"/>
          <w:sz w:val="32"/>
          <w:szCs w:val="32"/>
          <w:highlight w:val="none"/>
          <w:lang w:val="en-US" w:eastAsia="uk-UA"/>
        </w:rPr>
        <w:t>光学系统；无限远光学矫正系统，齐焦距离国际标准45mm。放大倍数：40X-1000X。</w:t>
      </w:r>
      <w:r>
        <w:rPr>
          <w:rFonts w:hint="eastAsia" w:ascii="仿宋_GB2312" w:hAnsi="仿宋_GB2312" w:eastAsia="仿宋_GB2312" w:cs="仿宋_GB2312"/>
          <w:sz w:val="32"/>
          <w:szCs w:val="32"/>
          <w:highlight w:val="none"/>
          <w:lang w:val="en-US" w:eastAsia="uk-UA"/>
        </w:rPr>
        <w:c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uk-UA"/>
        </w:rPr>
        <w:t xml:space="preserve">中国品牌，在电源220V（±10%）/50Hz、气温摄氏-5℃～40℃和相对湿度85%的环境条件下运行。 </w:t>
      </w:r>
      <w:r>
        <w:rPr>
          <w:rFonts w:hint="eastAsia" w:ascii="仿宋_GB2312" w:hAnsi="仿宋_GB2312" w:eastAsia="仿宋_GB2312" w:cs="仿宋_GB2312"/>
          <w:sz w:val="32"/>
          <w:szCs w:val="32"/>
          <w:highlight w:val="none"/>
          <w:lang w:val="en-US" w:eastAsia="uk-UA"/>
        </w:rPr>
        <w:c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uk-UA"/>
        </w:rPr>
        <w:t>2、观察筒；铰链式三目观察筒， 30°倾斜。铰链组可360°旋转，在标准60mm瞳距时，通过旋转双目筒，可将眼点高度提升30mm以上。</w:t>
      </w:r>
      <w:r>
        <w:rPr>
          <w:rFonts w:hint="eastAsia" w:ascii="仿宋_GB2312" w:hAnsi="仿宋_GB2312" w:eastAsia="仿宋_GB2312" w:cs="仿宋_GB2312"/>
          <w:sz w:val="32"/>
          <w:szCs w:val="32"/>
          <w:highlight w:val="none"/>
          <w:lang w:val="en-US" w:eastAsia="uk-UA"/>
        </w:rPr>
        <w:c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uk-UA"/>
        </w:rPr>
        <w:t xml:space="preserve">3、目镜；带视度补偿、平场目镜，PL10X/22mm </w:t>
      </w:r>
      <w:r>
        <w:rPr>
          <w:rFonts w:hint="eastAsia" w:ascii="仿宋_GB2312" w:hAnsi="仿宋_GB2312" w:eastAsia="仿宋_GB2312" w:cs="仿宋_GB2312"/>
          <w:sz w:val="32"/>
          <w:szCs w:val="32"/>
          <w:highlight w:val="none"/>
          <w:lang w:val="en-US" w:eastAsia="zh-CN"/>
        </w:rPr>
        <w:t>，有效出瞳距19mm。</w:t>
      </w:r>
      <w:r>
        <w:rPr>
          <w:rFonts w:hint="eastAsia" w:ascii="仿宋_GB2312" w:hAnsi="仿宋_GB2312" w:eastAsia="仿宋_GB2312" w:cs="仿宋_GB2312"/>
          <w:sz w:val="32"/>
          <w:szCs w:val="32"/>
          <w:highlight w:val="none"/>
          <w:lang w:val="en-US" w:eastAsia="uk-UA"/>
        </w:rPr>
        <w:c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eastAsia="uk-UA"/>
        </w:rPr>
        <w:t xml:space="preserve">4、物镜转换器；内定位内倾式伍孔转换器 </w:t>
      </w:r>
      <w:r>
        <w:rPr>
          <w:rFonts w:hint="eastAsia" w:ascii="仿宋_GB2312" w:hAnsi="仿宋_GB2312" w:eastAsia="仿宋_GB2312" w:cs="仿宋_GB2312"/>
          <w:sz w:val="32"/>
          <w:szCs w:val="32"/>
          <w:lang w:val="en-US" w:eastAsia="uk-UA"/>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uk-UA"/>
        </w:rPr>
        <w:t xml:space="preserve">5、调焦机构；粗微调同轴，载物台上下行程30mm，带随机可调式平台上限位装置，全金属齿轮齿条调焦机构，微调精度0.002mm。 聚光镜；数值孔径：N.A.1.25，齿轮齿条升降，带可变孔径光栏，带暗场、相衬附件接口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uk-UA"/>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uk-UA"/>
        </w:rPr>
        <w:t xml:space="preserve">6、载物台；双层机械移动平台，低手位X、Y方向同轴调节，线轨传动，X方向无齿条伸出。载物台面积：210X170mm，移动范围：78mmX50mm，片夹可同时夹持两块切片，方便对比观察。 </w:t>
      </w:r>
      <w:r>
        <w:rPr>
          <w:rFonts w:hint="eastAsia" w:ascii="仿宋_GB2312" w:hAnsi="仿宋_GB2312" w:eastAsia="仿宋_GB2312" w:cs="仿宋_GB2312"/>
          <w:sz w:val="32"/>
          <w:szCs w:val="32"/>
          <w:lang w:val="en-US" w:eastAsia="uk-UA"/>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uk-UA"/>
        </w:rPr>
        <w:t xml:space="preserve">7、物镜；无限远平场半复消色差荧光物镜4X.N.A.0.1、10X：N.A..0.30，40X：N.A.0.75，100X：N.A.1.28。 </w:t>
      </w:r>
      <w:r>
        <w:rPr>
          <w:rFonts w:hint="eastAsia" w:ascii="仿宋_GB2312" w:hAnsi="仿宋_GB2312" w:eastAsia="仿宋_GB2312" w:cs="仿宋_GB2312"/>
          <w:sz w:val="32"/>
          <w:szCs w:val="32"/>
          <w:lang w:val="en-US" w:eastAsia="uk-UA"/>
        </w:rPr>
        <w:cr/>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Cs/>
          <w:color w:val="auto"/>
          <w:sz w:val="30"/>
          <w:szCs w:val="30"/>
          <w:highlight w:val="none"/>
        </w:rPr>
        <w:t>★</w:t>
      </w:r>
      <w:r>
        <w:rPr>
          <w:rFonts w:hint="eastAsia" w:ascii="仿宋_GB2312" w:hAnsi="仿宋_GB2312" w:eastAsia="仿宋_GB2312" w:cs="仿宋_GB2312"/>
          <w:sz w:val="32"/>
          <w:szCs w:val="32"/>
          <w:lang w:val="en-US" w:eastAsia="uk-UA"/>
        </w:rPr>
        <w:t>8、照明系统及荧光装置</w:t>
      </w:r>
      <w:r>
        <w:rPr>
          <w:rFonts w:hint="eastAsia" w:ascii="仿宋_GB2312" w:hAnsi="仿宋_GB2312" w:eastAsia="仿宋_GB2312" w:cs="仿宋_GB2312"/>
          <w:sz w:val="32"/>
          <w:szCs w:val="32"/>
          <w:lang w:val="en-US" w:eastAsia="uk-UA"/>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uk-UA"/>
        </w:rPr>
        <w:t xml:space="preserve">8.1、照明系统；宽电压输入；大功率高亮度3W LED，带电源指示灯，防止人未关灯，避免安全隐患。 </w:t>
      </w:r>
      <w:r>
        <w:rPr>
          <w:rFonts w:hint="eastAsia" w:ascii="仿宋_GB2312" w:hAnsi="仿宋_GB2312" w:eastAsia="仿宋_GB2312" w:cs="仿宋_GB2312"/>
          <w:sz w:val="32"/>
          <w:szCs w:val="32"/>
          <w:lang w:val="en-US" w:eastAsia="uk-UA"/>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uk-UA"/>
        </w:rPr>
        <w:t>8.2、落射LED荧光装置；455nm LED 模块组，光源亮度连续可调，明场观察与荧光观察采用一键式切换。</w:t>
      </w:r>
      <w:r>
        <w:rPr>
          <w:rFonts w:hint="eastAsia" w:ascii="仿宋_GB2312" w:hAnsi="仿宋_GB2312" w:eastAsia="仿宋_GB2312" w:cs="仿宋_GB2312"/>
          <w:sz w:val="32"/>
          <w:szCs w:val="32"/>
          <w:lang w:val="en-US" w:eastAsia="uk-UA"/>
        </w:rPr>
        <w:cr/>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Cs/>
          <w:color w:val="auto"/>
          <w:sz w:val="30"/>
          <w:szCs w:val="30"/>
          <w:highlight w:val="none"/>
        </w:rPr>
        <w:t>★</w:t>
      </w:r>
      <w:r>
        <w:rPr>
          <w:rFonts w:hint="eastAsia" w:ascii="仿宋_GB2312" w:hAnsi="仿宋_GB2312" w:eastAsia="仿宋_GB2312" w:cs="仿宋_GB2312"/>
          <w:sz w:val="32"/>
          <w:szCs w:val="32"/>
          <w:lang w:val="en-US" w:eastAsia="uk-UA"/>
        </w:rPr>
        <w:t>9、超强续航功能；机身自带type-c接口，支持充电宝给显微镜供电。机身自带USB接口，可以通过显微镜向手机或者平板充电（提供实物照片证明或检测报告证明）。即在停电时，能够将移动电源最为显微镜电源，极大的便于用户在室外或者停电状态下使用，摆脱显微镜对于电源插口的依赖，更具人性化。</w:t>
      </w:r>
      <w:r>
        <w:rPr>
          <w:rFonts w:hint="eastAsia" w:ascii="仿宋_GB2312" w:hAnsi="仿宋_GB2312" w:eastAsia="仿宋_GB2312" w:cs="仿宋_GB2312"/>
          <w:sz w:val="32"/>
          <w:szCs w:val="32"/>
          <w:lang w:val="en-US" w:eastAsia="uk-UA"/>
        </w:rPr>
        <w:cr/>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Cs/>
          <w:color w:val="auto"/>
          <w:sz w:val="30"/>
          <w:szCs w:val="30"/>
          <w:highlight w:val="none"/>
        </w:rPr>
        <w:t>★</w:t>
      </w:r>
      <w:r>
        <w:rPr>
          <w:rFonts w:hint="eastAsia" w:ascii="仿宋_GB2312" w:hAnsi="仿宋_GB2312" w:eastAsia="仿宋_GB2312" w:cs="仿宋_GB2312"/>
          <w:sz w:val="32"/>
          <w:szCs w:val="32"/>
          <w:lang w:val="en-US" w:eastAsia="uk-UA"/>
        </w:rPr>
        <w:t xml:space="preserve">10、智能感应装置；具备ECO智能感应装置，在连续15min-30min无人操作时，自动关闭电源进入待机状态，再次回来可智能开启，节能降耗，更具人性化。 </w:t>
      </w:r>
    </w:p>
    <w:p>
      <w:pPr>
        <w:numPr>
          <w:ilvl w:val="0"/>
          <w:numId w:val="0"/>
        </w:numPr>
        <w:ind w:firstLine="300" w:firstLineChars="100"/>
        <w:rPr>
          <w:rFonts w:hint="eastAsia" w:ascii="仿宋_GB2312" w:hAnsi="仿宋_GB2312" w:eastAsia="仿宋_GB2312" w:cs="仿宋_GB2312"/>
          <w:sz w:val="32"/>
          <w:szCs w:val="32"/>
          <w:highlight w:val="none"/>
          <w:lang w:val="en-US" w:eastAsia="zh-CN"/>
        </w:rPr>
      </w:pPr>
      <w:r>
        <w:rPr>
          <w:rFonts w:hint="eastAsia" w:ascii="仿宋" w:hAnsi="仿宋" w:eastAsia="仿宋" w:cs="仿宋"/>
          <w:bCs/>
          <w:color w:val="auto"/>
          <w:sz w:val="30"/>
          <w:szCs w:val="30"/>
          <w:highlight w:val="none"/>
        </w:rPr>
        <w:t>★</w:t>
      </w:r>
      <w:r>
        <w:rPr>
          <w:rFonts w:hint="eastAsia" w:ascii="仿宋_GB2312" w:hAnsi="仿宋_GB2312" w:eastAsia="仿宋_GB2312" w:cs="仿宋_GB2312"/>
          <w:sz w:val="32"/>
          <w:szCs w:val="32"/>
          <w:lang w:val="en-US" w:eastAsia="uk-UA"/>
        </w:rPr>
        <w:t xml:space="preserve">11、机身带搬运手柄，方便便于搬运；机身带收纳仓，便于收纳电源线和充电装置。 </w:t>
      </w:r>
      <w:r>
        <w:rPr>
          <w:rFonts w:hint="eastAsia" w:ascii="仿宋_GB2312" w:hAnsi="仿宋_GB2312" w:eastAsia="仿宋_GB2312" w:cs="仿宋_GB2312"/>
          <w:sz w:val="32"/>
          <w:szCs w:val="32"/>
          <w:lang w:val="en-US" w:eastAsia="uk-UA"/>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uk-UA"/>
        </w:rPr>
        <w:t>12、产品具有医疗资质及检验报告,国际CE电器安全认证，ISO9001、ISO14001、ISO13485国际认证。所采用零部件和生产过程，需对有害物质过程管理进行严格控制，符合中华人民共和国《电器电子产品有害物质限制使用管理办法》（令第32号）的要求，提供第三方出具的证明材料（复印件加盖生产企业公章）</w:t>
      </w:r>
      <w:r>
        <w:rPr>
          <w:rFonts w:hint="eastAsia" w:ascii="仿宋_GB2312" w:hAnsi="仿宋_GB2312" w:eastAsia="仿宋_GB2312" w:cs="仿宋_GB2312"/>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line="240" w:lineRule="auto"/>
        <w:ind w:right="-120" w:rightChars="-57" w:firstLine="640" w:firstLineChars="200"/>
        <w:textAlignment w:val="auto"/>
        <w:rPr>
          <w:rFonts w:hint="eastAsia" w:ascii="仿宋" w:hAnsi="仿宋" w:eastAsia="仿宋" w:cs="仿宋"/>
          <w:i w:val="0"/>
          <w:iCs w:val="0"/>
          <w:color w:val="auto"/>
          <w:sz w:val="32"/>
          <w:szCs w:val="32"/>
        </w:rPr>
      </w:pPr>
      <w:r>
        <w:rPr>
          <w:rFonts w:hint="eastAsia" w:ascii="仿宋" w:hAnsi="仿宋" w:eastAsia="仿宋" w:cs="仿宋"/>
          <w:i w:val="0"/>
          <w:iCs w:val="0"/>
          <w:color w:val="auto"/>
          <w:sz w:val="32"/>
          <w:szCs w:val="32"/>
        </w:rPr>
        <w:t>（2）商务要求</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 xml:space="preserve">1.1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货物为本次招标前原制造商制造的非淘汰类全新产品，整机无污染，无侵权行为、表面无划损、 无任何缺陷隐患，在中国境内可依常规安全合法使用。货物为原厂商未启封全新包装，</w:t>
      </w:r>
      <w:r>
        <w:rPr>
          <w:rFonts w:hint="eastAsia" w:ascii="仿宋" w:hAnsi="仿宋" w:eastAsia="仿宋" w:cs="仿宋"/>
          <w:color w:val="auto"/>
          <w:sz w:val="30"/>
          <w:szCs w:val="30"/>
          <w:highlight w:val="none"/>
          <w:lang w:val="en-US" w:eastAsia="zh-CN"/>
        </w:rPr>
        <w:t>出具</w:t>
      </w:r>
      <w:r>
        <w:rPr>
          <w:rFonts w:hint="eastAsia" w:ascii="仿宋" w:hAnsi="仿宋" w:eastAsia="仿宋" w:cs="仿宋"/>
          <w:color w:val="auto"/>
          <w:sz w:val="30"/>
          <w:szCs w:val="30"/>
          <w:highlight w:val="none"/>
        </w:rPr>
        <w:t>厂</w:t>
      </w:r>
      <w:r>
        <w:rPr>
          <w:rFonts w:hint="eastAsia" w:ascii="仿宋" w:hAnsi="仿宋" w:eastAsia="仿宋" w:cs="仿宋"/>
          <w:color w:val="auto"/>
          <w:sz w:val="30"/>
          <w:szCs w:val="30"/>
          <w:highlight w:val="none"/>
          <w:lang w:val="en-US" w:eastAsia="zh-CN"/>
        </w:rPr>
        <w:t>检</w:t>
      </w:r>
      <w:r>
        <w:rPr>
          <w:rFonts w:hint="eastAsia" w:ascii="仿宋" w:hAnsi="仿宋" w:eastAsia="仿宋" w:cs="仿宋"/>
          <w:color w:val="auto"/>
          <w:sz w:val="30"/>
          <w:szCs w:val="30"/>
          <w:highlight w:val="none"/>
        </w:rPr>
        <w:t>合格证，序列号、包装箱号与出厂批号一致，并可追索查阅。应附关键设备的用户手册、保修手册、有关单证资料及配备件、随机工具等，设备使用操作及安全须知等重要资料应附有中文说明。</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 本次采购所采购商品的基本参数要求为最基本配置，如无特别说明，任何产品不得低于上述基本配置供货，并作为产品到货最终验收标准。</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 所提供货物的技术规格和标准要符合中华人民共和国</w:t>
      </w:r>
      <w:r>
        <w:rPr>
          <w:rFonts w:hint="eastAsia" w:ascii="仿宋" w:hAnsi="仿宋" w:eastAsia="仿宋" w:cs="仿宋"/>
          <w:color w:val="auto"/>
          <w:sz w:val="30"/>
          <w:szCs w:val="30"/>
          <w:highlight w:val="none"/>
          <w:lang w:val="en-US" w:eastAsia="zh-CN"/>
        </w:rPr>
        <w:t>相</w:t>
      </w:r>
      <w:r>
        <w:rPr>
          <w:rFonts w:hint="eastAsia" w:ascii="仿宋" w:hAnsi="仿宋" w:eastAsia="仿宋" w:cs="仿宋"/>
          <w:color w:val="auto"/>
          <w:sz w:val="30"/>
          <w:szCs w:val="30"/>
          <w:highlight w:val="none"/>
        </w:rPr>
        <w:t>关部门最新颁布的标准及规范，并附产品合格证书。</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1.4 投标人报价时所提供的货物如在实际供货时已经停产（不列入该厂家当时的产品系统），如果未能按原价提供更优质的货物，则按违约处理，赔偿合同金额5%的违约金。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1.5</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成交供应商应保证采购人在使用设备或设备的任何一部分，都不受第三方关于侵犯其所有权、专利权的指控</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如因此指控为采购人带来的损失均由中标供应商承担，供应商必须就此点提供书面承诺</w:t>
      </w:r>
      <w:r>
        <w:rPr>
          <w:rFonts w:hint="eastAsia" w:ascii="仿宋" w:hAnsi="仿宋" w:eastAsia="仿宋" w:cs="仿宋"/>
          <w:color w:val="auto"/>
          <w:sz w:val="30"/>
          <w:szCs w:val="30"/>
          <w:highlight w:val="none"/>
        </w:rPr>
        <w:t>。</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 xml:space="preserve"> 投标人在实际供货时，若被发现提供的货物未能达到招标文件和投标文件中的有关要求，采购人将有权单方面中止合同的执行，并追究因中标人所提供的未达到所承诺准确率产品而产生的所有损失和责任。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1.7 投标人针对本项目所投标的货物需提供所供设备的维护保养方案，所投产品应易于维护，或免维护。</w:t>
      </w:r>
    </w:p>
    <w:p>
      <w:pPr>
        <w:pStyle w:val="8"/>
        <w:numPr>
          <w:ilvl w:val="0"/>
          <w:numId w:val="0"/>
        </w:numPr>
        <w:tabs>
          <w:tab w:val="left" w:pos="540"/>
        </w:tabs>
        <w:snapToGrid w:val="0"/>
        <w:spacing w:line="360" w:lineRule="auto"/>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1.8</w:t>
      </w:r>
      <w:r>
        <w:rPr>
          <w:rFonts w:hint="eastAsia" w:ascii="仿宋" w:hAnsi="仿宋" w:eastAsia="仿宋" w:cs="仿宋"/>
          <w:bCs/>
          <w:color w:val="auto"/>
          <w:sz w:val="30"/>
          <w:szCs w:val="30"/>
          <w:highlight w:val="none"/>
        </w:rPr>
        <w:t>★</w:t>
      </w:r>
      <w:r>
        <w:rPr>
          <w:rFonts w:hint="eastAsia" w:ascii="仿宋" w:hAnsi="仿宋" w:eastAsia="仿宋" w:cs="仿宋"/>
          <w:i w:val="0"/>
          <w:iCs w:val="0"/>
          <w:caps w:val="0"/>
          <w:color w:val="auto"/>
          <w:spacing w:val="0"/>
          <w:sz w:val="30"/>
          <w:szCs w:val="30"/>
          <w:shd w:val="clear" w:color="auto" w:fill="FFFFFF"/>
        </w:rPr>
        <w:t>如投标人为经销商:所投产品为</w:t>
      </w:r>
      <w:r>
        <w:rPr>
          <w:rFonts w:hint="eastAsia" w:ascii="仿宋" w:hAnsi="仿宋" w:eastAsia="仿宋" w:cs="仿宋"/>
          <w:i w:val="0"/>
          <w:iCs w:val="0"/>
          <w:caps w:val="0"/>
          <w:color w:val="auto"/>
          <w:spacing w:val="0"/>
          <w:sz w:val="30"/>
          <w:szCs w:val="30"/>
          <w:shd w:val="clear" w:color="auto" w:fill="FFFFFF"/>
          <w:lang w:val="en-US" w:eastAsia="zh-CN"/>
        </w:rPr>
        <w:t>按照</w:t>
      </w:r>
      <w:r>
        <w:rPr>
          <w:rFonts w:hint="eastAsia" w:ascii="仿宋" w:hAnsi="仿宋" w:eastAsia="仿宋" w:cs="仿宋"/>
          <w:i w:val="0"/>
          <w:iCs w:val="0"/>
          <w:caps w:val="0"/>
          <w:color w:val="auto"/>
          <w:spacing w:val="0"/>
          <w:sz w:val="30"/>
          <w:szCs w:val="30"/>
          <w:shd w:val="clear" w:color="auto" w:fill="FFFFFF"/>
        </w:rPr>
        <w:t>医疗器械</w:t>
      </w:r>
      <w:r>
        <w:rPr>
          <w:rFonts w:hint="eastAsia" w:ascii="仿宋" w:hAnsi="仿宋" w:eastAsia="仿宋" w:cs="仿宋"/>
          <w:i w:val="0"/>
          <w:iCs w:val="0"/>
          <w:caps w:val="0"/>
          <w:color w:val="auto"/>
          <w:spacing w:val="0"/>
          <w:sz w:val="30"/>
          <w:szCs w:val="30"/>
          <w:shd w:val="clear" w:color="auto" w:fill="FFFFFF"/>
          <w:lang w:val="en-US" w:eastAsia="zh-CN"/>
        </w:rPr>
        <w:t>分类</w:t>
      </w:r>
      <w:r>
        <w:rPr>
          <w:rFonts w:hint="eastAsia" w:ascii="仿宋" w:hAnsi="仿宋" w:eastAsia="仿宋" w:cs="仿宋"/>
          <w:i w:val="0"/>
          <w:iCs w:val="0"/>
          <w:caps w:val="0"/>
          <w:color w:val="auto"/>
          <w:spacing w:val="0"/>
          <w:sz w:val="30"/>
          <w:szCs w:val="30"/>
          <w:shd w:val="clear" w:color="auto" w:fill="FFFFFF"/>
        </w:rPr>
        <w:t>，提供有效的医疗器械经营备案凭证复印件或承诺中标后办理医疗器械经营备案凭证的承诺函。</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 xml:space="preserve">报价要求：报价应包括供货方设计、安装、随机零配件、标配工具、运输费用及保险、调试、培训、质保期服务、各项税费及合同实施过程中不可预见费用等。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交货期：合同签订后</w:t>
      </w:r>
      <w:r>
        <w:rPr>
          <w:rFonts w:hint="eastAsia" w:ascii="仿宋" w:hAnsi="仿宋" w:eastAsia="仿宋" w:cs="仿宋"/>
          <w:color w:val="auto"/>
          <w:sz w:val="30"/>
          <w:szCs w:val="30"/>
          <w:highlight w:val="none"/>
          <w:lang w:val="en-US" w:eastAsia="zh-CN"/>
        </w:rPr>
        <w:t>7个工作日</w:t>
      </w:r>
      <w:r>
        <w:rPr>
          <w:rFonts w:hint="eastAsia" w:ascii="仿宋" w:hAnsi="仿宋" w:eastAsia="仿宋" w:cs="仿宋"/>
          <w:color w:val="auto"/>
          <w:sz w:val="30"/>
          <w:szCs w:val="30"/>
          <w:highlight w:val="none"/>
        </w:rPr>
        <w:t>内完成供货、</w:t>
      </w:r>
      <w:r>
        <w:rPr>
          <w:rFonts w:hint="eastAsia" w:ascii="仿宋" w:hAnsi="仿宋" w:eastAsia="仿宋" w:cs="仿宋"/>
          <w:color w:val="auto"/>
          <w:sz w:val="30"/>
          <w:szCs w:val="30"/>
          <w:highlight w:val="none"/>
          <w:lang w:val="en-US" w:eastAsia="zh-CN"/>
        </w:rPr>
        <w:t>组装、</w:t>
      </w:r>
      <w:r>
        <w:rPr>
          <w:rFonts w:hint="eastAsia" w:ascii="仿宋" w:hAnsi="仿宋" w:eastAsia="仿宋" w:cs="仿宋"/>
          <w:color w:val="auto"/>
          <w:sz w:val="30"/>
          <w:szCs w:val="30"/>
          <w:highlight w:val="none"/>
        </w:rPr>
        <w:t xml:space="preserve">调试并交付验收，除双方对推迟工期书面达成一致外，中标人要在规定的工期内完工。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4、交货地点：采购人指定地点。</w:t>
      </w:r>
    </w:p>
    <w:p>
      <w:pPr>
        <w:pStyle w:val="8"/>
        <w:numPr>
          <w:ilvl w:val="0"/>
          <w:numId w:val="0"/>
        </w:numPr>
        <w:tabs>
          <w:tab w:val="left" w:pos="540"/>
        </w:tabs>
        <w:snapToGrid w:val="0"/>
        <w:spacing w:line="360" w:lineRule="auto"/>
        <w:ind w:firstLine="900" w:firstLineChars="3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5、培训要求： 投标人要满足本节要求的培训服务。 </w:t>
      </w:r>
    </w:p>
    <w:p>
      <w:pPr>
        <w:pStyle w:val="8"/>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 xml:space="preserve">1）投标人要根据招标文件采购的设备及采用的相关技术，提出培训计划，并在征得使用方同意后实施。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（2）投标人要提供高水平的培训。培训应包括硬件、软件等。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（3）投标人派出的培训教员应至少具有三年的培训经验。所有的培训教员要用中文授课(如果讲师不会讲中文， 投标人要提供中文翻译)，除非有其它的协议规定。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 xml:space="preserve">4）投标人要为所有被培训人员提供培训用各类设备、文字资料和讲义等相关用品。所有的资料是中文书写。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（5）培训工作须在验收之前完成。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（6）投标人必需提供但不限于以下培训要求：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培训内容：系统设备软硬件培训。包括各种常见的软硬件故障及特点、系统的工作原理及特点，相关的设备安装和维护及常见故障现象及诊断、常见的问题及解决办法等。 </w:t>
      </w:r>
    </w:p>
    <w:p>
      <w:pPr>
        <w:pStyle w:val="8"/>
        <w:numPr>
          <w:ilvl w:val="0"/>
          <w:numId w:val="0"/>
        </w:numPr>
        <w:tabs>
          <w:tab w:val="left" w:pos="540"/>
        </w:tabs>
        <w:snapToGrid w:val="0"/>
        <w:spacing w:line="360" w:lineRule="auto"/>
        <w:ind w:firstLine="900" w:firstLineChars="3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用户单位培训：所有设备的安装调试、系统优化培训。</w:t>
      </w:r>
    </w:p>
    <w:p>
      <w:pPr>
        <w:pStyle w:val="8"/>
        <w:numPr>
          <w:ilvl w:val="0"/>
          <w:numId w:val="0"/>
        </w:numPr>
        <w:tabs>
          <w:tab w:val="left" w:pos="540"/>
        </w:tabs>
        <w:snapToGrid w:val="0"/>
        <w:spacing w:line="360" w:lineRule="auto"/>
        <w:ind w:firstLine="900" w:firstLineChars="3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特别强调：用户（项目单位）有权对投标人提出的培训项目内容进行选择。其他：培训开始时间与用户协商后安排实施。中标人应负责所有培训费用。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质量保证及售后服务：</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 xml:space="preserve">.1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货物质量保证投标人提供的货物必须是原厂生产的、全新的、未使用过的正品（包括零部件），并完全符合国家质量标准，所有设备按照厂家规定的产品包装，附使用说明、合格证、随机标准附件。所有产品 符合《中华人民共和国产品质量法》、《中华人民共和国计量法》、《中华人民共和国标准化法》要求、相关行业管理规定。</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6.2</w:t>
      </w:r>
      <w:r>
        <w:rPr>
          <w:rFonts w:hint="eastAsia" w:ascii="仿宋" w:hAnsi="仿宋" w:eastAsia="仿宋" w:cs="仿宋"/>
          <w:color w:val="auto"/>
          <w:sz w:val="30"/>
          <w:szCs w:val="30"/>
          <w:highlight w:val="none"/>
        </w:rPr>
        <w:t xml:space="preserve"> </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lang w:val="en-US" w:eastAsia="zh-CN"/>
        </w:rPr>
        <w:t>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书面承诺，否则投标无效。</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6.3</w:t>
      </w:r>
      <w:r>
        <w:rPr>
          <w:rFonts w:hint="eastAsia" w:ascii="仿宋" w:hAnsi="仿宋" w:eastAsia="仿宋" w:cs="仿宋"/>
          <w:color w:val="auto"/>
          <w:sz w:val="30"/>
          <w:szCs w:val="30"/>
          <w:highlight w:val="none"/>
        </w:rPr>
        <w:t xml:space="preserve">售后服务要求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（1）质保期为</w:t>
      </w:r>
      <w:r>
        <w:rPr>
          <w:rFonts w:hint="eastAsia" w:ascii="仿宋" w:hAnsi="仿宋" w:eastAsia="仿宋" w:cs="仿宋"/>
          <w:color w:val="auto"/>
          <w:sz w:val="30"/>
          <w:szCs w:val="30"/>
          <w:highlight w:val="none"/>
          <w:lang w:val="en-US" w:eastAsia="zh-CN"/>
        </w:rPr>
        <w:t>一</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eastAsia="zh-CN"/>
        </w:rPr>
        <w:t>及以上</w:t>
      </w:r>
      <w:r>
        <w:rPr>
          <w:rFonts w:hint="eastAsia" w:ascii="仿宋" w:hAnsi="仿宋" w:eastAsia="仿宋" w:cs="仿宋"/>
          <w:color w:val="auto"/>
          <w:sz w:val="30"/>
          <w:szCs w:val="30"/>
          <w:highlight w:val="none"/>
        </w:rPr>
        <w:t>（采购需求中另有要求的从其规定）。从验收合格之日起</w:t>
      </w:r>
      <w:r>
        <w:rPr>
          <w:rFonts w:hint="eastAsia" w:ascii="仿宋" w:hAnsi="仿宋" w:eastAsia="仿宋" w:cs="仿宋"/>
          <w:color w:val="auto"/>
          <w:sz w:val="30"/>
          <w:szCs w:val="30"/>
          <w:highlight w:val="none"/>
          <w:lang w:eastAsia="zh-CN"/>
        </w:rPr>
        <w:t>一</w:t>
      </w:r>
      <w:r>
        <w:rPr>
          <w:rFonts w:hint="eastAsia" w:ascii="仿宋" w:hAnsi="仿宋" w:eastAsia="仿宋" w:cs="仿宋"/>
          <w:color w:val="auto"/>
          <w:sz w:val="30"/>
          <w:szCs w:val="30"/>
          <w:highlight w:val="none"/>
        </w:rPr>
        <w:t xml:space="preserve">年内（采购需求中另有要求的从其规定），采购人所购设备各部件发生非人为故障，投标人应上门更换同种品牌不低于原规格型号的新部件，费用包含在本项目的投标报价内。投标人投标产品属于国家规定“三包”范围的，其产品质量保证期不得低于“三包”规定；投标人的质量保证期承诺优于国家“三包”规定的，按投标人实际承诺执行。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采购人报修后，除招标文件有特殊要求外，投标人须在 2 小时内派员上门现场维护，并在24小时内解决问题，在规定时间内不能解决问题的设备，应提供不低于原档次的零部件给采购人代用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在投标文件中提交书面承诺函，否则投标无效</w:t>
      </w:r>
      <w:r>
        <w:rPr>
          <w:rFonts w:hint="eastAsia" w:ascii="仿宋" w:hAnsi="仿宋" w:eastAsia="仿宋" w:cs="仿宋"/>
          <w:color w:val="auto"/>
          <w:sz w:val="30"/>
          <w:szCs w:val="30"/>
          <w:highlight w:val="none"/>
        </w:rPr>
        <w:t xml:space="preserve">。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rPr>
        <w:t>保修期间，非易损件一个月内连续2次出现同一故障，投标人必须无条件更换同一档次零部件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在投标文件中提交书面承诺函，否则投标无效</w:t>
      </w:r>
      <w:r>
        <w:rPr>
          <w:rFonts w:hint="eastAsia" w:ascii="仿宋" w:hAnsi="仿宋" w:eastAsia="仿宋" w:cs="仿宋"/>
          <w:color w:val="auto"/>
          <w:sz w:val="30"/>
          <w:szCs w:val="30"/>
          <w:highlight w:val="none"/>
        </w:rPr>
        <w:t>。</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 xml:space="preserve">质保期满后 </w:t>
      </w:r>
    </w:p>
    <w:p>
      <w:pPr>
        <w:pStyle w:val="8"/>
        <w:numPr>
          <w:ilvl w:val="0"/>
          <w:numId w:val="0"/>
        </w:numPr>
        <w:tabs>
          <w:tab w:val="left" w:pos="540"/>
        </w:tabs>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 xml:space="preserve">1）质保期满后，投标人提供终身有偿上门维护服务。 </w:t>
      </w:r>
    </w:p>
    <w:p>
      <w:pPr>
        <w:pStyle w:val="8"/>
        <w:numPr>
          <w:ilvl w:val="0"/>
          <w:numId w:val="0"/>
        </w:numPr>
        <w:tabs>
          <w:tab w:val="left" w:pos="540"/>
        </w:tabs>
        <w:snapToGrid w:val="0"/>
        <w:spacing w:line="360" w:lineRule="auto"/>
        <w:ind w:firstLine="300" w:firstLineChars="1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（2）保证保修期以后对用户的零配件供应。保修期后设备维修配件更换只收取成本费用。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、采购人配合条件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投标人在投标文件中要列明在项目实施过程中要求采购人提供的配合条件。</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 xml:space="preserve">、违约责任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（1）中标人未能按时交付货物或交付的货物不符合招标文件，合同规定标准的，则向采购人支付货物总金额 5％的违约金，违约金从履约保证金中扣除。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2）如发现中标人交付货物的质量，规格和数量，不符合或达不到合同规定的技术参数和要求的，采购人有权拒收货物，由此造成采购人损失的，中标人向采购人支付货物总金额5%的违约金，违约金从履约保证金中扣除。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维保</w:t>
      </w:r>
      <w:r>
        <w:rPr>
          <w:rFonts w:hint="eastAsia" w:ascii="仿宋" w:hAnsi="仿宋" w:eastAsia="仿宋" w:cs="仿宋"/>
          <w:color w:val="auto"/>
          <w:sz w:val="30"/>
          <w:szCs w:val="30"/>
          <w:highlight w:val="none"/>
        </w:rPr>
        <w:t xml:space="preserve">期内，中标人无法按时为采购人提供售后服务或以任何理由拒绝履行售后服务承诺的，中标人向采购人支付货物总金额5%的违约金，违约金从履约保证金中扣除。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（4）如在合同执行期间因中标人违约导致履约保证金部分扣除，中标人需在五个工作日内将扣除的 履约保证金补齐。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 xml:space="preserve">、付款方式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签订合同收货验收合格后待2024年重大传染病防控经费地方财政拨付到位后100%支付（具体以合同签订为准）；</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）中标人向采购人申请付款的同时，应向采购人开具等额有效发票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 xml:space="preserve"> </w:t>
      </w:r>
    </w:p>
    <w:p>
      <w:pPr>
        <w:pStyle w:val="8"/>
        <w:numPr>
          <w:ilvl w:val="0"/>
          <w:numId w:val="0"/>
        </w:numPr>
        <w:tabs>
          <w:tab w:val="left" w:pos="540"/>
        </w:tabs>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）履约保证金</w:t>
      </w:r>
      <w:r>
        <w:rPr>
          <w:rFonts w:hint="eastAsia" w:ascii="仿宋" w:hAnsi="仿宋" w:eastAsia="仿宋" w:cs="仿宋"/>
          <w:color w:val="auto"/>
          <w:sz w:val="30"/>
          <w:szCs w:val="30"/>
          <w:highlight w:val="none"/>
          <w:lang w:eastAsia="zh-CN"/>
        </w:rPr>
        <w:t>按照履约保函形式执行（</w:t>
      </w:r>
      <w:r>
        <w:rPr>
          <w:rFonts w:hint="eastAsia" w:ascii="仿宋" w:hAnsi="仿宋" w:eastAsia="仿宋" w:cs="仿宋"/>
          <w:color w:val="auto"/>
          <w:sz w:val="30"/>
          <w:szCs w:val="30"/>
          <w:highlight w:val="none"/>
          <w:lang w:val="en-US" w:eastAsia="zh-CN"/>
        </w:rPr>
        <w:t>具体以合同签订为准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资格性审查表</w:t>
      </w:r>
    </w:p>
    <w:tbl>
      <w:tblPr>
        <w:tblStyle w:val="15"/>
        <w:tblW w:w="5562" w:type="pct"/>
        <w:tblInd w:w="-3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6"/>
        <w:gridCol w:w="90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481" w:type="pct"/>
            <w:noWrap w:val="0"/>
            <w:vAlign w:val="center"/>
          </w:tcPr>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4518" w:type="pct"/>
            <w:noWrap w:val="0"/>
            <w:vAlign w:val="center"/>
          </w:tcPr>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3"/>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具备《中华人民共和国政府采购法》第二十二条规定的条件</w:t>
            </w:r>
            <w:r>
              <w:rPr>
                <w:rFonts w:hint="eastAsia" w:ascii="仿宋" w:hAnsi="仿宋" w:eastAsia="仿宋" w:cs="仿宋"/>
                <w:color w:val="auto"/>
                <w:sz w:val="30"/>
                <w:szCs w:val="3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numPr>
                <w:ilvl w:val="0"/>
                <w:numId w:val="4"/>
              </w:numPr>
              <w:tabs>
                <w:tab w:val="left" w:pos="176"/>
                <w:tab w:val="left" w:pos="612"/>
                <w:tab w:val="clear" w:pos="420"/>
              </w:tabs>
              <w:snapToGrid w:val="0"/>
              <w:spacing w:line="288" w:lineRule="auto"/>
              <w:jc w:val="center"/>
              <w:rPr>
                <w:rFonts w:hint="eastAsia" w:ascii="仿宋" w:hAnsi="仿宋" w:eastAsia="仿宋" w:cs="仿宋"/>
                <w:color w:val="auto"/>
                <w:sz w:val="30"/>
                <w:szCs w:val="30"/>
                <w:highlight w:val="none"/>
              </w:rPr>
            </w:pPr>
          </w:p>
        </w:tc>
        <w:tc>
          <w:tcPr>
            <w:tcW w:w="4518"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3"/>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pStyle w:val="21"/>
              <w:widowControl/>
              <w:tabs>
                <w:tab w:val="left" w:pos="1446"/>
              </w:tabs>
              <w:snapToGrid w:val="0"/>
              <w:spacing w:line="360" w:lineRule="auto"/>
              <w:ind w:firstLine="0" w:firstLineChars="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投标人为经销商：所投产品</w:t>
            </w:r>
            <w:r>
              <w:rPr>
                <w:rFonts w:hint="eastAsia" w:ascii="仿宋" w:hAnsi="仿宋" w:eastAsia="仿宋" w:cs="仿宋"/>
                <w:color w:val="auto"/>
                <w:sz w:val="30"/>
                <w:szCs w:val="30"/>
                <w:highlight w:val="none"/>
                <w:lang w:val="en-US" w:eastAsia="zh-CN"/>
              </w:rPr>
              <w:t>按照</w:t>
            </w:r>
            <w:r>
              <w:rPr>
                <w:rFonts w:hint="eastAsia" w:ascii="仿宋" w:hAnsi="仿宋" w:eastAsia="仿宋" w:cs="仿宋"/>
                <w:color w:val="auto"/>
                <w:sz w:val="30"/>
                <w:szCs w:val="30"/>
                <w:highlight w:val="none"/>
                <w:lang w:eastAsia="zh-CN"/>
              </w:rPr>
              <w:t>医疗器械</w:t>
            </w:r>
            <w:r>
              <w:rPr>
                <w:rFonts w:hint="eastAsia" w:ascii="仿宋" w:hAnsi="仿宋" w:eastAsia="仿宋" w:cs="仿宋"/>
                <w:color w:val="auto"/>
                <w:sz w:val="30"/>
                <w:szCs w:val="30"/>
                <w:highlight w:val="none"/>
                <w:lang w:val="en-US" w:eastAsia="zh-CN"/>
              </w:rPr>
              <w:t>分类</w:t>
            </w:r>
            <w:r>
              <w:rPr>
                <w:rFonts w:hint="eastAsia" w:ascii="仿宋" w:hAnsi="仿宋" w:eastAsia="仿宋" w:cs="仿宋"/>
                <w:color w:val="auto"/>
                <w:sz w:val="30"/>
                <w:szCs w:val="30"/>
                <w:highlight w:val="none"/>
                <w:lang w:eastAsia="zh-CN"/>
              </w:rPr>
              <w:t>，提供行政管理部门签发有效的《医疗器械经营许可证》（法律法规另有规定，则适用其规定）；投标人为制造商的：</w:t>
            </w:r>
            <w:r>
              <w:rPr>
                <w:rFonts w:hint="eastAsia" w:ascii="仿宋" w:hAnsi="仿宋" w:eastAsia="仿宋" w:cs="仿宋"/>
                <w:color w:val="auto"/>
                <w:sz w:val="30"/>
                <w:szCs w:val="30"/>
                <w:highlight w:val="none"/>
                <w:lang w:val="en-US" w:eastAsia="zh-CN"/>
              </w:rPr>
              <w:t>按照</w:t>
            </w:r>
            <w:r>
              <w:rPr>
                <w:rFonts w:hint="eastAsia" w:ascii="仿宋" w:hAnsi="仿宋" w:eastAsia="仿宋" w:cs="仿宋"/>
                <w:color w:val="auto"/>
                <w:sz w:val="30"/>
                <w:szCs w:val="30"/>
                <w:highlight w:val="none"/>
                <w:lang w:eastAsia="zh-CN"/>
              </w:rPr>
              <w:t>所投产品医疗器械</w:t>
            </w:r>
            <w:r>
              <w:rPr>
                <w:rFonts w:hint="eastAsia" w:ascii="仿宋" w:hAnsi="仿宋" w:eastAsia="仿宋" w:cs="仿宋"/>
                <w:color w:val="auto"/>
                <w:sz w:val="30"/>
                <w:szCs w:val="30"/>
                <w:highlight w:val="none"/>
                <w:lang w:val="en-US" w:eastAsia="zh-CN"/>
              </w:rPr>
              <w:t>分类</w:t>
            </w:r>
            <w:r>
              <w:rPr>
                <w:rFonts w:hint="eastAsia" w:ascii="仿宋" w:hAnsi="仿宋" w:eastAsia="仿宋" w:cs="仿宋"/>
                <w:color w:val="auto"/>
                <w:sz w:val="30"/>
                <w:szCs w:val="30"/>
                <w:highlight w:val="none"/>
                <w:lang w:eastAsia="zh-CN"/>
              </w:rPr>
              <w:t>，提供行政管理部门签发有效的《医疗器械生产许可证》（法律法规另有规定，则适用其规定）。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3"/>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pStyle w:val="21"/>
              <w:widowControl/>
              <w:tabs>
                <w:tab w:val="left" w:pos="1446"/>
              </w:tabs>
              <w:snapToGrid w:val="0"/>
              <w:spacing w:line="360" w:lineRule="auto"/>
              <w:ind w:firstLine="0" w:firstLineChars="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投标人</w:t>
            </w:r>
            <w:r>
              <w:rPr>
                <w:rFonts w:hint="eastAsia" w:ascii="仿宋" w:hAnsi="仿宋" w:eastAsia="仿宋" w:cs="仿宋"/>
                <w:color w:val="auto"/>
                <w:sz w:val="30"/>
                <w:szCs w:val="30"/>
                <w:highlight w:val="none"/>
                <w:lang w:eastAsia="zh-CN"/>
              </w:rPr>
              <w:t>须提供</w:t>
            </w:r>
            <w:r>
              <w:rPr>
                <w:rFonts w:hint="eastAsia" w:ascii="仿宋" w:hAnsi="仿宋" w:eastAsia="仿宋" w:cs="仿宋"/>
                <w:color w:val="auto"/>
                <w:sz w:val="30"/>
                <w:szCs w:val="30"/>
                <w:highlight w:val="none"/>
                <w:lang w:val="en-US" w:eastAsia="zh-CN"/>
              </w:rPr>
              <w:t>所投</w:t>
            </w:r>
            <w:r>
              <w:rPr>
                <w:rFonts w:hint="eastAsia" w:ascii="仿宋" w:hAnsi="仿宋" w:eastAsia="仿宋" w:cs="仿宋"/>
                <w:color w:val="auto"/>
                <w:sz w:val="30"/>
                <w:szCs w:val="30"/>
                <w:highlight w:val="none"/>
                <w:lang w:eastAsia="zh-CN"/>
              </w:rPr>
              <w:t>产品有效的《中华人民共和国医疗器械注册证》，若注册证有附件的，还须提供附件。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3"/>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pStyle w:val="21"/>
              <w:widowControl/>
              <w:tabs>
                <w:tab w:val="left" w:pos="1446"/>
              </w:tabs>
              <w:snapToGrid w:val="0"/>
              <w:spacing w:line="360" w:lineRule="auto"/>
              <w:ind w:firstLine="0" w:firstLineChars="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法人投标应附《法定代表人身份证明书》，委托代理人应附《法定代表人授权委托书》；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3"/>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tabs>
                <w:tab w:val="left" w:pos="567"/>
              </w:tabs>
              <w:snapToGrid w:val="0"/>
              <w:spacing w:line="288" w:lineRule="auto"/>
              <w:rPr>
                <w:rFonts w:hint="eastAsia" w:ascii="仿宋" w:hAnsi="仿宋" w:eastAsia="仿宋" w:cs="仿宋"/>
                <w:color w:val="auto"/>
                <w:sz w:val="30"/>
                <w:szCs w:val="30"/>
                <w:highlight w:val="none"/>
                <w:lang w:eastAsia="zh-CN"/>
              </w:rPr>
            </w:pPr>
            <w:r>
              <w:rPr>
                <w:rFonts w:hint="eastAsia" w:ascii="仿宋" w:hAnsi="仿宋" w:eastAsia="仿宋" w:cs="仿宋"/>
                <w:bCs/>
                <w:color w:val="auto"/>
                <w:sz w:val="30"/>
                <w:szCs w:val="30"/>
                <w:highlight w:val="none"/>
              </w:rPr>
              <w:t>投标人未被列入“信用中国”网站（www.creditchina.gov.cn）、中国政府采购网（www.ccgp.gov.cn）、国家企业信用信息公示系</w:t>
            </w:r>
            <w:r>
              <w:rPr>
                <w:rFonts w:hint="eastAsia" w:ascii="仿宋" w:hAnsi="仿宋" w:eastAsia="仿宋" w:cs="仿宋"/>
                <w:bCs/>
                <w:color w:val="auto"/>
                <w:sz w:val="30"/>
                <w:szCs w:val="30"/>
                <w:highlight w:val="none"/>
                <w:lang w:val="en-US" w:eastAsia="zh-CN"/>
              </w:rPr>
              <w:t>统</w:t>
            </w:r>
            <w:r>
              <w:rPr>
                <w:rFonts w:hint="eastAsia" w:ascii="仿宋" w:hAnsi="仿宋" w:eastAsia="仿宋" w:cs="仿宋"/>
                <w:bCs/>
                <w:color w:val="auto"/>
                <w:sz w:val="30"/>
                <w:szCs w:val="30"/>
                <w:highlight w:val="none"/>
              </w:rPr>
              <w:t>（http://www.gsxt.gov.cn）</w:t>
            </w:r>
            <w:r>
              <w:rPr>
                <w:rFonts w:hint="eastAsia" w:ascii="仿宋" w:hAnsi="仿宋" w:eastAsia="仿宋" w:cs="仿宋"/>
                <w:bCs/>
                <w:color w:val="auto"/>
                <w:sz w:val="30"/>
                <w:szCs w:val="30"/>
                <w:highlight w:val="none"/>
                <w:lang w:eastAsia="zh-CN"/>
              </w:rPr>
              <w:t>三</w:t>
            </w:r>
            <w:r>
              <w:rPr>
                <w:rFonts w:hint="eastAsia" w:ascii="仿宋" w:hAnsi="仿宋" w:eastAsia="仿宋" w:cs="仿宋"/>
                <w:bCs/>
                <w:color w:val="auto"/>
                <w:sz w:val="30"/>
                <w:szCs w:val="30"/>
                <w:highlight w:val="none"/>
              </w:rPr>
              <w:t>个网站的查询结果，如投标人被列入失信被执行人、税收违法</w:t>
            </w:r>
            <w:r>
              <w:rPr>
                <w:rFonts w:hint="eastAsia" w:ascii="仿宋" w:hAnsi="仿宋" w:eastAsia="仿宋" w:cs="仿宋"/>
                <w:bCs/>
                <w:color w:val="auto"/>
                <w:sz w:val="30"/>
                <w:szCs w:val="30"/>
                <w:highlight w:val="none"/>
                <w:lang w:val="en-US" w:eastAsia="zh-CN"/>
              </w:rPr>
              <w:t>黑</w:t>
            </w:r>
            <w:r>
              <w:rPr>
                <w:rFonts w:hint="eastAsia" w:ascii="仿宋" w:hAnsi="仿宋" w:eastAsia="仿宋" w:cs="仿宋"/>
                <w:bCs/>
                <w:color w:val="auto"/>
                <w:sz w:val="30"/>
                <w:szCs w:val="30"/>
                <w:highlight w:val="none"/>
              </w:rPr>
              <w:t>名单、政府采购严重违法失信行为记录名单的（尚在处罚期内的）的</w:t>
            </w:r>
            <w:r>
              <w:rPr>
                <w:rFonts w:hint="eastAsia" w:ascii="仿宋" w:hAnsi="仿宋" w:eastAsia="仿宋" w:cs="仿宋"/>
                <w:bCs/>
                <w:color w:val="auto"/>
                <w:sz w:val="30"/>
                <w:szCs w:val="30"/>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3"/>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tabs>
                <w:tab w:val="left" w:pos="612"/>
              </w:tabs>
              <w:snapToGrid w:val="0"/>
              <w:spacing w:line="288" w:lineRule="auto"/>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lang w:val="en-US" w:eastAsia="zh-CN"/>
              </w:rPr>
              <w:t>投标人须提供所投产品生产厂家参数并盖鲜章</w:t>
            </w:r>
            <w:r>
              <w:rPr>
                <w:rFonts w:hint="eastAsia" w:ascii="仿宋" w:hAnsi="仿宋" w:eastAsia="仿宋" w:cs="仿宋"/>
                <w:bCs/>
                <w:color w:val="auto"/>
                <w:sz w:val="30"/>
                <w:szCs w:val="3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1" w:type="pct"/>
            <w:noWrap w:val="0"/>
            <w:vAlign w:val="center"/>
          </w:tcPr>
          <w:p>
            <w:pPr>
              <w:pStyle w:val="21"/>
              <w:numPr>
                <w:ilvl w:val="0"/>
                <w:numId w:val="3"/>
              </w:numPr>
              <w:snapToGrid w:val="0"/>
              <w:spacing w:line="288" w:lineRule="auto"/>
              <w:ind w:left="149" w:leftChars="71" w:firstLine="0" w:firstLineChars="0"/>
              <w:rPr>
                <w:rFonts w:hint="eastAsia" w:ascii="仿宋" w:hAnsi="仿宋" w:eastAsia="仿宋" w:cs="仿宋"/>
                <w:color w:val="auto"/>
                <w:sz w:val="30"/>
                <w:szCs w:val="30"/>
                <w:highlight w:val="none"/>
              </w:rPr>
            </w:pPr>
          </w:p>
        </w:tc>
        <w:tc>
          <w:tcPr>
            <w:tcW w:w="4518" w:type="pct"/>
            <w:noWrap w:val="0"/>
            <w:vAlign w:val="center"/>
          </w:tcPr>
          <w:p>
            <w:pPr>
              <w:tabs>
                <w:tab w:val="left" w:pos="612"/>
              </w:tabs>
              <w:snapToGrid w:val="0"/>
              <w:spacing w:line="288" w:lineRule="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投标人须提供招标文件中参数条款涉及的相关证书证明</w:t>
            </w:r>
            <w:bookmarkStart w:id="2" w:name="_GoBack"/>
            <w:bookmarkEnd w:id="2"/>
          </w:p>
        </w:tc>
      </w:tr>
    </w:tbl>
    <w:p>
      <w:pPr>
        <w:snapToGrid w:val="0"/>
        <w:spacing w:line="288" w:lineRule="auto"/>
        <w:jc w:val="center"/>
        <w:rPr>
          <w:rFonts w:hint="eastAsia" w:ascii="仿宋" w:hAnsi="仿宋" w:eastAsia="仿宋" w:cs="仿宋"/>
          <w:b/>
          <w:color w:val="auto"/>
          <w:sz w:val="30"/>
          <w:szCs w:val="30"/>
          <w:highlight w:val="none"/>
        </w:rPr>
      </w:pPr>
    </w:p>
    <w:p>
      <w:pPr>
        <w:snapToGrid w:val="0"/>
        <w:spacing w:line="288" w:lineRule="auto"/>
        <w:jc w:val="center"/>
        <w:rPr>
          <w:rFonts w:hint="eastAsia" w:ascii="仿宋" w:hAnsi="仿宋" w:eastAsia="仿宋" w:cs="仿宋"/>
          <w:b/>
          <w:color w:val="auto"/>
          <w:sz w:val="30"/>
          <w:szCs w:val="30"/>
          <w:highlight w:val="none"/>
        </w:rPr>
      </w:pPr>
    </w:p>
    <w:p>
      <w:pPr>
        <w:snapToGrid w:val="0"/>
        <w:spacing w:line="288" w:lineRule="auto"/>
        <w:jc w:val="center"/>
        <w:rPr>
          <w:rFonts w:hint="eastAsia" w:ascii="仿宋" w:hAnsi="仿宋" w:eastAsia="仿宋" w:cs="仿宋"/>
          <w:b/>
          <w:color w:val="auto"/>
          <w:sz w:val="30"/>
          <w:szCs w:val="30"/>
          <w:highlight w:val="none"/>
        </w:rPr>
      </w:pPr>
    </w:p>
    <w:p>
      <w:pPr>
        <w:snapToGrid w:val="0"/>
        <w:spacing w:line="288"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符合性审查表</w:t>
      </w:r>
    </w:p>
    <w:tbl>
      <w:tblPr>
        <w:tblStyle w:val="15"/>
        <w:tblW w:w="5454" w:type="pct"/>
        <w:tblInd w:w="-4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5"/>
        <w:gridCol w:w="8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4519" w:type="pct"/>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spacing w:line="360" w:lineRule="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投标报价未超过本项目最高限价的；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ind w:left="1" w:leftChars="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 xml:space="preserve">投标文件完全满足招标文件的实质性条款（即标注★号条款）无负偏离的；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rPr>
                <w:rFonts w:hint="eastAsia" w:ascii="仿宋" w:hAnsi="仿宋" w:eastAsia="仿宋" w:cs="仿宋"/>
                <w:bCs/>
                <w:color w:val="auto"/>
                <w:kern w:val="2"/>
                <w:sz w:val="30"/>
                <w:szCs w:val="30"/>
                <w:highlight w:val="none"/>
                <w:lang w:val="en-US" w:eastAsia="zh-CN" w:bidi="ar-SA"/>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4519" w:type="pct"/>
            <w:noWrap w:val="0"/>
            <w:vAlign w:val="center"/>
          </w:tcPr>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rPr>
              <w:t>按有关法律、法规、规章不属于投标无效的。</w:t>
            </w:r>
          </w:p>
        </w:tc>
      </w:tr>
    </w:tbl>
    <w:p>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p>
    <w:p>
      <w:pPr>
        <w:spacing w:after="120" w:line="440" w:lineRule="exact"/>
        <w:jc w:val="center"/>
        <w:textAlignment w:val="baseline"/>
        <w:rPr>
          <w:rFonts w:ascii="黑体" w:hAnsi="黑体" w:eastAsia="黑体" w:cs="黑体"/>
          <w:b/>
          <w:color w:val="auto"/>
          <w:kern w:val="0"/>
          <w:sz w:val="32"/>
          <w:szCs w:val="24"/>
          <w:highlight w:val="none"/>
          <w:lang w:eastAsia="en-US"/>
        </w:rPr>
      </w:pPr>
      <w:r>
        <w:rPr>
          <w:rFonts w:hint="eastAsia" w:ascii="黑体" w:hAnsi="黑体" w:eastAsia="黑体" w:cs="宋体"/>
          <w:color w:val="auto"/>
          <w:sz w:val="32"/>
          <w:szCs w:val="32"/>
          <w:highlight w:val="none"/>
          <w:lang w:eastAsia="zh-CN"/>
        </w:rPr>
        <w:t>★</w:t>
      </w:r>
      <w:r>
        <w:rPr>
          <w:rFonts w:ascii="黑体" w:hAnsi="黑体" w:eastAsia="黑体" w:cs="黑体"/>
          <w:b/>
          <w:color w:val="auto"/>
          <w:kern w:val="0"/>
          <w:sz w:val="32"/>
          <w:szCs w:val="24"/>
          <w:highlight w:val="none"/>
          <w:lang w:eastAsia="en-US"/>
        </w:rPr>
        <w:t>法定代表人身份证明及授权委托书</w:t>
      </w:r>
      <w:bookmarkEnd w:id="1"/>
    </w:p>
    <w:p>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法定代表人</w:t>
      </w:r>
      <w:r>
        <w:rPr>
          <w:rFonts w:hint="eastAsia" w:ascii="宋体" w:hAnsi="宋体"/>
          <w:color w:val="auto"/>
          <w:kern w:val="0"/>
          <w:sz w:val="24"/>
          <w:szCs w:val="24"/>
          <w:highlight w:val="none"/>
          <w:lang w:val="en-US" w:eastAsia="zh-CN"/>
        </w:rPr>
        <w:t>身份证明书</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5"/>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r>
              <w:rPr>
                <w:rFonts w:hint="eastAsia" w:ascii="宋体" w:hAnsi="宋体"/>
                <w:b/>
                <w:bCs/>
                <w:color w:val="auto"/>
                <w:sz w:val="24"/>
                <w:szCs w:val="24"/>
                <w:highlight w:val="none"/>
              </w:rPr>
              <w:t>法定代表人</w:t>
            </w:r>
            <w:r>
              <w:rPr>
                <w:rFonts w:hint="eastAsia" w:ascii="宋体" w:hAnsi="宋体"/>
                <w:color w:val="auto"/>
                <w:sz w:val="24"/>
                <w:szCs w:val="24"/>
                <w:highlight w:val="none"/>
              </w:rPr>
              <w:t>《居民身份证》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pPr>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黑体" w:hAnsi="黑体" w:eastAsia="黑体" w:cs="黑体"/>
          <w:b/>
          <w:color w:val="auto"/>
          <w:kern w:val="0"/>
          <w:sz w:val="32"/>
          <w:szCs w:val="24"/>
          <w:highlight w:val="none"/>
          <w:lang w:eastAsia="en-US"/>
        </w:rPr>
        <w:t>法定代表人授权书</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pPr>
        <w:spacing w:line="500" w:lineRule="exac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val="en-US" w:eastAsia="zh-CN"/>
        </w:rPr>
        <w:t>联系电话</w:t>
      </w:r>
      <w:r>
        <w:rPr>
          <w:rFonts w:hint="eastAsia" w:ascii="宋体" w:hAnsi="宋体"/>
          <w:color w:val="auto"/>
          <w:sz w:val="24"/>
          <w:szCs w:val="24"/>
          <w:highlight w:val="none"/>
          <w:u w:val="single"/>
          <w:lang w:val="en-US" w:eastAsia="zh-CN"/>
        </w:rPr>
        <w:t xml:space="preserve">：            </w:t>
      </w:r>
    </w:p>
    <w:p>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b/>
                <w:bCs/>
                <w:color w:val="auto"/>
                <w:sz w:val="24"/>
                <w:szCs w:val="24"/>
                <w:highlight w:val="none"/>
                <w:lang w:eastAsia="zh-CN"/>
              </w:rPr>
              <w:t>法定代表人及</w:t>
            </w:r>
            <w:r>
              <w:rPr>
                <w:rFonts w:hint="eastAsia" w:ascii="宋体" w:hAnsi="宋体"/>
                <w:b/>
                <w:bCs/>
                <w:color w:val="auto"/>
                <w:sz w:val="24"/>
                <w:szCs w:val="24"/>
                <w:highlight w:val="none"/>
              </w:rPr>
              <w:t>被授权人</w:t>
            </w:r>
            <w:r>
              <w:rPr>
                <w:rFonts w:hint="eastAsia" w:ascii="宋体" w:hAnsi="宋体"/>
                <w:color w:val="auto"/>
                <w:sz w:val="24"/>
                <w:szCs w:val="24"/>
                <w:highlight w:val="none"/>
              </w:rPr>
              <w:t>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pPr>
        <w:widowControl/>
        <w:jc w:val="left"/>
        <w:outlineLvl w:val="1"/>
        <w:rPr>
          <w:rFonts w:ascii="Times New Roman" w:hAnsi="Times New Roman" w:eastAsia="Times New Roman"/>
          <w:color w:val="auto"/>
          <w:kern w:val="0"/>
          <w:sz w:val="24"/>
          <w:szCs w:val="24"/>
          <w:highlight w:val="none"/>
          <w:lang w:eastAsia="en-US"/>
        </w:rPr>
      </w:pPr>
    </w:p>
    <w:p>
      <w:pPr>
        <w:bidi w:val="0"/>
        <w:rPr>
          <w:rFonts w:ascii="Times New Roman" w:hAnsi="Times New Roman" w:eastAsia="Times New Roman"/>
          <w:color w:val="auto"/>
          <w:kern w:val="0"/>
          <w:sz w:val="24"/>
          <w:szCs w:val="24"/>
          <w:highlight w:val="none"/>
          <w:lang w:eastAsia="en-US"/>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lang w:val="en-US" w:eastAsia="zh-CN"/>
        </w:rPr>
      </w:pPr>
      <w:r>
        <w:rPr>
          <w:rFonts w:ascii="Times New Roman" w:hAnsi="Times New Roman" w:eastAsia="Times New Roman"/>
          <w:color w:val="auto"/>
          <w:kern w:val="0"/>
          <w:sz w:val="24"/>
          <w:szCs w:val="24"/>
          <w:highlight w:val="none"/>
          <w:lang w:eastAsia="en-US"/>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 xml:space="preserve">项目名称：                               </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bl>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w:t>
      </w:r>
      <w:r>
        <w:rPr>
          <w:rFonts w:hint="eastAsia" w:ascii="宋体" w:hAnsi="宋体"/>
          <w:b/>
          <w:color w:val="auto"/>
          <w:sz w:val="24"/>
          <w:szCs w:val="24"/>
          <w:highlight w:val="none"/>
          <w:lang w:val="en-US" w:eastAsia="zh-CN"/>
        </w:rPr>
        <w:t>完整</w:t>
      </w:r>
      <w:r>
        <w:rPr>
          <w:rFonts w:ascii="宋体" w:hAnsi="宋体"/>
          <w:b/>
          <w:color w:val="auto"/>
          <w:sz w:val="24"/>
          <w:szCs w:val="24"/>
          <w:highlight w:val="none"/>
        </w:rPr>
        <w:t>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spacing w:line="440" w:lineRule="exact"/>
        <w:jc w:val="center"/>
        <w:textAlignment w:val="baseline"/>
        <w:rPr>
          <w:rFonts w:ascii="宋体" w:hAnsi="宋体"/>
          <w:b/>
          <w:color w:val="auto"/>
          <w:sz w:val="32"/>
          <w:szCs w:val="32"/>
          <w:highlight w:val="none"/>
        </w:rPr>
      </w:pPr>
      <w:r>
        <w:rPr>
          <w:rFonts w:ascii="Times New Roman" w:hAnsi="Times New Roman" w:eastAsia="Times New Roman"/>
          <w:color w:val="auto"/>
          <w:kern w:val="0"/>
          <w:sz w:val="24"/>
          <w:szCs w:val="24"/>
          <w:highlight w:val="none"/>
          <w:lang w:eastAsia="en-US"/>
        </w:rPr>
        <w:br w:type="page"/>
      </w:r>
      <w:r>
        <w:rPr>
          <w:rFonts w:ascii="宋体" w:hAnsi="宋体"/>
          <w:b/>
          <w:color w:val="auto"/>
          <w:sz w:val="32"/>
          <w:szCs w:val="32"/>
          <w:highlight w:val="none"/>
        </w:rPr>
        <w:t>设备简要说明一览表</w:t>
      </w:r>
    </w:p>
    <w:p>
      <w:pPr>
        <w:spacing w:line="440" w:lineRule="exact"/>
        <w:textAlignment w:val="baseline"/>
        <w:rPr>
          <w:rFonts w:ascii="宋体" w:hAnsi="宋体"/>
          <w:b/>
          <w:color w:val="auto"/>
          <w:sz w:val="24"/>
          <w:highlight w:val="none"/>
        </w:rPr>
      </w:pP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 xml:space="preserve">项目名称：                               </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464"/>
        <w:gridCol w:w="3051"/>
        <w:gridCol w:w="2814"/>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序号</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设备名称</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规格型号及主要技术参数</w:t>
            </w: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性能说明</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供货厂（商）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3</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4</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5</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6</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bl>
    <w:p>
      <w:pPr>
        <w:spacing w:line="440" w:lineRule="exact"/>
        <w:ind w:firstLine="360" w:firstLineChars="150"/>
        <w:textAlignment w:val="baseline"/>
        <w:rPr>
          <w:rFonts w:ascii="宋体" w:hAnsi="宋体"/>
          <w:color w:val="auto"/>
          <w:sz w:val="24"/>
          <w:highlight w:val="none"/>
        </w:rPr>
      </w:pPr>
      <w:r>
        <w:rPr>
          <w:rFonts w:ascii="宋体" w:hAnsi="宋体"/>
          <w:color w:val="auto"/>
          <w:sz w:val="24"/>
          <w:highlight w:val="none"/>
        </w:rPr>
        <w:t>注：此表需详列投标的每种设备。</w:t>
      </w:r>
    </w:p>
    <w:p>
      <w:pPr>
        <w:rPr>
          <w:rFonts w:ascii="宋体" w:hAnsi="宋体"/>
          <w:color w:val="auto"/>
          <w:sz w:val="24"/>
          <w:highlight w:val="none"/>
        </w:rPr>
      </w:pPr>
    </w:p>
    <w:p>
      <w:pPr>
        <w:rPr>
          <w:rFonts w:ascii="宋体" w:hAnsi="宋体"/>
          <w:color w:val="auto"/>
          <w:sz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widowControl/>
        <w:spacing w:line="440" w:lineRule="exact"/>
        <w:jc w:val="left"/>
        <w:textAlignment w:val="baseline"/>
        <w:rPr>
          <w:rFonts w:ascii="宋体" w:hAnsi="宋体" w:cs="宋体"/>
          <w:bCs/>
          <w:color w:val="auto"/>
          <w:sz w:val="24"/>
          <w:szCs w:val="24"/>
          <w:highlight w:val="none"/>
        </w:rPr>
      </w:pPr>
    </w:p>
    <w:p>
      <w:pPr>
        <w:spacing w:line="440" w:lineRule="exact"/>
        <w:jc w:val="center"/>
        <w:textAlignment w:val="baseline"/>
        <w:rPr>
          <w:rFonts w:ascii="宋体" w:hAnsi="宋体"/>
          <w:b/>
          <w:color w:val="auto"/>
          <w:sz w:val="32"/>
          <w:szCs w:val="32"/>
          <w:highlight w:val="none"/>
        </w:rPr>
      </w:pPr>
    </w:p>
    <w:p>
      <w:pPr>
        <w:spacing w:line="440" w:lineRule="exact"/>
        <w:jc w:val="center"/>
        <w:textAlignment w:val="baseline"/>
        <w:rPr>
          <w:rFonts w:ascii="宋体" w:hAnsi="宋体"/>
          <w:b/>
          <w:color w:val="auto"/>
          <w:sz w:val="32"/>
          <w:szCs w:val="32"/>
          <w:highlight w:val="none"/>
        </w:rPr>
      </w:pPr>
    </w:p>
    <w:p>
      <w:pPr>
        <w:spacing w:line="440" w:lineRule="exact"/>
        <w:textAlignment w:val="baseline"/>
        <w:rPr>
          <w:rFonts w:ascii="宋体" w:hAnsi="宋体" w:cs="宋体"/>
          <w:bCs/>
          <w:color w:val="auto"/>
          <w:sz w:val="24"/>
          <w:szCs w:val="24"/>
          <w:highlight w:val="none"/>
        </w:rPr>
      </w:pPr>
      <w:r>
        <w:rPr>
          <w:rFonts w:ascii="宋体" w:hAnsi="宋体" w:cs="宋体"/>
          <w:bCs/>
          <w:color w:val="auto"/>
          <w:sz w:val="24"/>
          <w:szCs w:val="24"/>
          <w:highlight w:val="none"/>
        </w:rPr>
        <w:t>附：1、投标产品渠道的证明材料（格式自拟）</w:t>
      </w:r>
    </w:p>
    <w:p>
      <w:pPr>
        <w:numPr>
          <w:ilvl w:val="0"/>
          <w:numId w:val="6"/>
        </w:numPr>
        <w:spacing w:line="440" w:lineRule="exact"/>
        <w:textAlignment w:val="baseline"/>
        <w:rPr>
          <w:rFonts w:ascii="宋体" w:hAnsi="宋体"/>
          <w:color w:val="auto"/>
          <w:sz w:val="24"/>
          <w:highlight w:val="none"/>
        </w:rPr>
      </w:pPr>
      <w:r>
        <w:rPr>
          <w:rFonts w:ascii="宋体" w:hAnsi="宋体"/>
          <w:color w:val="auto"/>
          <w:sz w:val="24"/>
          <w:highlight w:val="none"/>
        </w:rPr>
        <w:t>国家法定检测部门出具的有效的检测报告、质量管理体系认证，与本次项目无关的检测报告视为无效。</w:t>
      </w:r>
    </w:p>
    <w:p>
      <w:pPr>
        <w:rPr>
          <w:color w:val="auto"/>
          <w:highlight w:val="none"/>
        </w:rPr>
      </w:pPr>
    </w:p>
    <w:p>
      <w:pPr>
        <w:pStyle w:val="18"/>
        <w:rPr>
          <w:rFonts w:hint="default"/>
          <w:color w:val="auto"/>
          <w:lang w:val="en-US" w:eastAsia="zh-CN"/>
        </w:rPr>
      </w:pPr>
    </w:p>
    <w:sectPr>
      <w:footerReference r:id="rId3" w:type="default"/>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625B8C4-284A-4772-9B24-DBC4C4E28C02}"/>
  </w:font>
  <w:font w:name="黑体">
    <w:panose1 w:val="02010609060101010101"/>
    <w:charset w:val="86"/>
    <w:family w:val="auto"/>
    <w:pitch w:val="default"/>
    <w:sig w:usb0="800002BF" w:usb1="38CF7CFA" w:usb2="00000016" w:usb3="00000000" w:csb0="00040001" w:csb1="00000000"/>
    <w:embedRegular r:id="rId2" w:fontKey="{A44A031C-9B79-4A2C-9AE9-DFA0BAED5B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4648067F-EC3E-48EC-9246-3FDD271D605D}"/>
  </w:font>
  <w:font w:name="仿宋">
    <w:panose1 w:val="02010609060101010101"/>
    <w:charset w:val="86"/>
    <w:family w:val="auto"/>
    <w:pitch w:val="default"/>
    <w:sig w:usb0="800002BF" w:usb1="38CF7CFA" w:usb2="00000016" w:usb3="00000000" w:csb0="00040001" w:csb1="00000000"/>
    <w:embedRegular r:id="rId4" w:fontKey="{1DA0EDB6-C00E-4F3F-832D-6EC55F89AAE3}"/>
  </w:font>
  <w:font w:name="仿宋_GB2312">
    <w:panose1 w:val="02010609030101010101"/>
    <w:charset w:val="86"/>
    <w:family w:val="auto"/>
    <w:pitch w:val="default"/>
    <w:sig w:usb0="00000001" w:usb1="080E0000" w:usb2="00000000" w:usb3="00000000" w:csb0="00040000" w:csb1="00000000"/>
    <w:embedRegular r:id="rId5" w:fontKey="{A9AA4180-62A5-488B-B762-9831FD7FAA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BE2583"/>
    <w:multiLevelType w:val="singleLevel"/>
    <w:tmpl w:val="55BE2583"/>
    <w:lvl w:ilvl="0" w:tentative="0">
      <w:start w:val="2"/>
      <w:numFmt w:val="decimal"/>
      <w:suff w:val="nothing"/>
      <w:lvlText w:val="%1、"/>
      <w:lvlJc w:val="left"/>
    </w:lvl>
  </w:abstractNum>
  <w:abstractNum w:abstractNumId="2">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
      <w:suff w:val="nothing"/>
      <w:lvlText w:val="(%3)"/>
      <w:lvlJc w:val="left"/>
      <w:pPr>
        <w:ind w:left="231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702D9F99"/>
    <w:multiLevelType w:val="singleLevel"/>
    <w:tmpl w:val="702D9F99"/>
    <w:lvl w:ilvl="0" w:tentative="0">
      <w:start w:val="1"/>
      <w:numFmt w:val="decimal"/>
      <w:suff w:val="nothing"/>
      <w:lvlText w:val="%1、"/>
      <w:lvlJc w:val="left"/>
    </w:lvl>
  </w:abstractNum>
  <w:abstractNum w:abstractNumId="5">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MzBmYWRlOTk0YTUyYzljMDA1NjQ0YTQxOGRmZjIifQ=="/>
  </w:docVars>
  <w:rsids>
    <w:rsidRoot w:val="3AA424E4"/>
    <w:rsid w:val="02FF5E45"/>
    <w:rsid w:val="1003287D"/>
    <w:rsid w:val="13A60192"/>
    <w:rsid w:val="141D6D81"/>
    <w:rsid w:val="16093755"/>
    <w:rsid w:val="161812A0"/>
    <w:rsid w:val="16761B4E"/>
    <w:rsid w:val="185C36C6"/>
    <w:rsid w:val="18731523"/>
    <w:rsid w:val="18BE1222"/>
    <w:rsid w:val="1A1F732C"/>
    <w:rsid w:val="1CF34D28"/>
    <w:rsid w:val="1E346046"/>
    <w:rsid w:val="21A40F50"/>
    <w:rsid w:val="220B7F0B"/>
    <w:rsid w:val="27645214"/>
    <w:rsid w:val="284D7B2A"/>
    <w:rsid w:val="2AEF537F"/>
    <w:rsid w:val="2E127D88"/>
    <w:rsid w:val="2F386BEB"/>
    <w:rsid w:val="2F8E3E32"/>
    <w:rsid w:val="3096017D"/>
    <w:rsid w:val="316F4690"/>
    <w:rsid w:val="32C37159"/>
    <w:rsid w:val="33052C12"/>
    <w:rsid w:val="34325CFC"/>
    <w:rsid w:val="3463293A"/>
    <w:rsid w:val="35B17051"/>
    <w:rsid w:val="3AA424E4"/>
    <w:rsid w:val="3C2E5791"/>
    <w:rsid w:val="3E335678"/>
    <w:rsid w:val="3EBE40F8"/>
    <w:rsid w:val="3F043905"/>
    <w:rsid w:val="3F324587"/>
    <w:rsid w:val="401934A3"/>
    <w:rsid w:val="409E6EE6"/>
    <w:rsid w:val="412169AB"/>
    <w:rsid w:val="41E56E54"/>
    <w:rsid w:val="42160E3D"/>
    <w:rsid w:val="42454D94"/>
    <w:rsid w:val="426E6F4E"/>
    <w:rsid w:val="43205D21"/>
    <w:rsid w:val="43880F63"/>
    <w:rsid w:val="45890579"/>
    <w:rsid w:val="46393996"/>
    <w:rsid w:val="48757F96"/>
    <w:rsid w:val="4955232B"/>
    <w:rsid w:val="4A1B00E6"/>
    <w:rsid w:val="4C7649AB"/>
    <w:rsid w:val="4CE61886"/>
    <w:rsid w:val="530651F0"/>
    <w:rsid w:val="53905F44"/>
    <w:rsid w:val="539F5FE7"/>
    <w:rsid w:val="563C00B7"/>
    <w:rsid w:val="56616D9D"/>
    <w:rsid w:val="57D904B8"/>
    <w:rsid w:val="58B75D1A"/>
    <w:rsid w:val="58C4108F"/>
    <w:rsid w:val="58F702C5"/>
    <w:rsid w:val="59254E33"/>
    <w:rsid w:val="59846105"/>
    <w:rsid w:val="59A3656A"/>
    <w:rsid w:val="59D2488F"/>
    <w:rsid w:val="5B0171D9"/>
    <w:rsid w:val="5CF25015"/>
    <w:rsid w:val="5D140325"/>
    <w:rsid w:val="5DB4770F"/>
    <w:rsid w:val="5E0966B2"/>
    <w:rsid w:val="5F0B7E50"/>
    <w:rsid w:val="5F3833E6"/>
    <w:rsid w:val="601C657B"/>
    <w:rsid w:val="602D775E"/>
    <w:rsid w:val="606B12BF"/>
    <w:rsid w:val="621C37CC"/>
    <w:rsid w:val="64F817DC"/>
    <w:rsid w:val="653B1BC2"/>
    <w:rsid w:val="657475C5"/>
    <w:rsid w:val="65A26C4A"/>
    <w:rsid w:val="66AE3E80"/>
    <w:rsid w:val="67F812E9"/>
    <w:rsid w:val="6B922D63"/>
    <w:rsid w:val="6BB8202A"/>
    <w:rsid w:val="6D566349"/>
    <w:rsid w:val="6D61337A"/>
    <w:rsid w:val="6E320207"/>
    <w:rsid w:val="6EFD6ED0"/>
    <w:rsid w:val="6F2A356F"/>
    <w:rsid w:val="6FF375E1"/>
    <w:rsid w:val="71187FF6"/>
    <w:rsid w:val="726330D4"/>
    <w:rsid w:val="76764FE3"/>
    <w:rsid w:val="77362E4B"/>
    <w:rsid w:val="787872D0"/>
    <w:rsid w:val="79456682"/>
    <w:rsid w:val="7BD46F1F"/>
    <w:rsid w:val="7E991353"/>
    <w:rsid w:val="7F1B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toa heading"/>
    <w:basedOn w:val="1"/>
    <w:next w:val="1"/>
    <w:qFormat/>
    <w:uiPriority w:val="0"/>
    <w:pPr>
      <w:spacing w:before="120"/>
    </w:pPr>
    <w:rPr>
      <w:rFonts w:ascii="Arial" w:hAnsi="Arial"/>
      <w:sz w:val="24"/>
    </w:rPr>
  </w:style>
  <w:style w:type="paragraph" w:styleId="6">
    <w:name w:val="Body Text"/>
    <w:basedOn w:val="1"/>
    <w:unhideWhenUsed/>
    <w:qFormat/>
    <w:uiPriority w:val="0"/>
    <w:pPr>
      <w:spacing w:after="120"/>
    </w:pPr>
  </w:style>
  <w:style w:type="paragraph" w:styleId="7">
    <w:name w:val="Body Text Indent"/>
    <w:basedOn w:val="1"/>
    <w:qFormat/>
    <w:uiPriority w:val="0"/>
    <w:pPr>
      <w:tabs>
        <w:tab w:val="left" w:pos="360"/>
      </w:tabs>
      <w:spacing w:line="480" w:lineRule="auto"/>
      <w:ind w:firstLine="360" w:firstLineChars="150"/>
    </w:pPr>
    <w:rPr>
      <w:sz w:val="24"/>
    </w:rPr>
  </w:style>
  <w:style w:type="paragraph" w:styleId="8">
    <w:name w:val="Plain Text"/>
    <w:basedOn w:val="1"/>
    <w:qFormat/>
    <w:uiPriority w:val="0"/>
    <w:rPr>
      <w:rFonts w:ascii="宋体" w:hAnsi="Courier New"/>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toc 1"/>
    <w:basedOn w:val="1"/>
    <w:next w:val="1"/>
    <w:unhideWhenUsed/>
    <w:qFormat/>
    <w:uiPriority w:val="39"/>
    <w:pPr>
      <w:spacing w:before="120" w:after="120"/>
      <w:jc w:val="left"/>
    </w:pPr>
    <w:rPr>
      <w:rFonts w:ascii="Calibri" w:hAnsi="Calibri" w:cs="Calibri"/>
      <w:b/>
      <w:bCs/>
      <w:caps/>
      <w:sz w:val="20"/>
      <w:szCs w:val="20"/>
    </w:rPr>
  </w:style>
  <w:style w:type="paragraph" w:styleId="11">
    <w:name w:val="Body Text 2"/>
    <w:basedOn w:val="1"/>
    <w:qFormat/>
    <w:uiPriority w:val="0"/>
    <w:pPr>
      <w:spacing w:line="360" w:lineRule="auto"/>
    </w:pPr>
    <w:rPr>
      <w:b/>
      <w:sz w:val="28"/>
      <w:szCs w:val="21"/>
    </w:rPr>
  </w:style>
  <w:style w:type="paragraph" w:styleId="12">
    <w:name w:val="Normal (Web)"/>
    <w:basedOn w:val="1"/>
    <w:qFormat/>
    <w:uiPriority w:val="99"/>
    <w:rPr>
      <w:sz w:val="24"/>
    </w:rPr>
  </w:style>
  <w:style w:type="paragraph" w:styleId="13">
    <w:name w:val="Body Text First Indent"/>
    <w:basedOn w:val="6"/>
    <w:unhideWhenUsed/>
    <w:qFormat/>
    <w:uiPriority w:val="0"/>
    <w:pPr>
      <w:ind w:firstLine="420" w:firstLineChars="100"/>
    </w:pPr>
  </w:style>
  <w:style w:type="paragraph" w:styleId="14">
    <w:name w:val="Body Text First Indent 2"/>
    <w:basedOn w:val="7"/>
    <w:qFormat/>
    <w:uiPriority w:val="0"/>
    <w:pPr>
      <w:tabs>
        <w:tab w:val="center" w:pos="4680"/>
      </w:tabs>
      <w:adjustRightInd w:val="0"/>
      <w:spacing w:after="120" w:line="520" w:lineRule="exact"/>
      <w:ind w:firstLine="210"/>
    </w:pPr>
    <w:rPr>
      <w:b/>
      <w:kern w:val="44"/>
      <w:sz w:val="4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
    <w:basedOn w:val="1"/>
    <w:qFormat/>
    <w:uiPriority w:val="0"/>
    <w:rPr>
      <w:rFonts w:ascii="Times New Roman" w:hAnsi="Times New Roman" w:cs="Calibri"/>
      <w:szCs w:val="21"/>
    </w:rPr>
  </w:style>
  <w:style w:type="paragraph" w:customStyle="1" w:styleId="19">
    <w:name w:val="1"/>
    <w:basedOn w:val="10"/>
    <w:next w:val="11"/>
    <w:qFormat/>
    <w:uiPriority w:val="0"/>
    <w:pPr>
      <w:spacing w:line="300" w:lineRule="auto"/>
      <w:jc w:val="center"/>
    </w:pPr>
    <w:rPr>
      <w:rFonts w:ascii="宋体" w:hAnsi="宋体"/>
      <w:spacing w:val="-20"/>
    </w:rPr>
  </w:style>
  <w:style w:type="paragraph" w:customStyle="1" w:styleId="20">
    <w:name w:val="标题 31"/>
    <w:basedOn w:val="1"/>
    <w:qFormat/>
    <w:uiPriority w:val="0"/>
    <w:pPr>
      <w:keepNext/>
      <w:keepLines/>
      <w:spacing w:before="260" w:beforeAutospacing="0" w:after="260" w:afterAutospacing="0" w:line="413" w:lineRule="auto"/>
      <w:outlineLvl w:val="2"/>
    </w:pPr>
    <w:rPr>
      <w:b/>
      <w:sz w:val="32"/>
    </w:rPr>
  </w:style>
  <w:style w:type="paragraph" w:styleId="21">
    <w:name w:val="List Paragraph"/>
    <w:basedOn w:val="1"/>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4583</Words>
  <Characters>4882</Characters>
  <Lines>0</Lines>
  <Paragraphs>0</Paragraphs>
  <TotalTime>0</TotalTime>
  <ScaleCrop>false</ScaleCrop>
  <LinksUpToDate>false</LinksUpToDate>
  <CharactersWithSpaces>5025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Lenovo</cp:lastModifiedBy>
  <cp:lastPrinted>2023-05-18T10:33:00Z</cp:lastPrinted>
  <dcterms:modified xsi:type="dcterms:W3CDTF">2024-11-29T03:15:44Z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90DF9D80090D4C66BB5DA5EF253119C7_13</vt:lpwstr>
  </property>
</Properties>
</file>