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服务器配置要求</w:t>
      </w:r>
    </w:p>
    <w:p>
      <w:pPr>
        <w:rPr>
          <w:rFonts w:hint="eastAsia"/>
        </w:rPr>
      </w:pPr>
      <w:r>
        <w:rPr>
          <w:rFonts w:hint="eastAsia"/>
        </w:rPr>
        <w:t>服务器软硬件运行配置的基本要求如下: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CPU:采用国产自研CPU，物理核数≥32核。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内存≥128GB;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存储空间:≥IT，存储介质类型:SSD;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配置双网卡,方便连接院内网络环境和外部网络;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GPU卡或NPU支持:可选配备GPU或NPU卡，便于提高AI算法计算速度和准确性，推荐传染病病例数量多的医院选配;</w:t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</w:rPr>
        <w:t>操作系统:使用麒麟、欧拉、统信等国产操作系统的服务器版;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数据库支持:前置软件统一配备了OpenGauss或同等架构的数据库，服务器需支持运行此架构数据库。</w:t>
      </w:r>
    </w:p>
    <w:p>
      <w:pPr>
        <w:numPr>
          <w:numId w:val="0"/>
        </w:numPr>
        <w:ind w:leftChars="0" w:firstLine="420" w:firstLineChars="200"/>
        <w:rPr>
          <w:rFonts w:hint="eastAsia"/>
        </w:rPr>
      </w:pPr>
      <w:r>
        <w:rPr>
          <w:rFonts w:hint="eastAsia"/>
        </w:rPr>
        <w:t>具体配置可依据机构类别、交换数据范围、门诊人次数等因素调整。相关信创要求，可参考中国信息安全评测中心发布的《安全可靠测评结果公告(2023年第1号)》。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网络配置要求</w:t>
      </w:r>
    </w:p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626EF3"/>
    <w:multiLevelType w:val="singleLevel"/>
    <w:tmpl w:val="8F626E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64A35"/>
    <w:rsid w:val="0EA97F25"/>
    <w:rsid w:val="109C6C51"/>
    <w:rsid w:val="5E0C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2024-09-26T08:19:00Z</dcterms:created>
  <dc:creator>Administrator</dc:creator>
  <cp:lastModifiedBy>Administrator</cp:lastModifiedBy>
  <dcterms:modified xsi:type="dcterms:W3CDTF">2024-09-26T09:41:07Z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