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44"/>
          <w:szCs w:val="32"/>
          <w:highlight w:val="none"/>
        </w:rPr>
      </w:pPr>
      <w:bookmarkStart w:id="0" w:name="_Toc216582815"/>
      <w:bookmarkStart w:id="1" w:name="_Toc12063"/>
      <w:bookmarkStart w:id="2" w:name="_Toc24469"/>
      <w:bookmarkStart w:id="3" w:name="_Toc8254"/>
      <w:bookmarkStart w:id="4" w:name="_Toc1881"/>
      <w:bookmarkStart w:id="5" w:name="_Toc515647818"/>
      <w:bookmarkStart w:id="6" w:name="_Toc8569"/>
      <w:bookmarkStart w:id="7" w:name="_Toc20897"/>
      <w:r>
        <w:rPr>
          <w:rFonts w:hint="eastAsia" w:ascii="仿宋" w:hAnsi="仿宋" w:eastAsia="仿宋" w:cs="仿宋"/>
          <w:color w:val="auto"/>
          <w:sz w:val="44"/>
          <w:szCs w:val="32"/>
          <w:highlight w:val="none"/>
        </w:rPr>
        <w:t>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3"/>
        <w:spacing w:line="240" w:lineRule="atLeast"/>
        <w:ind w:left="1155" w:leftChars="371" w:hanging="376" w:hangingChars="157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联系人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: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:                         　 　报价单位：人民币元</w:t>
      </w:r>
    </w:p>
    <w:tbl>
      <w:tblPr>
        <w:tblStyle w:val="7"/>
        <w:tblW w:w="13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842"/>
        <w:gridCol w:w="2438"/>
        <w:gridCol w:w="2025"/>
        <w:gridCol w:w="1937"/>
        <w:gridCol w:w="15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服务期限（天）</w:t>
            </w:r>
          </w:p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15"/>
                <w:highlight w:val="none"/>
                <w:lang w:val="en-US" w:eastAsia="zh-CN"/>
              </w:rPr>
              <w:t>（天数为估算，据实结算）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元/辆/天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bookmarkStart w:id="8" w:name="OLE_LINK2" w:colFirst="3" w:colLast="4"/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1.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SUV(5座)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bookmarkStart w:id="9" w:name="OLE_LINK1"/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喀什地区内</w:t>
            </w:r>
            <w:bookmarkEnd w:id="9"/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100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2.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商务车(7座)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喀什地区内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3.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中巴车(16座以 上 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喀什地区内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15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4.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大型客车(35座 以上)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喀什地区内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8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5.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SUV(5座)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bookmarkStart w:id="10" w:name="OLE_LINK3"/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喀什地区外疆内</w:t>
            </w:r>
            <w:bookmarkEnd w:id="10"/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50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left="269" w:leftChars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</w:rPr>
              <w:t>6.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商务车(7座)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喀什地区外疆内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20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3"/>
              <w:spacing w:line="240" w:lineRule="atLeast"/>
              <w:ind w:firstLine="720" w:firstLineChars="400"/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中巴车(16座以 上 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喀什地区外疆内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3"/>
                <w:highlight w:val="none"/>
                <w:lang w:val="en-US" w:eastAsia="zh-CN"/>
              </w:rPr>
              <w:t>10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2" w:type="dxa"/>
          </w:tcPr>
          <w:p>
            <w:pPr>
              <w:pStyle w:val="3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6400" w:type="dxa"/>
            <w:gridSpan w:val="3"/>
            <w:vAlign w:val="center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8" w:type="dxa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0" w:type="dxa"/>
          </w:tcPr>
          <w:p>
            <w:pPr>
              <w:pStyle w:val="3"/>
              <w:spacing w:line="240" w:lineRule="atLeast"/>
              <w:ind w:left="1080" w:leftChars="257" w:hanging="54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签字或盖章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</w:t>
      </w:r>
    </w:p>
    <w:p>
      <w:pPr>
        <w:pStyle w:val="3"/>
        <w:tabs>
          <w:tab w:val="left" w:pos="5370"/>
        </w:tabs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3"/>
        <w:tabs>
          <w:tab w:val="left" w:pos="5370"/>
        </w:tabs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供应商(盖单位章):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ab/>
      </w:r>
    </w:p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.如果按单价计算的结果与总价不一致,以单价为准修正总价。</w:t>
      </w:r>
    </w:p>
    <w:p>
      <w:pPr>
        <w:pStyle w:val="3"/>
        <w:spacing w:line="240" w:lineRule="atLeast"/>
        <w:ind w:left="1080" w:leftChars="257" w:hanging="54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据实结算，本项目服务期限为估计，最终以实际产生费用为准。</w:t>
      </w:r>
    </w:p>
    <w:p>
      <w:pPr>
        <w:pStyle w:val="3"/>
        <w:spacing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>
      <w:pPr>
        <w:pStyle w:val="2"/>
        <w:spacing w:before="0" w:line="240" w:lineRule="atLeast"/>
        <w:ind w:left="1080" w:leftChars="257" w:hanging="540"/>
        <w:rPr>
          <w:rFonts w:hint="eastAsia" w:ascii="仿宋" w:hAnsi="仿宋" w:eastAsia="仿宋" w:cs="仿宋"/>
          <w:color w:val="auto"/>
          <w:sz w:val="24"/>
          <w:highlight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  <w:bookmarkStart w:id="11" w:name="_GoBack"/>
      <w:bookmarkEnd w:id="1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7251"/>
    <w:rsid w:val="0FF24772"/>
    <w:rsid w:val="192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宋体"/>
      <w:b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uiPriority w:val="0"/>
    <w:rPr>
      <w:rFonts w:ascii="宋体" w:hAnsi="Courier New"/>
      <w:szCs w:val="20"/>
    </w:r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2025-06-24T09:37:00Z</dcterms:created>
  <dc:creator>Lenovo</dc:creator>
  <cp:lastModifiedBy>Lenovo</cp:lastModifiedBy>
  <dcterms:modified xsi:type="dcterms:W3CDTF">2025-06-24T10:33:16Z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