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rPr>
      </w:pPr>
      <w:r>
        <w:rPr>
          <w:rFonts w:hint="eastAsia" w:ascii="仿宋" w:hAnsi="仿宋" w:eastAsia="仿宋" w:cs="仿宋"/>
          <w:b/>
          <w:bCs/>
          <w:sz w:val="28"/>
          <w:szCs w:val="28"/>
        </w:rPr>
        <w:t>采购要求：</w:t>
      </w:r>
    </w:p>
    <w:p>
      <w:pPr>
        <w:rPr>
          <w:rFonts w:hint="eastAsia" w:ascii="仿宋" w:hAnsi="仿宋" w:eastAsia="仿宋" w:cs="仿宋"/>
          <w:b w:val="0"/>
          <w:bCs w:val="0"/>
          <w:sz w:val="24"/>
          <w:szCs w:val="24"/>
        </w:rPr>
      </w:pPr>
      <w:r>
        <w:rPr>
          <w:rFonts w:hint="eastAsia" w:ascii="仿宋" w:hAnsi="仿宋" w:eastAsia="仿宋" w:cs="仿宋"/>
          <w:b w:val="0"/>
          <w:bCs w:val="0"/>
          <w:sz w:val="24"/>
          <w:szCs w:val="24"/>
        </w:rPr>
        <w:t>喀什地区内</w:t>
      </w:r>
    </w:p>
    <w:p>
      <w:pPr>
        <w:rPr>
          <w:rFonts w:hint="eastAsia" w:ascii="仿宋" w:hAnsi="仿宋" w:eastAsia="仿宋" w:cs="仿宋"/>
          <w:b w:val="0"/>
          <w:bCs w:val="0"/>
          <w:sz w:val="24"/>
          <w:szCs w:val="24"/>
        </w:rPr>
      </w:pPr>
    </w:p>
    <w:tbl>
      <w:tblPr>
        <w:tblStyle w:val="9"/>
        <w:tblW w:w="982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3"/>
        <w:gridCol w:w="7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4" w:hRule="atLeast"/>
          <w:jc w:val="center"/>
        </w:trPr>
        <w:tc>
          <w:tcPr>
            <w:tcW w:w="9820" w:type="dxa"/>
            <w:gridSpan w:val="2"/>
            <w:noWrap w:val="0"/>
            <w:vAlign w:val="top"/>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带驾驶员用车参考报价表(喀什地区内)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jc w:val="center"/>
        </w:trPr>
        <w:tc>
          <w:tcPr>
            <w:tcW w:w="203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车型</w:t>
            </w:r>
          </w:p>
        </w:tc>
        <w:tc>
          <w:tcPr>
            <w:tcW w:w="778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jc w:val="center"/>
        </w:trPr>
        <w:tc>
          <w:tcPr>
            <w:tcW w:w="2033" w:type="dxa"/>
            <w:noWrap w:val="0"/>
            <w:vAlign w:val="center"/>
          </w:tcPr>
          <w:p>
            <w:pPr>
              <w:jc w:val="center"/>
              <w:rPr>
                <w:rFonts w:hint="eastAsia" w:ascii="仿宋" w:hAnsi="仿宋" w:eastAsia="仿宋" w:cs="仿宋"/>
                <w:b w:val="0"/>
                <w:bCs w:val="0"/>
                <w:sz w:val="24"/>
                <w:szCs w:val="24"/>
              </w:rPr>
            </w:pPr>
            <w:bookmarkStart w:id="0" w:name="OLE_LINK1" w:colFirst="0" w:colLast="0"/>
            <w:r>
              <w:rPr>
                <w:rFonts w:hint="eastAsia" w:ascii="仿宋" w:hAnsi="仿宋" w:eastAsia="仿宋" w:cs="仿宋"/>
                <w:b w:val="0"/>
                <w:bCs w:val="0"/>
                <w:sz w:val="24"/>
                <w:szCs w:val="24"/>
              </w:rPr>
              <w:t>SUV(5座)</w:t>
            </w:r>
          </w:p>
        </w:tc>
        <w:tc>
          <w:tcPr>
            <w:tcW w:w="778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限价：1000元/辆/天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203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商务车(7座)</w:t>
            </w:r>
          </w:p>
        </w:tc>
        <w:tc>
          <w:tcPr>
            <w:tcW w:w="778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限价：1200元/辆/天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8" w:hRule="atLeast"/>
          <w:jc w:val="center"/>
        </w:trPr>
        <w:tc>
          <w:tcPr>
            <w:tcW w:w="203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中巴车(16座以 上 )</w:t>
            </w:r>
          </w:p>
        </w:tc>
        <w:tc>
          <w:tcPr>
            <w:tcW w:w="778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限价：1800元/辆/天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8" w:hRule="atLeast"/>
          <w:jc w:val="center"/>
        </w:trPr>
        <w:tc>
          <w:tcPr>
            <w:tcW w:w="203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大型客车(35座 以上)</w:t>
            </w:r>
          </w:p>
        </w:tc>
        <w:tc>
          <w:tcPr>
            <w:tcW w:w="778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限价：2500元/辆/天</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jc w:val="center"/>
        </w:trPr>
        <w:tc>
          <w:tcPr>
            <w:tcW w:w="203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合计</w:t>
            </w:r>
          </w:p>
        </w:tc>
        <w:tc>
          <w:tcPr>
            <w:tcW w:w="778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3" w:hRule="atLeast"/>
          <w:jc w:val="center"/>
        </w:trPr>
        <w:tc>
          <w:tcPr>
            <w:tcW w:w="9820" w:type="dxa"/>
            <w:gridSpan w:val="2"/>
            <w:noWrap w:val="0"/>
            <w:vAlign w:val="top"/>
          </w:tcPr>
          <w:p>
            <w:pPr>
              <w:rPr>
                <w:rFonts w:hint="eastAsia" w:ascii="仿宋" w:hAnsi="仿宋" w:eastAsia="仿宋" w:cs="仿宋"/>
                <w:b w:val="0"/>
                <w:bCs w:val="0"/>
                <w:sz w:val="24"/>
                <w:szCs w:val="24"/>
              </w:rPr>
            </w:pPr>
            <w:r>
              <w:rPr>
                <w:rFonts w:hint="eastAsia" w:ascii="仿宋" w:hAnsi="仿宋" w:eastAsia="仿宋" w:cs="仿宋"/>
                <w:b w:val="0"/>
                <w:bCs w:val="0"/>
                <w:sz w:val="24"/>
                <w:szCs w:val="24"/>
              </w:rPr>
              <w:t>注：以上报价含检车费、税费、车辆燃料费费，过路费、停车费、车辆的保养、保险及维修  费，驾驶员工资、食宿及与之相关的一切费用。供应商依据最高限价填报自己的响应报价， 不得超过最高限制价格。</w:t>
            </w:r>
          </w:p>
        </w:tc>
      </w:tr>
    </w:tbl>
    <w:p>
      <w:pPr>
        <w:rPr>
          <w:rFonts w:hint="eastAsia" w:ascii="仿宋" w:hAnsi="仿宋" w:eastAsia="仿宋" w:cs="仿宋"/>
          <w:b w:val="0"/>
          <w:bCs w:val="0"/>
          <w:sz w:val="24"/>
          <w:szCs w:val="24"/>
        </w:rPr>
      </w:pPr>
    </w:p>
    <w:p>
      <w:pPr>
        <w:rPr>
          <w:rFonts w:hint="eastAsia" w:ascii="仿宋" w:hAnsi="仿宋" w:eastAsia="仿宋" w:cs="仿宋"/>
          <w:b w:val="0"/>
          <w:bCs w:val="0"/>
          <w:sz w:val="24"/>
          <w:szCs w:val="24"/>
        </w:rPr>
      </w:pPr>
      <w:r>
        <w:rPr>
          <w:rFonts w:hint="eastAsia" w:ascii="仿宋" w:hAnsi="仿宋" w:eastAsia="仿宋" w:cs="仿宋"/>
          <w:b w:val="0"/>
          <w:bCs w:val="0"/>
          <w:sz w:val="24"/>
          <w:szCs w:val="24"/>
        </w:rPr>
        <w:t>喀什地区外(疆内)</w:t>
      </w:r>
    </w:p>
    <w:p>
      <w:pPr>
        <w:rPr>
          <w:rFonts w:hint="eastAsia" w:ascii="仿宋" w:hAnsi="仿宋" w:eastAsia="仿宋" w:cs="仿宋"/>
          <w:b w:val="0"/>
          <w:bCs w:val="0"/>
          <w:sz w:val="24"/>
          <w:szCs w:val="24"/>
        </w:rPr>
      </w:pPr>
    </w:p>
    <w:tbl>
      <w:tblPr>
        <w:tblStyle w:val="9"/>
        <w:tblW w:w="982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7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9820" w:type="dxa"/>
            <w:gridSpan w:val="2"/>
            <w:noWrap w:val="0"/>
            <w:vAlign w:val="top"/>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带驾驶员用车参考报价表(</w:t>
            </w:r>
            <w:bookmarkStart w:id="1" w:name="OLE_LINK3"/>
            <w:bookmarkStart w:id="15" w:name="_GoBack"/>
            <w:r>
              <w:rPr>
                <w:rFonts w:hint="eastAsia" w:ascii="仿宋" w:hAnsi="仿宋" w:eastAsia="仿宋" w:cs="仿宋"/>
                <w:b w:val="0"/>
                <w:bCs w:val="0"/>
                <w:sz w:val="24"/>
                <w:szCs w:val="24"/>
              </w:rPr>
              <w:t>喀什地区外疆内)</w:t>
            </w:r>
            <w:bookmarkEnd w:id="15"/>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9" w:hRule="atLeast"/>
          <w:jc w:val="center"/>
        </w:trPr>
        <w:tc>
          <w:tcPr>
            <w:tcW w:w="204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车型</w:t>
            </w:r>
          </w:p>
        </w:tc>
        <w:tc>
          <w:tcPr>
            <w:tcW w:w="777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jc w:val="center"/>
        </w:trPr>
        <w:tc>
          <w:tcPr>
            <w:tcW w:w="2043" w:type="dxa"/>
            <w:noWrap w:val="0"/>
            <w:vAlign w:val="center"/>
          </w:tcPr>
          <w:p>
            <w:pPr>
              <w:jc w:val="center"/>
              <w:rPr>
                <w:rFonts w:hint="eastAsia" w:ascii="仿宋" w:hAnsi="仿宋" w:eastAsia="仿宋" w:cs="仿宋"/>
                <w:b w:val="0"/>
                <w:bCs w:val="0"/>
                <w:sz w:val="24"/>
                <w:szCs w:val="24"/>
              </w:rPr>
            </w:pPr>
            <w:bookmarkStart w:id="2" w:name="OLE_LINK2" w:colFirst="0" w:colLast="1"/>
            <w:r>
              <w:rPr>
                <w:rFonts w:hint="eastAsia" w:ascii="仿宋" w:hAnsi="仿宋" w:eastAsia="仿宋" w:cs="仿宋"/>
                <w:b w:val="0"/>
                <w:bCs w:val="0"/>
                <w:sz w:val="24"/>
                <w:szCs w:val="24"/>
              </w:rPr>
              <w:t>SUV(5座)</w:t>
            </w:r>
          </w:p>
        </w:tc>
        <w:tc>
          <w:tcPr>
            <w:tcW w:w="777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限价：1600元/辆/天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8" w:hRule="atLeast"/>
          <w:jc w:val="center"/>
        </w:trPr>
        <w:tc>
          <w:tcPr>
            <w:tcW w:w="2043" w:type="dxa"/>
            <w:noWrap w:val="0"/>
            <w:vAlign w:val="center"/>
          </w:tcPr>
          <w:p>
            <w:pPr>
              <w:jc w:val="center"/>
              <w:rPr>
                <w:rFonts w:hint="eastAsia" w:ascii="仿宋" w:hAnsi="仿宋" w:eastAsia="仿宋" w:cs="仿宋"/>
                <w:b w:val="0"/>
                <w:bCs w:val="0"/>
                <w:sz w:val="24"/>
                <w:szCs w:val="24"/>
              </w:rPr>
            </w:pP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商务车(7座)</w:t>
            </w:r>
          </w:p>
        </w:tc>
        <w:tc>
          <w:tcPr>
            <w:tcW w:w="7777" w:type="dxa"/>
            <w:noWrap w:val="0"/>
            <w:vAlign w:val="center"/>
          </w:tcPr>
          <w:p>
            <w:pPr>
              <w:jc w:val="center"/>
              <w:rPr>
                <w:rFonts w:hint="eastAsia" w:ascii="仿宋" w:hAnsi="仿宋" w:eastAsia="仿宋" w:cs="仿宋"/>
                <w:b w:val="0"/>
                <w:bCs w:val="0"/>
                <w:sz w:val="24"/>
                <w:szCs w:val="24"/>
              </w:rPr>
            </w:pP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限价：1800元/辆/天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8" w:hRule="atLeast"/>
          <w:jc w:val="center"/>
        </w:trPr>
        <w:tc>
          <w:tcPr>
            <w:tcW w:w="204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中巴车(16座以 上 )</w:t>
            </w:r>
          </w:p>
        </w:tc>
        <w:tc>
          <w:tcPr>
            <w:tcW w:w="7777" w:type="dxa"/>
            <w:noWrap w:val="0"/>
            <w:vAlign w:val="center"/>
          </w:tcPr>
          <w:p>
            <w:pPr>
              <w:jc w:val="center"/>
              <w:rPr>
                <w:rFonts w:hint="eastAsia" w:ascii="仿宋" w:hAnsi="仿宋" w:eastAsia="仿宋" w:cs="仿宋"/>
                <w:b w:val="0"/>
                <w:bCs w:val="0"/>
                <w:sz w:val="24"/>
                <w:szCs w:val="24"/>
              </w:rPr>
            </w:pP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限价：2600元/辆/天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jc w:val="center"/>
        </w:trPr>
        <w:tc>
          <w:tcPr>
            <w:tcW w:w="2043"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合计</w:t>
            </w:r>
          </w:p>
        </w:tc>
        <w:tc>
          <w:tcPr>
            <w:tcW w:w="7777"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6000元</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7" w:hRule="atLeast"/>
          <w:jc w:val="center"/>
        </w:trPr>
        <w:tc>
          <w:tcPr>
            <w:tcW w:w="9820" w:type="dxa"/>
            <w:gridSpan w:val="2"/>
            <w:noWrap w:val="0"/>
            <w:vAlign w:val="top"/>
          </w:tcPr>
          <w:p>
            <w:pPr>
              <w:rPr>
                <w:rFonts w:hint="eastAsia" w:ascii="仿宋" w:hAnsi="仿宋" w:eastAsia="仿宋" w:cs="仿宋"/>
                <w:b w:val="0"/>
                <w:bCs w:val="0"/>
                <w:sz w:val="24"/>
                <w:szCs w:val="24"/>
              </w:rPr>
            </w:pPr>
            <w:r>
              <w:rPr>
                <w:rFonts w:hint="eastAsia" w:ascii="仿宋" w:hAnsi="仿宋" w:eastAsia="仿宋" w:cs="仿宋"/>
                <w:b w:val="0"/>
                <w:bCs w:val="0"/>
                <w:sz w:val="24"/>
                <w:szCs w:val="24"/>
              </w:rPr>
              <w:t>注：以上报价含检车费、税费、车辆燃料费费，过路费、停车费、车辆的保养、保险及维修  费，驾驶员工资、食宿及与之相关的一切费用。供应商依据最高限价填报自己的响应报价， 不得超过最高限制价格。</w:t>
            </w:r>
          </w:p>
        </w:tc>
      </w:tr>
    </w:tbl>
    <w:p>
      <w:pPr>
        <w:rPr>
          <w:rFonts w:hint="eastAsia" w:ascii="仿宋" w:hAnsi="仿宋" w:eastAsia="仿宋" w:cs="仿宋"/>
          <w:b/>
          <w:bCs/>
          <w:sz w:val="24"/>
          <w:szCs w:val="24"/>
        </w:rPr>
      </w:pPr>
      <w:r>
        <w:rPr>
          <w:rFonts w:hint="eastAsia" w:ascii="仿宋" w:hAnsi="仿宋" w:eastAsia="仿宋" w:cs="仿宋"/>
          <w:b/>
          <w:bCs/>
          <w:sz w:val="24"/>
          <w:szCs w:val="24"/>
        </w:rPr>
        <w:t>备 注 ：</w:t>
      </w:r>
    </w:p>
    <w:p>
      <w:pPr>
        <w:rPr>
          <w:rFonts w:hint="eastAsia" w:ascii="仿宋" w:hAnsi="仿宋" w:eastAsia="仿宋" w:cs="仿宋"/>
          <w:b/>
          <w:bCs/>
          <w:color w:val="FF0000"/>
          <w:sz w:val="24"/>
          <w:szCs w:val="24"/>
        </w:rPr>
      </w:pPr>
      <w:r>
        <w:rPr>
          <w:rFonts w:hint="eastAsia" w:ascii="仿宋" w:hAnsi="仿宋" w:eastAsia="仿宋" w:cs="仿宋"/>
          <w:b/>
          <w:bCs/>
          <w:color w:val="FF0000"/>
          <w:sz w:val="24"/>
          <w:szCs w:val="24"/>
        </w:rPr>
        <w:t>12500元为本次投标最高限价合计数的最高限价，分项报价为每个分项的最高限价，高于最高限价的报价投标无效。</w:t>
      </w:r>
    </w:p>
    <w:p>
      <w:pPr>
        <w:spacing w:line="300" w:lineRule="auto"/>
        <w:jc w:val="center"/>
        <w:rPr>
          <w:rFonts w:hint="eastAsia" w:ascii="仿宋" w:hAnsi="仿宋" w:eastAsia="仿宋" w:cs="仿宋"/>
          <w:b/>
          <w:bCs/>
          <w:color w:val="auto"/>
          <w:sz w:val="28"/>
          <w:szCs w:val="32"/>
          <w:highlight w:val="none"/>
        </w:rPr>
      </w:pPr>
    </w:p>
    <w:p>
      <w:pPr>
        <w:spacing w:line="300" w:lineRule="auto"/>
        <w:jc w:val="center"/>
        <w:rPr>
          <w:rFonts w:hint="eastAsia"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6"/>
        <w:tblpPr w:leftFromText="180" w:rightFromText="180" w:vertAnchor="text" w:horzAnchor="page" w:tblpXSpec="center" w:tblpY="316"/>
        <w:tblOverlap w:val="never"/>
        <w:tblW w:w="10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41"/>
        <w:gridCol w:w="720"/>
        <w:gridCol w:w="71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914" w:type="dxa"/>
            <w:vMerge w:val="restart"/>
            <w:noWrap w:val="0"/>
            <w:vAlign w:val="center"/>
          </w:tcPr>
          <w:p>
            <w:pPr>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041" w:type="dxa"/>
            <w:vMerge w:val="restart"/>
            <w:noWrap w:val="0"/>
            <w:vAlign w:val="center"/>
          </w:tcPr>
          <w:p>
            <w:pPr>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2252" w:type="dxa"/>
            <w:gridSpan w:val="3"/>
            <w:noWrap w:val="0"/>
            <w:vAlign w:val="center"/>
          </w:tcPr>
          <w:p>
            <w:pPr>
              <w:spacing w:line="30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14" w:type="dxa"/>
            <w:vMerge w:val="continue"/>
            <w:noWrap w:val="0"/>
            <w:vAlign w:val="center"/>
          </w:tcPr>
          <w:p>
            <w:pPr>
              <w:spacing w:line="300" w:lineRule="auto"/>
              <w:jc w:val="center"/>
              <w:rPr>
                <w:rFonts w:hint="eastAsia" w:ascii="仿宋" w:hAnsi="仿宋" w:eastAsia="仿宋" w:cs="仿宋"/>
                <w:b/>
                <w:color w:val="auto"/>
                <w:sz w:val="24"/>
                <w:highlight w:val="none"/>
              </w:rPr>
            </w:pPr>
          </w:p>
        </w:tc>
        <w:tc>
          <w:tcPr>
            <w:tcW w:w="7041" w:type="dxa"/>
            <w:vMerge w:val="continue"/>
            <w:noWrap w:val="0"/>
            <w:vAlign w:val="center"/>
          </w:tcPr>
          <w:p>
            <w:pPr>
              <w:spacing w:line="300" w:lineRule="auto"/>
              <w:jc w:val="center"/>
              <w:rPr>
                <w:rFonts w:hint="eastAsia" w:ascii="仿宋" w:hAnsi="仿宋" w:eastAsia="仿宋" w:cs="仿宋"/>
                <w:b/>
                <w:color w:val="auto"/>
                <w:sz w:val="24"/>
                <w:highlight w:val="none"/>
              </w:rPr>
            </w:pPr>
          </w:p>
        </w:tc>
        <w:tc>
          <w:tcPr>
            <w:tcW w:w="720" w:type="dxa"/>
            <w:noWrap w:val="0"/>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714" w:type="dxa"/>
            <w:noWrap w:val="0"/>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818" w:type="dxa"/>
            <w:noWrap w:val="0"/>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041" w:type="dxa"/>
            <w:noWrap w:val="0"/>
            <w:vAlign w:val="center"/>
          </w:tcPr>
          <w:p>
            <w:pPr>
              <w:spacing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具有相应的营业执照</w:t>
            </w:r>
            <w:r>
              <w:rPr>
                <w:rFonts w:hint="eastAsia" w:ascii="仿宋" w:hAnsi="仿宋" w:eastAsia="仿宋" w:cs="仿宋"/>
                <w:color w:val="auto"/>
                <w:sz w:val="21"/>
                <w:szCs w:val="21"/>
                <w:highlight w:val="none"/>
              </w:rPr>
              <w:t>；</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041"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法定代表人授权委托书及被委托人身份证（法定代表人投标提供法定代表人身份证明及身份证）</w:t>
            </w:r>
            <w:r>
              <w:rPr>
                <w:rFonts w:hint="eastAsia" w:ascii="仿宋" w:hAnsi="仿宋" w:eastAsia="仿宋" w:cs="仿宋"/>
                <w:color w:val="auto"/>
                <w:sz w:val="21"/>
                <w:szCs w:val="21"/>
                <w:highlight w:val="none"/>
                <w:lang w:eastAsia="zh-CN"/>
              </w:rPr>
              <w:t>；</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041"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本单位缴纳的近</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个月中任意一个月的社保缴纳证明</w:t>
            </w:r>
            <w:r>
              <w:rPr>
                <w:rFonts w:hint="eastAsia" w:ascii="仿宋" w:hAnsi="仿宋" w:eastAsia="仿宋" w:cs="仿宋"/>
                <w:strike w:val="0"/>
                <w:dstrike w:val="0"/>
                <w:color w:val="auto"/>
                <w:sz w:val="21"/>
                <w:szCs w:val="21"/>
                <w:highlight w:val="none"/>
              </w:rPr>
              <w:t>；</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041"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具有税务局开具依法缴纳近三个月中任意一个月的税收证明的良好记录（完税证明），注：①若为零申报企业，需提供无欠税证明或国家税务总局电子税务局“申报结果查询截图”。②“税种”非社会保险</w:t>
            </w:r>
            <w:r>
              <w:rPr>
                <w:rFonts w:hint="eastAsia" w:ascii="仿宋" w:hAnsi="仿宋" w:eastAsia="仿宋" w:cs="仿宋"/>
                <w:color w:val="auto"/>
                <w:sz w:val="21"/>
                <w:szCs w:val="21"/>
                <w:highlight w:val="none"/>
              </w:rPr>
              <w:t>；</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041"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2023年度</w:t>
            </w:r>
            <w:r>
              <w:rPr>
                <w:rFonts w:hint="eastAsia" w:ascii="仿宋" w:hAnsi="仿宋" w:eastAsia="仿宋" w:cs="仿宋"/>
                <w:color w:val="auto"/>
                <w:sz w:val="21"/>
                <w:szCs w:val="21"/>
                <w:highlight w:val="none"/>
                <w:lang w:val="en-US" w:eastAsia="zh-CN"/>
              </w:rPr>
              <w:t>或2024年度</w:t>
            </w:r>
            <w:r>
              <w:rPr>
                <w:rFonts w:hint="eastAsia" w:ascii="仿宋" w:hAnsi="仿宋" w:eastAsia="仿宋" w:cs="仿宋"/>
                <w:color w:val="auto"/>
                <w:sz w:val="21"/>
                <w:szCs w:val="21"/>
                <w:highlight w:val="none"/>
                <w:lang w:eastAsia="zh-CN"/>
              </w:rPr>
              <w:t>的财务审计报告</w:t>
            </w:r>
            <w:r>
              <w:rPr>
                <w:rFonts w:hint="eastAsia" w:ascii="仿宋" w:hAnsi="仿宋" w:eastAsia="仿宋" w:cs="仿宋"/>
                <w:color w:val="auto"/>
                <w:sz w:val="21"/>
                <w:szCs w:val="21"/>
                <w:highlight w:val="none"/>
              </w:rPr>
              <w:t xml:space="preserve">（新成立未满一年的公司提供有效的银行资信证明）；   </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041" w:type="dxa"/>
            <w:noWrap w:val="0"/>
            <w:vAlign w:val="center"/>
          </w:tcPr>
          <w:p>
            <w:pPr>
              <w:spacing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投标供应商参加项目领取磋商文件及投标环节期间采购活动前3年内，在经营活动中没有重大违法记录的书面承诺书；</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041" w:type="dxa"/>
            <w:noWrap w:val="0"/>
            <w:vAlign w:val="center"/>
          </w:tcPr>
          <w:p>
            <w:pPr>
              <w:spacing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针对本项目的反商业贿赂承诺书；</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041" w:type="dxa"/>
            <w:noWrap w:val="0"/>
            <w:vAlign w:val="center"/>
          </w:tcPr>
          <w:p>
            <w:pPr>
              <w:spacing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根据《财政部关于在政府采购活动中查询及使用信用记录有关问题的通知》（财库﹝2016﹞125 号）的要求，凡拟参加本次招标项目的供应商，如在“信用中国”网站（https://www.creditchina.gov.cn/xinyongfuwu/?navPage=4)被列入“政府采购严重违法失信行为记录名单”、“重大税收违法失信主体”、中国政府采购网（http://www.ccgp.gov.cn/search/cr/）严重违法失信行为记录名单的（尚在处罚期内的）；将拒绝其参加本次招标活动（须提供查询截图并加盖公章）</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4" w:type="dxa"/>
            <w:noWrap w:val="0"/>
            <w:vAlign w:val="center"/>
          </w:tcPr>
          <w:p>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041" w:type="dxa"/>
            <w:noWrap w:val="0"/>
            <w:vAlign w:val="center"/>
          </w:tcPr>
          <w:p>
            <w:pPr>
              <w:spacing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具备国家行政主管部门颁发且在有效期内的《道路运输经营许可证》或具有国家交通运输部门颁发的有效的《汽车租赁经营备案证》</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4" w:type="dxa"/>
            <w:noWrap w:val="0"/>
            <w:vAlign w:val="center"/>
          </w:tcPr>
          <w:p>
            <w:pPr>
              <w:spacing w:line="300" w:lineRule="auto"/>
              <w:rPr>
                <w:rFonts w:hint="eastAsia" w:ascii="仿宋" w:hAnsi="仿宋" w:eastAsia="仿宋" w:cs="仿宋"/>
                <w:color w:val="auto"/>
                <w:sz w:val="24"/>
                <w:highlight w:val="none"/>
              </w:rPr>
            </w:pPr>
          </w:p>
        </w:tc>
        <w:tc>
          <w:tcPr>
            <w:tcW w:w="7041" w:type="dxa"/>
            <w:noWrap w:val="0"/>
            <w:vAlign w:val="center"/>
          </w:tcPr>
          <w:p>
            <w:pPr>
              <w:spacing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结论：</w:t>
            </w:r>
            <w:r>
              <w:rPr>
                <w:rFonts w:hint="eastAsia" w:ascii="仿宋" w:hAnsi="仿宋" w:eastAsia="仿宋" w:cs="仿宋"/>
                <w:color w:val="auto"/>
                <w:spacing w:val="-2"/>
                <w:sz w:val="21"/>
                <w:szCs w:val="21"/>
                <w:highlight w:val="none"/>
              </w:rPr>
              <w:t>通过评审打“√”，未通过评审打“×”</w:t>
            </w:r>
          </w:p>
        </w:tc>
        <w:tc>
          <w:tcPr>
            <w:tcW w:w="720" w:type="dxa"/>
            <w:noWrap w:val="0"/>
            <w:vAlign w:val="top"/>
          </w:tcPr>
          <w:p>
            <w:pPr>
              <w:spacing w:line="300" w:lineRule="auto"/>
              <w:rPr>
                <w:rFonts w:hint="eastAsia" w:ascii="仿宋" w:hAnsi="仿宋" w:eastAsia="仿宋" w:cs="仿宋"/>
                <w:color w:val="auto"/>
                <w:sz w:val="24"/>
                <w:highlight w:val="none"/>
              </w:rPr>
            </w:pPr>
          </w:p>
        </w:tc>
        <w:tc>
          <w:tcPr>
            <w:tcW w:w="714" w:type="dxa"/>
            <w:noWrap w:val="0"/>
            <w:vAlign w:val="top"/>
          </w:tcPr>
          <w:p>
            <w:pPr>
              <w:spacing w:line="300" w:lineRule="auto"/>
              <w:rPr>
                <w:rFonts w:hint="eastAsia" w:ascii="仿宋" w:hAnsi="仿宋" w:eastAsia="仿宋" w:cs="仿宋"/>
                <w:color w:val="auto"/>
                <w:sz w:val="24"/>
                <w:highlight w:val="none"/>
              </w:rPr>
            </w:pPr>
          </w:p>
        </w:tc>
        <w:tc>
          <w:tcPr>
            <w:tcW w:w="818" w:type="dxa"/>
            <w:noWrap w:val="0"/>
            <w:vAlign w:val="top"/>
          </w:tcPr>
          <w:p>
            <w:pPr>
              <w:spacing w:line="300" w:lineRule="auto"/>
              <w:rPr>
                <w:rFonts w:hint="eastAsia" w:ascii="仿宋" w:hAnsi="仿宋" w:eastAsia="仿宋" w:cs="仿宋"/>
                <w:color w:val="auto"/>
                <w:sz w:val="24"/>
                <w:highlight w:val="none"/>
              </w:rPr>
            </w:pPr>
          </w:p>
        </w:tc>
      </w:tr>
    </w:tbl>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备注：如果响应文件中有一项未通过上述审查标准，评标委员会将认定整个响应文件未响应文件而予以废标处理。</w:t>
      </w:r>
    </w:p>
    <w:p>
      <w:pPr>
        <w:pStyle w:val="2"/>
        <w:numPr>
          <w:numId w:val="0"/>
        </w:numPr>
        <w:tabs>
          <w:tab w:val="left" w:pos="0"/>
        </w:tabs>
        <w:spacing w:before="0" w:after="0" w:line="240" w:lineRule="atLeast"/>
        <w:ind w:left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bookmarkStart w:id="3" w:name="_Toc31550"/>
      <w:bookmarkStart w:id="4" w:name="_Toc219175638"/>
      <w:bookmarkStart w:id="5" w:name="_Toc518923126"/>
      <w:bookmarkStart w:id="6" w:name="_Toc507399906"/>
      <w:bookmarkStart w:id="7" w:name="_Toc4879"/>
      <w:bookmarkStart w:id="8" w:name="_Toc218935354"/>
      <w:bookmarkStart w:id="9" w:name="_Toc512937852"/>
      <w:bookmarkStart w:id="10" w:name="_Toc10695"/>
      <w:bookmarkStart w:id="11" w:name="_Toc216582825"/>
      <w:bookmarkStart w:id="12" w:name="_Toc16938"/>
      <w:r>
        <w:rPr>
          <w:rFonts w:hint="eastAsia" w:ascii="仿宋" w:hAnsi="仿宋" w:eastAsia="仿宋" w:cs="仿宋"/>
          <w:color w:val="auto"/>
          <w:highlight w:val="none"/>
          <w:lang w:val="en-US" w:eastAsia="zh-CN"/>
        </w:rPr>
        <w:t xml:space="preserve">                     </w:t>
      </w:r>
      <w:bookmarkStart w:id="13" w:name="_Toc25666"/>
      <w:bookmarkStart w:id="14" w:name="_Toc28258"/>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需求</w:t>
      </w:r>
      <w:bookmarkEnd w:id="3"/>
      <w:bookmarkEnd w:id="4"/>
      <w:bookmarkEnd w:id="5"/>
      <w:bookmarkEnd w:id="6"/>
      <w:bookmarkEnd w:id="7"/>
      <w:bookmarkEnd w:id="8"/>
      <w:bookmarkEnd w:id="9"/>
      <w:bookmarkEnd w:id="10"/>
      <w:bookmarkEnd w:id="11"/>
      <w:bookmarkEnd w:id="12"/>
      <w:bookmarkEnd w:id="13"/>
      <w:bookmarkEnd w:id="14"/>
    </w:p>
    <w:p>
      <w:pPr>
        <w:pStyle w:val="10"/>
        <w:rPr>
          <w:rFonts w:hint="eastAsia" w:ascii="仿宋" w:hAnsi="仿宋" w:eastAsia="仿宋" w:cs="仿宋"/>
          <w:b/>
          <w:bCs/>
          <w:color w:val="auto"/>
          <w:sz w:val="24"/>
          <w:szCs w:val="24"/>
          <w:highlight w:val="none"/>
          <w:lang w:val="en-US" w:eastAsia="zh-CN"/>
        </w:rPr>
      </w:pPr>
    </w:p>
    <w:p>
      <w:pPr>
        <w:pStyle w:val="10"/>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一 、采购内容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必须提供至少(5辆5座SUV、5辆7座中型商务车、2辆16座以上中巴车以及2辆35座以上大型客车),均包含驾驶员并保证满足以上数量的车辆正常使用为采购人提供服务，具备国家行政主管部门颁发且在有效期内的《道路运输经营许可证》或具有国家交通运输部门颁发的有效的《汽车租赁经营备案证》,提供许可证明扫描件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2、车辆要求：所有车辆需证照齐全、合法、有效，车况良好，技术性能良好，车内需具有空调系统，保证空调正常运转。(提供行驶</w:t>
      </w:r>
      <w:r>
        <w:rPr>
          <w:rFonts w:hint="eastAsia" w:ascii="仿宋" w:hAnsi="仿宋" w:eastAsia="仿宋" w:cs="仿宋"/>
          <w:sz w:val="28"/>
          <w:szCs w:val="28"/>
          <w:highlight w:val="none"/>
        </w:rPr>
        <w:t>证扫描件附在响应文件中)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3、车辆配备驾驶员要求：具有驾龄在</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年以上，年龄30周岁-55周岁。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4、必须提供上述所有车型有效期内《中华人民共和国机动车行驶证》,否则视为无效响应。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5、车辆所需检车费、税</w:t>
      </w:r>
      <w:r>
        <w:rPr>
          <w:rFonts w:hint="eastAsia" w:ascii="仿宋" w:hAnsi="仿宋" w:eastAsia="仿宋" w:cs="仿宋"/>
          <w:sz w:val="28"/>
          <w:szCs w:val="28"/>
        </w:rPr>
        <w:t>费、车辆燃料费，过路费、停车费、车辆的保养、保险及维修费，驾驶员工资、食宿及与之相关的一切费用等均有供应商承担。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6、车辆出现任何交通事故、违章、罚款均由中标方承担。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7、费用包括但不限于车辆使用费、燃油费、停车费、过路费、过桥费、高速费、维修费、违章违纪罚款、保险、司机服务费(含司机食宿)及驾驶员造成的其他费用，不因油价上涨等原因调整协议单价。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8、中标方必须安排一名车辆管理人员与采购服务项目单位保持每天24小时沟通和联系。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9、出租方购买承运人责任险的保额需达到每个座位20万元人民币以上，第三者责任险需达到200万元以上。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二、服务方案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投标人针对本项目提供项目服务方案，内容包含但不限于：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1、整体管理思路(内容包括整体思路、管理服务理念、管理目标、管理制度)2、管理职责分工(内容包括人员组成、员工行为规范、内部管理的职责分工、人员稳定措施等);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3、统一管理、统一调度，明确租赁服务内容。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4、服务质量承诺与考核方案；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5、服务标准管理规章制度(职业道德，遵守法律，服从管理)等内容；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三 、应急预案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投标人针对本项目提供应急预案包含不限于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1、包括交通事故；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2、车辆更换等响应时间；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4、应急保障及救援措施等内容。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四 、质量标准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1.租赁车辆符合国家标准化管理委员会批准发布的汽车领域相关国家标准。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2.租赁车辆为国家道路运输管理部门认可的专业检测机构检测合格并颁发车辆行驶证及年检标志。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3.供应商负责为租赁车辆配备足额保险，必须包括车辆交强险、车损险、第三者责任险、驾乘意外险等。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rPr>
      </w:pPr>
      <w:r>
        <w:rPr>
          <w:rFonts w:hint="eastAsia" w:ascii="仿宋" w:hAnsi="仿宋" w:eastAsia="仿宋" w:cs="仿宋"/>
          <w:b/>
          <w:bCs/>
          <w:sz w:val="28"/>
          <w:szCs w:val="28"/>
        </w:rPr>
        <w:t>五、车辆公司要求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1.汽车公司车队管理良好，有具体管理人员。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2.有固定经营场所、近三年内无重大质量投诉记录、不良记录、经济纠纷及安全责任事故。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3.有营业执照、经营许可证或经营备案证、保险保单。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车辆出租单位必须是车辆所有权单位，本项目不接受个人投标，不接受联合体投标。与采购人存在利害关系可能影响采购活动公正性的法人、其他组织或者个人，不得参加投标。单位负责人为同一人或者存在控股、管理关系的不同单位，不得同时参加同一项目的投标。成交供应商必须独立完成中标任务，不能出现中标项目转包、分包等情况。</w:t>
      </w:r>
    </w:p>
    <w:p>
      <w:pPr>
        <w:rPr>
          <w:rFonts w:hint="eastAsia" w:ascii="仿宋" w:hAnsi="仿宋" w:eastAsia="仿宋" w:cs="仿宋"/>
        </w:rPr>
      </w:pP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、售后服务</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1、提供的本项目车辆维修和维护保养设施(提供定点协议);</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2、车辆状态监测、保养、管理方案；</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3、保障车辆长期、可靠、有效地运行保证措施及旅游旺季必须保障采购人正常租车需求承诺；</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4、驾驶人员定期安全培训方案。</w:t>
      </w:r>
    </w:p>
    <w:p>
      <w:pPr>
        <w:keepNext w:val="0"/>
        <w:keepLines w:val="0"/>
        <w:pageBreakBefore w:val="0"/>
        <w:widowControl w:val="0"/>
        <w:kinsoku/>
        <w:wordWrap/>
        <w:overflowPunct/>
        <w:topLinePunct w:val="0"/>
        <w:autoSpaceDE/>
        <w:autoSpaceDN/>
        <w:bidi w:val="0"/>
        <w:adjustRightInd/>
        <w:snapToGrid/>
        <w:spacing w:line="240" w:lineRule="auto"/>
        <w:ind w:left="560" w:hanging="562" w:hanging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 xml:space="preserve"> 、其它要求</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1、供应商须提供完全满足采购需求的服务，否则不能成为中标商。</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2、供应商承担项目中所需要的全部材料、配件和各类费用，负责办理与本项目相关的各类手续。</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3、供应商在报价中须包括含检车费、税费、车辆燃料费费，过路费、停车费、车辆的保养、保险及维修费，驾驶员工资、食宿及与之相关的一切费用。</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4、如交付使用时间违约，每天按合同总价的0.3%罚款，罚款最多为 总价5%。</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7、采购人严格按照采购要求和供应商相关承诺组织验收，否则由于不认真或虚假验收出现的质量问题，采购人负相应的责任。</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8、</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年我中心公务用车租赁服务交通费用的财政预算大约为</w:t>
      </w:r>
      <w:r>
        <w:rPr>
          <w:rFonts w:hint="eastAsia" w:ascii="仿宋" w:hAnsi="仿宋" w:eastAsia="仿宋" w:cs="仿宋"/>
          <w:sz w:val="28"/>
          <w:szCs w:val="28"/>
          <w:highlight w:val="none"/>
          <w:lang w:val="en-US" w:eastAsia="zh-CN"/>
        </w:rPr>
        <w:t>54.23</w:t>
      </w:r>
      <w:r>
        <w:rPr>
          <w:rFonts w:hint="eastAsia" w:ascii="仿宋" w:hAnsi="仿宋" w:eastAsia="仿宋" w:cs="仿宋"/>
          <w:sz w:val="28"/>
          <w:szCs w:val="28"/>
          <w:highlight w:val="none"/>
        </w:rPr>
        <w:t>万元，</w:t>
      </w:r>
      <w:r>
        <w:rPr>
          <w:rFonts w:hint="eastAsia" w:ascii="仿宋" w:hAnsi="仿宋" w:eastAsia="仿宋" w:cs="仿宋"/>
          <w:sz w:val="28"/>
          <w:szCs w:val="28"/>
          <w:highlight w:val="yellow"/>
        </w:rPr>
        <w:t>合同金额以实际产生的费用为准，据实结算。</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none"/>
        </w:rPr>
        <w:t>9、成交后采购单位要进行实车验证。</w:t>
      </w:r>
      <w:r>
        <w:rPr>
          <w:rFonts w:hint="eastAsia" w:ascii="仿宋" w:hAnsi="仿宋" w:eastAsia="仿宋" w:cs="仿宋"/>
          <w:sz w:val="28"/>
          <w:szCs w:val="28"/>
          <w:highlight w:val="yellow"/>
        </w:rPr>
        <w:t>旅游旺季必须保障我们单位正常租车需求。</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10、服务期限：合同签订后执行一年， 一年合同期满后，经采购人及有关部门对中标供应商进行全面评价，评价合格，可延续合同，不超过3年，结算方式不变。</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lang w:val="en-US" w:eastAsia="zh-CN"/>
        </w:rPr>
        <w:t>八</w:t>
      </w:r>
      <w:r>
        <w:rPr>
          <w:rFonts w:hint="eastAsia" w:ascii="仿宋" w:hAnsi="仿宋" w:eastAsia="仿宋" w:cs="仿宋"/>
          <w:sz w:val="28"/>
          <w:szCs w:val="28"/>
        </w:rPr>
        <w:t>、</w:t>
      </w:r>
      <w:r>
        <w:rPr>
          <w:rFonts w:hint="eastAsia" w:ascii="仿宋" w:hAnsi="仿宋" w:eastAsia="仿宋" w:cs="仿宋"/>
          <w:sz w:val="28"/>
          <w:szCs w:val="28"/>
          <w:highlight w:val="yellow"/>
        </w:rPr>
        <w:t>付款方式：按合同期限内实际使用量进行结算</w:t>
      </w:r>
      <w:r>
        <w:rPr>
          <w:rFonts w:hint="eastAsia" w:ascii="仿宋" w:hAnsi="仿宋" w:eastAsia="仿宋" w:cs="仿宋"/>
          <w:sz w:val="28"/>
          <w:szCs w:val="28"/>
        </w:rPr>
        <w:t>。</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据实结算</w:t>
      </w:r>
      <w:r>
        <w:rPr>
          <w:rFonts w:hint="eastAsia" w:ascii="仿宋" w:hAnsi="仿宋" w:eastAsia="仿宋" w:cs="仿宋"/>
          <w:sz w:val="28"/>
          <w:szCs w:val="28"/>
          <w:highlight w:val="yellow"/>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、验收单位：</w:t>
      </w:r>
      <w:r>
        <w:rPr>
          <w:rFonts w:hint="eastAsia" w:ascii="仿宋" w:hAnsi="仿宋" w:eastAsia="仿宋" w:cs="仿宋"/>
          <w:sz w:val="28"/>
          <w:szCs w:val="28"/>
          <w:lang w:val="en-US" w:eastAsia="zh-CN"/>
        </w:rPr>
        <w:t>喀什地区疾病预防控制中心（喀什地区卫生监督所）</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rPr>
        <w:t>十、验收标准：检查车辆的购置年限，刹车性能是否良好，空调的运行状况，车辆是否存在质量问题、安全隐患，备胎、随车工具，三脚架、灭火器等是否齐全有效；查看随车的行驶证、是否通过年审，查明车辆投保情况、交强险和商业险凭证是否完备及其投保额度，仔细检查车辆车灯是否完整、车锁是否正 常等</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十十一</w:t>
      </w:r>
      <w:r>
        <w:rPr>
          <w:rFonts w:hint="eastAsia" w:ascii="仿宋" w:hAnsi="仿宋" w:eastAsia="仿宋" w:cs="仿宋"/>
          <w:sz w:val="28"/>
          <w:szCs w:val="28"/>
        </w:rPr>
        <w:t>、</w:t>
      </w:r>
      <w:r>
        <w:rPr>
          <w:rFonts w:hint="eastAsia" w:ascii="仿宋" w:hAnsi="仿宋" w:eastAsia="仿宋" w:cs="仿宋"/>
          <w:sz w:val="28"/>
          <w:szCs w:val="28"/>
          <w:lang w:val="en-US" w:eastAsia="zh-CN"/>
        </w:rPr>
        <w:t>成交</w:t>
      </w:r>
      <w:r>
        <w:rPr>
          <w:rFonts w:hint="eastAsia" w:ascii="仿宋" w:hAnsi="仿宋" w:eastAsia="仿宋" w:cs="仿宋"/>
          <w:sz w:val="28"/>
          <w:szCs w:val="28"/>
        </w:rPr>
        <w:t>通知书发出后在3</w:t>
      </w:r>
      <w:r>
        <w:rPr>
          <w:rFonts w:hint="eastAsia" w:ascii="仿宋" w:hAnsi="仿宋" w:eastAsia="仿宋" w:cs="仿宋"/>
          <w:sz w:val="28"/>
          <w:szCs w:val="28"/>
          <w:lang w:val="en-US" w:eastAsia="zh-CN"/>
        </w:rPr>
        <w:t>0</w:t>
      </w:r>
      <w:r>
        <w:rPr>
          <w:rFonts w:hint="eastAsia" w:ascii="仿宋" w:hAnsi="仿宋" w:eastAsia="仿宋" w:cs="仿宋"/>
          <w:sz w:val="28"/>
          <w:szCs w:val="28"/>
        </w:rPr>
        <w:t>日内签订政府采购合同，若第一</w:t>
      </w:r>
      <w:r>
        <w:rPr>
          <w:rFonts w:hint="eastAsia" w:ascii="仿宋" w:hAnsi="仿宋" w:eastAsia="仿宋" w:cs="仿宋"/>
          <w:sz w:val="28"/>
          <w:szCs w:val="28"/>
          <w:lang w:eastAsia="zh-CN"/>
        </w:rPr>
        <w:t>成交人</w:t>
      </w:r>
      <w:r>
        <w:rPr>
          <w:rFonts w:hint="eastAsia" w:ascii="仿宋" w:hAnsi="仿宋" w:eastAsia="仿宋" w:cs="仿宋"/>
          <w:sz w:val="28"/>
          <w:szCs w:val="28"/>
        </w:rPr>
        <w:t>拒绝签订政府采购合同，将取消中标资格，应当承担相应的法律责任。确定下一候选人为</w:t>
      </w:r>
      <w:r>
        <w:rPr>
          <w:rFonts w:hint="eastAsia" w:ascii="仿宋" w:hAnsi="仿宋" w:eastAsia="仿宋" w:cs="仿宋"/>
          <w:sz w:val="28"/>
          <w:szCs w:val="28"/>
          <w:lang w:eastAsia="zh-CN"/>
        </w:rPr>
        <w:t>成交人</w:t>
      </w:r>
      <w:r>
        <w:rPr>
          <w:rFonts w:hint="eastAsia" w:ascii="仿宋" w:hAnsi="仿宋" w:eastAsia="仿宋" w:cs="仿宋"/>
          <w:sz w:val="28"/>
          <w:szCs w:val="28"/>
        </w:rPr>
        <w:t>，也可以重新开展政府采购活动。</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b/>
          <w:color w:val="auto"/>
          <w:highlight w:val="none"/>
        </w:rPr>
      </w:pPr>
      <w:r>
        <w:rPr>
          <w:rFonts w:hint="eastAsia" w:ascii="仿宋" w:hAnsi="仿宋" w:eastAsia="仿宋" w:cs="仿宋"/>
          <w:sz w:val="28"/>
          <w:szCs w:val="28"/>
          <w:lang w:val="en-US" w:eastAsia="zh-CN"/>
        </w:rPr>
        <w:t>十三、投标价格含:履行期限内产生的设备费、人员费用、税费等所有费用。（</w:t>
      </w:r>
      <w:r>
        <w:rPr>
          <w:rFonts w:hint="eastAsia" w:ascii="仿宋" w:hAnsi="仿宋" w:eastAsia="仿宋" w:cs="仿宋"/>
          <w:sz w:val="28"/>
          <w:szCs w:val="28"/>
        </w:rPr>
        <w:t>中标单位必须向</w:t>
      </w:r>
      <w:r>
        <w:rPr>
          <w:rFonts w:hint="eastAsia" w:ascii="仿宋" w:hAnsi="仿宋" w:eastAsia="仿宋" w:cs="仿宋"/>
          <w:sz w:val="28"/>
          <w:szCs w:val="28"/>
          <w:lang w:eastAsia="zh-CN"/>
        </w:rPr>
        <w:t>甲方提供合同金额等额</w:t>
      </w:r>
      <w:r>
        <w:rPr>
          <w:rFonts w:hint="eastAsia" w:ascii="仿宋" w:hAnsi="仿宋" w:eastAsia="仿宋" w:cs="仿宋"/>
          <w:sz w:val="28"/>
          <w:szCs w:val="28"/>
        </w:rPr>
        <w:t>发票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b/>
          <w:color w:val="auto"/>
          <w:highlight w:val="none"/>
        </w:rPr>
        <w:t xml:space="preserve"> </w:t>
      </w:r>
    </w:p>
    <w:p>
      <w:pPr>
        <w:rPr>
          <w:rFonts w:hint="eastAsia" w:ascii="仿宋" w:hAnsi="仿宋" w:eastAsia="仿宋" w:cs="仿宋"/>
        </w:rPr>
        <w:sectPr>
          <w:footerReference r:id="rId3" w:type="default"/>
          <w:pgSz w:w="11900" w:h="16840"/>
          <w:pgMar w:top="1218" w:right="1765" w:bottom="1226" w:left="1785" w:header="0" w:footer="1099"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7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r>
      <w:rPr>
        <w:rFonts w:ascii="Times New Roman" w:hAnsi="Times New Roman" w:eastAsia="Times New Roman" w:cs="Times New Roman"/>
        <w:b/>
        <w:bCs/>
        <w:spacing w:val="-1"/>
        <w:sz w:val="14"/>
        <w:szCs w:val="14"/>
      </w:rPr>
      <w:t>42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D3059"/>
    <w:rsid w:val="07395851"/>
    <w:rsid w:val="20916D06"/>
    <w:rsid w:val="29223220"/>
    <w:rsid w:val="3FAF1056"/>
    <w:rsid w:val="42A54069"/>
    <w:rsid w:val="5BD14A2D"/>
    <w:rsid w:val="682D3059"/>
    <w:rsid w:val="6B4029EA"/>
    <w:rsid w:val="6E484990"/>
    <w:rsid w:val="7F85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unhideWhenUsed/>
    <w:qFormat/>
    <w:uiPriority w:val="0"/>
    <w:pPr>
      <w:adjustRightInd w:val="0"/>
      <w:spacing w:beforeLines="0" w:afterLines="0" w:line="315" w:lineRule="atLeast"/>
      <w:ind w:left="2520"/>
      <w:jc w:val="left"/>
      <w:textAlignment w:val="baseline"/>
    </w:pPr>
    <w:rPr>
      <w:rFonts w:hint="eastAsia" w:ascii="宋体"/>
      <w:kern w:val="0"/>
      <w:sz w:val="21"/>
    </w:rPr>
  </w:style>
  <w:style w:type="character" w:styleId="8">
    <w:name w:val="page number"/>
    <w:basedOn w:val="7"/>
    <w:qFormat/>
    <w:uiPriority w:val="0"/>
  </w:style>
  <w:style w:type="table" w:customStyle="1" w:styleId="9">
    <w:name w:val="Table Normal"/>
    <w:unhideWhenUsed/>
    <w:qFormat/>
    <w:uiPriority w:val="0"/>
    <w:tblPr>
      <w:tblLayout w:type="fixed"/>
      <w:tblCellMar>
        <w:top w:w="0" w:type="dxa"/>
        <w:left w:w="0" w:type="dxa"/>
        <w:bottom w:w="0" w:type="dxa"/>
        <w:right w:w="0" w:type="dxa"/>
      </w:tblCellMar>
    </w:tblPr>
  </w:style>
  <w:style w:type="paragraph" w:customStyle="1" w:styleId="10">
    <w:name w:val="Default"/>
    <w:next w:val="5"/>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2025-06-23T11:42:00Z</dcterms:created>
  <dc:creator>Lenovo</dc:creator>
  <cp:lastModifiedBy>Lenovo</cp:lastModifiedBy>
  <dcterms:modified xsi:type="dcterms:W3CDTF">2025-06-24T10:33:34Z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