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9929E">
      <w:pPr>
        <w:jc w:val="center"/>
        <w:rPr>
          <w:rFonts w:hint="eastAsia" w:ascii="黑体" w:hAnsi="黑体" w:eastAsia="黑体" w:cs="黑体"/>
          <w:b/>
          <w:bCs/>
          <w:color w:val="000000"/>
          <w:sz w:val="36"/>
          <w:szCs w:val="36"/>
        </w:rPr>
      </w:pPr>
      <w:r>
        <w:rPr>
          <w:rFonts w:hint="eastAsia" w:ascii="黑体" w:hAnsi="黑体" w:eastAsia="黑体" w:cs="黑体"/>
          <w:b/>
          <w:bCs/>
          <w:color w:val="000000"/>
          <w:sz w:val="36"/>
          <w:szCs w:val="36"/>
        </w:rPr>
        <w:t>新疆维吾尔自治区喀什地区第一人民医院</w:t>
      </w:r>
    </w:p>
    <w:p w14:paraId="16274D15">
      <w:pPr>
        <w:jc w:val="center"/>
        <w:rPr>
          <w:rFonts w:hint="eastAsia" w:ascii="黑体" w:hAnsi="黑体" w:eastAsia="黑体" w:cs="黑体"/>
          <w:b/>
          <w:bCs/>
          <w:color w:val="000000"/>
          <w:sz w:val="36"/>
          <w:szCs w:val="36"/>
        </w:rPr>
      </w:pPr>
      <w:r>
        <w:rPr>
          <w:rFonts w:hint="eastAsia" w:ascii="黑体" w:hAnsi="黑体" w:eastAsia="黑体" w:cs="黑体"/>
          <w:b/>
          <w:bCs/>
          <w:color w:val="000000"/>
          <w:sz w:val="36"/>
          <w:szCs w:val="36"/>
        </w:rPr>
        <w:t>重点实验室系统能力升级建设项目</w:t>
      </w:r>
    </w:p>
    <w:p w14:paraId="5E123BD7">
      <w:pPr>
        <w:ind w:firstLine="540" w:firstLineChars="200"/>
        <w:rPr>
          <w:rStyle w:val="8"/>
          <w:rFonts w:hint="eastAsia" w:ascii="微软雅黑" w:hAnsi="微软雅黑" w:eastAsia="微软雅黑" w:cs="微软雅黑"/>
          <w:color w:val="000000"/>
          <w:kern w:val="0"/>
          <w:sz w:val="27"/>
          <w:szCs w:val="27"/>
          <w:lang w:bidi="ar"/>
        </w:rPr>
      </w:pPr>
      <w:r>
        <w:rPr>
          <w:rStyle w:val="8"/>
          <w:rFonts w:hint="eastAsia" w:ascii="微软雅黑" w:hAnsi="微软雅黑" w:eastAsia="微软雅黑" w:cs="微软雅黑"/>
          <w:color w:val="000000"/>
          <w:sz w:val="27"/>
          <w:szCs w:val="27"/>
        </w:rPr>
        <w:t>一、</w:t>
      </w:r>
      <w:r>
        <w:rPr>
          <w:rStyle w:val="8"/>
          <w:rFonts w:hint="eastAsia" w:ascii="微软雅黑" w:hAnsi="微软雅黑" w:eastAsia="微软雅黑" w:cs="微软雅黑"/>
          <w:color w:val="000000"/>
          <w:kern w:val="0"/>
          <w:sz w:val="27"/>
          <w:szCs w:val="27"/>
          <w:lang w:bidi="ar"/>
        </w:rPr>
        <w:t>项目概要：</w:t>
      </w:r>
    </w:p>
    <w:p w14:paraId="31ADDE93">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根据喀什地区第一人民医院重点实验室建设任务要求，为满足重点实验室基础平台建设相关需求，拟采购相关存储设备、数据增值设备、网络设备以及其他配套系统平台设备等，并做好系统优化、配套软件开发和接口对接工作。</w:t>
      </w:r>
    </w:p>
    <w:p w14:paraId="0943EA85">
      <w:pPr>
        <w:ind w:firstLine="540" w:firstLineChars="200"/>
        <w:rPr>
          <w:rStyle w:val="8"/>
          <w:rFonts w:hint="eastAsia" w:ascii="微软雅黑" w:hAnsi="微软雅黑" w:eastAsia="微软雅黑" w:cs="微软雅黑"/>
          <w:color w:val="000000"/>
          <w:kern w:val="0"/>
          <w:sz w:val="27"/>
          <w:szCs w:val="27"/>
          <w:lang w:bidi="ar"/>
        </w:rPr>
      </w:pPr>
      <w:r>
        <w:rPr>
          <w:rStyle w:val="8"/>
          <w:rFonts w:hint="eastAsia" w:ascii="微软雅黑" w:hAnsi="微软雅黑" w:eastAsia="微软雅黑" w:cs="微软雅黑"/>
          <w:color w:val="000000"/>
          <w:kern w:val="0"/>
          <w:sz w:val="27"/>
          <w:szCs w:val="27"/>
          <w:lang w:bidi="ar"/>
        </w:rPr>
        <w:t>二、建设内容：</w:t>
      </w:r>
    </w:p>
    <w:p w14:paraId="7D52530F">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本项目拟根据医院重点实验室医学影像平台能力建设需求进行影像辅助诊断平台存储能力扩容，建设智能影像业务运维系统，完成结核病影像数据迁移工作，并提供平台硬件配套建设。主要建设内容详见附件清单。</w:t>
      </w:r>
    </w:p>
    <w:p w14:paraId="6D524806">
      <w:pPr>
        <w:ind w:firstLine="540" w:firstLineChars="200"/>
        <w:rPr>
          <w:rStyle w:val="8"/>
          <w:rFonts w:hint="eastAsia" w:ascii="微软雅黑" w:hAnsi="微软雅黑" w:eastAsia="微软雅黑" w:cs="微软雅黑"/>
          <w:color w:val="000000"/>
          <w:kern w:val="0"/>
          <w:sz w:val="27"/>
          <w:szCs w:val="27"/>
          <w:lang w:bidi="ar"/>
        </w:rPr>
      </w:pPr>
      <w:r>
        <w:rPr>
          <w:rStyle w:val="8"/>
          <w:rFonts w:hint="eastAsia" w:ascii="微软雅黑" w:hAnsi="微软雅黑" w:eastAsia="微软雅黑" w:cs="微软雅黑"/>
          <w:color w:val="000000"/>
          <w:kern w:val="0"/>
          <w:sz w:val="27"/>
          <w:szCs w:val="27"/>
          <w:lang w:bidi="ar"/>
        </w:rPr>
        <w:t>三、建设需求概要清单：</w:t>
      </w:r>
    </w:p>
    <w:p w14:paraId="7DDE87E4">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详见“附件”。</w:t>
      </w:r>
    </w:p>
    <w:p w14:paraId="3A8A611A">
      <w:pPr>
        <w:ind w:firstLine="540" w:firstLineChars="200"/>
        <w:rPr>
          <w:rStyle w:val="8"/>
          <w:rFonts w:hint="eastAsia" w:ascii="微软雅黑" w:hAnsi="微软雅黑" w:eastAsia="微软雅黑" w:cs="微软雅黑"/>
          <w:color w:val="000000"/>
          <w:kern w:val="0"/>
          <w:sz w:val="27"/>
          <w:szCs w:val="27"/>
          <w:lang w:bidi="ar"/>
        </w:rPr>
      </w:pPr>
      <w:r>
        <w:rPr>
          <w:rStyle w:val="8"/>
          <w:rFonts w:hint="eastAsia" w:ascii="微软雅黑" w:hAnsi="微软雅黑" w:eastAsia="微软雅黑" w:cs="微软雅黑"/>
          <w:color w:val="000000"/>
          <w:kern w:val="0"/>
          <w:sz w:val="27"/>
          <w:szCs w:val="27"/>
          <w:lang w:bidi="ar"/>
        </w:rPr>
        <w:t>四、供应商资质要求：</w:t>
      </w:r>
    </w:p>
    <w:p w14:paraId="1D3E2E28">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1.具有独立承担民事责任的能力具备三证合一营业执照副本；（提供证明材料并加盖供应商公章）</w:t>
      </w:r>
    </w:p>
    <w:p w14:paraId="20911ECC">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2.满足《中华人民共和国政府采购法》第二十二条规定；</w:t>
      </w:r>
    </w:p>
    <w:p w14:paraId="2BD1DBBB">
      <w:pPr>
        <w:spacing w:line="360" w:lineRule="auto"/>
        <w:ind w:firstLine="480" w:firstLineChars="200"/>
        <w:rPr>
          <w:rFonts w:hint="eastAsia" w:ascii="宋体" w:hAnsi="宋体" w:eastAsia="宋体" w:cs="宋体"/>
          <w:color w:val="000000"/>
          <w:kern w:val="0"/>
          <w:sz w:val="24"/>
          <w:lang w:bidi="ar"/>
        </w:rPr>
      </w:pPr>
      <w:r>
        <w:rPr>
          <w:rFonts w:hint="eastAsia" w:ascii="微软雅黑" w:hAnsi="微软雅黑" w:eastAsia="微软雅黑" w:cs="微软雅黑"/>
          <w:b/>
          <w:bCs/>
          <w:color w:val="000000"/>
          <w:kern w:val="0"/>
          <w:sz w:val="24"/>
          <w:lang w:bidi="ar"/>
        </w:rPr>
        <w:t>★</w:t>
      </w:r>
      <w:r>
        <w:rPr>
          <w:rFonts w:hint="eastAsia" w:ascii="宋体" w:hAnsi="宋体" w:eastAsia="宋体" w:cs="宋体"/>
          <w:color w:val="000000"/>
          <w:kern w:val="0"/>
          <w:sz w:val="24"/>
          <w:lang w:bidi="ar"/>
        </w:rPr>
        <w:t>3.落实政府采购政策需满足的资格要求：供应商为中小微企业；（提供证明材料并加盖供应商公章）</w:t>
      </w:r>
    </w:p>
    <w:p w14:paraId="71E836AB">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4.有依法缴纳税收和社会保障资金的良好记录，提供近六个月任意一个月的依法缴纳税的完税证明和缴纳社保的证明;</w:t>
      </w:r>
    </w:p>
    <w:p w14:paraId="50ACF65E">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5.具有良好的商业信誉和健全的财务会计制度，提供近3年（2021年-2023年）任意一年的第三方审计报告;</w:t>
      </w:r>
    </w:p>
    <w:p w14:paraId="0A3CA952">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6.在新疆地区拥有机构及技术服务团队并提供证明文件（租赁合同、人员社保记录）；</w:t>
      </w:r>
    </w:p>
    <w:p w14:paraId="77EF7CDA">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7.相关软件的研发及取得的相应知识产权，在项目后期的技术转让、成果转化过程中不存在产生任何知识产权纠纷风险；</w:t>
      </w:r>
      <w:bookmarkStart w:id="1" w:name="_GoBack"/>
      <w:bookmarkEnd w:id="1"/>
    </w:p>
    <w:p w14:paraId="2ACC0E80">
      <w:pPr>
        <w:spacing w:line="360" w:lineRule="auto"/>
        <w:ind w:firstLine="482" w:firstLineChars="200"/>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★8.本项目的特定资格要求：</w:t>
      </w:r>
    </w:p>
    <w:p w14:paraId="2423B134">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参加本次招标项目的供应商，如在“信用中国”（www.creditchina.gov.cn）、国家企业信用信息公示系统（http://www.gsxt.gov.cn）和“中国政府采购网”（www.ccgp.gov.cn），被列入失信被执行人、重大税收违法案件当事人名单、政府采购不良行为记录、经营异常名录、政府采购严重违法失信行为记录名单（尚在处罚期内），将拒绝其参加本次采购活动。（提供查询结果网页截图并加盖供应商公章）</w:t>
      </w:r>
    </w:p>
    <w:p w14:paraId="6C5F0439">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（2）采购活动近三年内，在经营活动中无重大违法记录(提供书面声明并加盖公章)。</w:t>
      </w:r>
    </w:p>
    <w:p w14:paraId="71E2E305">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9.投标企业在本项目中所投主要产品需提供3年原厂售后服务承诺函加盖厂商公章。</w:t>
      </w:r>
    </w:p>
    <w:p w14:paraId="31AA32F0">
      <w:pPr>
        <w:pStyle w:val="5"/>
        <w:widowControl/>
        <w:spacing w:before="38" w:beforeAutospacing="0" w:after="38" w:afterAutospacing="0"/>
        <w:ind w:firstLine="540" w:firstLineChars="200"/>
        <w:rPr>
          <w:rFonts w:hint="eastAsia" w:ascii="仿宋" w:hAnsi="仿宋" w:eastAsia="仿宋" w:cs="仿宋"/>
          <w:color w:val="000000"/>
          <w:kern w:val="2"/>
          <w:sz w:val="32"/>
          <w:szCs w:val="32"/>
        </w:rPr>
      </w:pPr>
      <w:r>
        <w:rPr>
          <w:rStyle w:val="8"/>
          <w:rFonts w:hint="eastAsia" w:ascii="微软雅黑" w:hAnsi="微软雅黑" w:eastAsia="微软雅黑" w:cs="微软雅黑"/>
          <w:color w:val="000000"/>
          <w:sz w:val="27"/>
          <w:szCs w:val="27"/>
        </w:rPr>
        <w:t>五</w:t>
      </w:r>
      <w:r>
        <w:rPr>
          <w:rStyle w:val="8"/>
          <w:rFonts w:ascii="微软雅黑" w:hAnsi="微软雅黑" w:eastAsia="微软雅黑" w:cs="微软雅黑"/>
          <w:color w:val="000000"/>
          <w:sz w:val="27"/>
          <w:szCs w:val="27"/>
        </w:rPr>
        <w:t>、商务要求</w:t>
      </w:r>
    </w:p>
    <w:p w14:paraId="45BBB6D9">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产品自完成整体验收之日起，供应商提供为期三年的免费维保服务（以下简称“质保期”）。质保期内出现故障时，乙方须做到随时响应，2小时内派工程师远程故障处理。若无法远程处理故障，24小时内到达现场处理(提供书面承诺并加盖公章)。</w:t>
      </w:r>
    </w:p>
    <w:p w14:paraId="7607A057">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2.成交方须按照要求进行采购设备的安装和调试并对采购方技术人员进行软硬件日常使用、常见故障处理等系统维护培训。</w:t>
      </w:r>
    </w:p>
    <w:p w14:paraId="2FA1A0B5">
      <w:pPr>
        <w:spacing w:line="360" w:lineRule="auto"/>
        <w:ind w:firstLine="480" w:firstLineChars="200"/>
        <w:rPr>
          <w:rFonts w:hint="eastAsia" w:ascii="宋体" w:hAnsi="宋体" w:eastAsia="宋体" w:cs="宋体"/>
          <w:b/>
          <w:bCs/>
          <w:color w:val="FF0000"/>
          <w:kern w:val="0"/>
          <w:sz w:val="24"/>
          <w:lang w:bidi="ar"/>
        </w:rPr>
      </w:pPr>
      <w:r>
        <w:rPr>
          <w:rFonts w:hint="eastAsia" w:ascii="微软雅黑" w:hAnsi="微软雅黑" w:eastAsia="微软雅黑" w:cs="微软雅黑"/>
          <w:b/>
          <w:bCs/>
          <w:color w:val="FF0000"/>
          <w:kern w:val="0"/>
          <w:sz w:val="24"/>
          <w:lang w:bidi="ar"/>
        </w:rPr>
        <w:t>★</w:t>
      </w:r>
      <w:r>
        <w:rPr>
          <w:rFonts w:hint="eastAsia" w:ascii="宋体" w:hAnsi="宋体" w:eastAsia="宋体" w:cs="宋体"/>
          <w:b/>
          <w:bCs/>
          <w:color w:val="FF0000"/>
          <w:kern w:val="0"/>
          <w:sz w:val="24"/>
          <w:lang w:bidi="ar"/>
        </w:rPr>
        <w:t>3.成交方负责本项目的数据的迁移工作。</w:t>
      </w:r>
    </w:p>
    <w:p w14:paraId="7507D9B6">
      <w:pPr>
        <w:spacing w:line="360" w:lineRule="auto"/>
        <w:ind w:firstLine="482" w:firstLineChars="200"/>
        <w:rPr>
          <w:rFonts w:hint="eastAsia" w:ascii="宋体" w:hAnsi="宋体" w:eastAsia="宋体" w:cs="宋体"/>
          <w:b/>
          <w:bCs/>
          <w:color w:val="FF0000"/>
          <w:kern w:val="0"/>
          <w:sz w:val="24"/>
          <w:lang w:bidi="ar"/>
        </w:rPr>
      </w:pPr>
      <w:r>
        <w:rPr>
          <w:rFonts w:hint="eastAsia" w:ascii="宋体" w:hAnsi="宋体" w:eastAsia="宋体" w:cs="宋体"/>
          <w:b/>
          <w:bCs/>
          <w:color w:val="FF0000"/>
          <w:kern w:val="0"/>
          <w:sz w:val="24"/>
          <w:lang w:bidi="ar"/>
        </w:rPr>
        <w:t>5.不按照要求或恶意低价竞标供应商视为恶意竞价，将纳入平台黑名单，三年禁入政采云平台。</w:t>
      </w:r>
    </w:p>
    <w:p w14:paraId="4E766BF1">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6.供应商所提供的所有产品需根据附件清单要求提供实质性证明材料，星号项不允许出现负偏离。</w:t>
      </w:r>
    </w:p>
    <w:p w14:paraId="0224BB8C">
      <w:pPr>
        <w:pStyle w:val="5"/>
        <w:widowControl/>
        <w:spacing w:before="38" w:beforeAutospacing="0" w:after="38" w:afterAutospacing="0"/>
        <w:ind w:firstLine="540" w:firstLineChars="200"/>
        <w:rPr>
          <w:rFonts w:hint="eastAsia" w:ascii="微软雅黑" w:hAnsi="微软雅黑" w:eastAsia="微软雅黑" w:cs="微软雅黑"/>
          <w:color w:val="000000"/>
          <w:sz w:val="27"/>
          <w:szCs w:val="27"/>
        </w:rPr>
      </w:pPr>
      <w:r>
        <w:rPr>
          <w:rStyle w:val="8"/>
          <w:rFonts w:hint="eastAsia" w:ascii="微软雅黑" w:hAnsi="微软雅黑" w:eastAsia="微软雅黑" w:cs="微软雅黑"/>
          <w:color w:val="000000"/>
          <w:sz w:val="27"/>
          <w:szCs w:val="27"/>
        </w:rPr>
        <w:t>六、收货信息</w:t>
      </w:r>
    </w:p>
    <w:p w14:paraId="28AD5BF6">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送货方式：送货上门 </w:t>
      </w:r>
    </w:p>
    <w:p w14:paraId="265042E1">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送货时间：工作日10:00至18:00 </w:t>
      </w:r>
    </w:p>
    <w:p w14:paraId="0ECF9C88">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送货期限：按合同约定 </w:t>
      </w:r>
    </w:p>
    <w:p w14:paraId="77EC2973">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送货地址：新疆维吾尔自治区 喀什地区疏附县二号路1号粤丰国际家具城b栋 喀什广东科学技术研究院 </w:t>
      </w:r>
    </w:p>
    <w:p w14:paraId="767A2B7A">
      <w:pPr>
        <w:spacing w:line="360" w:lineRule="auto"/>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送货备注： --</w:t>
      </w:r>
    </w:p>
    <w:p w14:paraId="403A7B3A">
      <w:pPr>
        <w:pStyle w:val="5"/>
        <w:widowControl/>
        <w:spacing w:before="38" w:beforeAutospacing="0" w:after="38" w:afterAutospacing="0"/>
        <w:ind w:firstLine="540" w:firstLineChars="200"/>
        <w:rPr>
          <w:rStyle w:val="8"/>
          <w:rFonts w:hint="eastAsia" w:ascii="微软雅黑" w:hAnsi="微软雅黑" w:eastAsia="微软雅黑" w:cs="微软雅黑"/>
          <w:color w:val="000000"/>
          <w:sz w:val="27"/>
          <w:szCs w:val="27"/>
        </w:rPr>
      </w:pPr>
      <w:r>
        <w:rPr>
          <w:rStyle w:val="8"/>
          <w:rFonts w:hint="eastAsia" w:ascii="微软雅黑" w:hAnsi="微软雅黑" w:eastAsia="微软雅黑" w:cs="微软雅黑"/>
          <w:color w:val="000000"/>
          <w:sz w:val="27"/>
          <w:szCs w:val="27"/>
        </w:rPr>
        <w:t>七、其他补充事宜</w:t>
      </w:r>
    </w:p>
    <w:p w14:paraId="76B6823F">
      <w:pPr>
        <w:spacing w:line="360" w:lineRule="auto"/>
        <w:ind w:firstLine="482" w:firstLineChars="200"/>
        <w:rPr>
          <w:rFonts w:hint="eastAsia" w:ascii="宋体" w:hAnsi="宋体" w:eastAsia="宋体" w:cs="宋体"/>
          <w:b/>
          <w:bCs/>
          <w:color w:val="FF0000"/>
          <w:kern w:val="0"/>
          <w:sz w:val="24"/>
          <w:lang w:bidi="ar"/>
        </w:rPr>
      </w:pPr>
      <w:r>
        <w:rPr>
          <w:rFonts w:hint="eastAsia" w:ascii="宋体" w:hAnsi="宋体" w:eastAsia="宋体" w:cs="宋体"/>
          <w:b/>
          <w:bCs/>
          <w:color w:val="FF0000"/>
          <w:kern w:val="0"/>
          <w:sz w:val="24"/>
          <w:lang w:bidi="ar"/>
        </w:rPr>
        <w:t>2、请参与竞价企业量力而行，不得恶意竞价。若出现成交后无法提供货物者，本单位将上报有关部门，将其列入政府采购黑名单。</w:t>
      </w:r>
    </w:p>
    <w:p w14:paraId="55607672">
      <w:pPr>
        <w:rPr>
          <w:rFonts w:ascii="Times New Roman" w:hAnsi="Times New Roman" w:eastAsia="宋体" w:cs="Times New Roman"/>
          <w:b/>
          <w:bCs/>
          <w:color w:val="000000"/>
          <w:kern w:val="0"/>
          <w:sz w:val="24"/>
          <w:lang w:bidi="ar"/>
        </w:rPr>
      </w:pPr>
      <w:r>
        <w:rPr>
          <w:rFonts w:hint="eastAsia" w:ascii="Times New Roman" w:hAnsi="Times New Roman" w:eastAsia="宋体" w:cs="Times New Roman"/>
          <w:b/>
          <w:bCs/>
          <w:color w:val="000000"/>
          <w:kern w:val="0"/>
          <w:sz w:val="24"/>
          <w:lang w:bidi="ar"/>
        </w:rPr>
        <w:br w:type="page"/>
      </w:r>
    </w:p>
    <w:p w14:paraId="63124480">
      <w:pPr>
        <w:spacing w:line="360" w:lineRule="auto"/>
        <w:rPr>
          <w:rFonts w:ascii="Times New Roman" w:hAnsi="Times New Roman" w:eastAsia="宋体" w:cs="Times New Roman"/>
          <w:b/>
          <w:bCs/>
          <w:color w:val="000000"/>
          <w:kern w:val="0"/>
          <w:sz w:val="24"/>
          <w:lang w:bidi="ar"/>
        </w:rPr>
      </w:pPr>
      <w:r>
        <w:rPr>
          <w:rFonts w:hint="eastAsia" w:ascii="Times New Roman" w:hAnsi="Times New Roman" w:eastAsia="宋体" w:cs="Times New Roman"/>
          <w:b/>
          <w:bCs/>
          <w:color w:val="000000"/>
          <w:kern w:val="0"/>
          <w:sz w:val="24"/>
          <w:lang w:bidi="ar"/>
        </w:rPr>
        <w:t>附件：</w:t>
      </w:r>
    </w:p>
    <w:tbl>
      <w:tblPr>
        <w:tblStyle w:val="6"/>
        <w:tblW w:w="542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108" w:type="dxa"/>
          <w:bottom w:w="0" w:type="dxa"/>
          <w:right w:w="108" w:type="dxa"/>
        </w:tblCellMar>
      </w:tblPr>
      <w:tblGrid>
        <w:gridCol w:w="508"/>
        <w:gridCol w:w="666"/>
        <w:gridCol w:w="5297"/>
        <w:gridCol w:w="707"/>
        <w:gridCol w:w="668"/>
        <w:gridCol w:w="1402"/>
      </w:tblGrid>
      <w:tr w14:paraId="68FA6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5000" w:type="pct"/>
            <w:gridSpan w:val="6"/>
            <w:tcBorders>
              <w:tl2br w:val="nil"/>
              <w:tr2bl w:val="nil"/>
            </w:tcBorders>
            <w:shd w:val="clear" w:color="auto" w:fill="FFFFFF" w:themeFill="background1"/>
            <w:vAlign w:val="center"/>
          </w:tcPr>
          <w:p w14:paraId="25DB5FB2">
            <w:pPr>
              <w:widowControl/>
              <w:jc w:val="center"/>
              <w:textAlignment w:val="center"/>
              <w:rPr>
                <w:rFonts w:hint="eastAsia" w:ascii="黑体" w:hAnsi="黑体" w:eastAsia="黑体" w:cs="黑体"/>
                <w:b/>
                <w:bCs/>
                <w:color w:val="000000"/>
                <w:kern w:val="0"/>
                <w:sz w:val="24"/>
                <w:lang w:bidi="ar"/>
              </w:rPr>
            </w:pPr>
            <w:r>
              <w:rPr>
                <w:rFonts w:hint="eastAsia" w:ascii="黑体" w:hAnsi="黑体" w:eastAsia="黑体" w:cs="黑体"/>
                <w:b/>
                <w:bCs/>
                <w:color w:val="000000"/>
                <w:kern w:val="0"/>
                <w:sz w:val="24"/>
                <w:lang w:bidi="ar"/>
              </w:rPr>
              <w:t>重点实验室系统能力升级建设项目采购参数清单</w:t>
            </w:r>
          </w:p>
        </w:tc>
      </w:tr>
      <w:tr w14:paraId="5C236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275" w:type="pct"/>
            <w:tcBorders>
              <w:tl2br w:val="nil"/>
              <w:tr2bl w:val="nil"/>
            </w:tcBorders>
            <w:shd w:val="clear" w:color="auto" w:fill="FFFFFF" w:themeFill="background1"/>
            <w:vAlign w:val="center"/>
          </w:tcPr>
          <w:p w14:paraId="2B547DAB">
            <w:pPr>
              <w:spacing w:line="360" w:lineRule="auto"/>
              <w:jc w:val="center"/>
              <w:rPr>
                <w:rFonts w:hint="eastAsia" w:ascii="黑体" w:hAnsi="黑体" w:eastAsia="黑体" w:cs="黑体"/>
                <w:b/>
                <w:bCs/>
                <w:color w:val="000000"/>
                <w:kern w:val="0"/>
                <w:sz w:val="20"/>
                <w:szCs w:val="20"/>
                <w:lang w:bidi="ar"/>
              </w:rPr>
            </w:pPr>
            <w:r>
              <w:rPr>
                <w:rFonts w:hint="eastAsia" w:ascii="黑体" w:hAnsi="黑体" w:eastAsia="黑体" w:cs="黑体"/>
                <w:b/>
                <w:bCs/>
                <w:color w:val="000000"/>
                <w:kern w:val="0"/>
                <w:sz w:val="20"/>
                <w:szCs w:val="20"/>
                <w:lang w:bidi="ar"/>
              </w:rPr>
              <w:t>序号</w:t>
            </w:r>
          </w:p>
        </w:tc>
        <w:tc>
          <w:tcPr>
            <w:tcW w:w="360" w:type="pct"/>
            <w:tcBorders>
              <w:tl2br w:val="nil"/>
              <w:tr2bl w:val="nil"/>
            </w:tcBorders>
            <w:shd w:val="clear" w:color="auto" w:fill="FFFFFF" w:themeFill="background1"/>
            <w:vAlign w:val="center"/>
          </w:tcPr>
          <w:p w14:paraId="54969F0B">
            <w:pPr>
              <w:spacing w:line="360" w:lineRule="auto"/>
              <w:jc w:val="center"/>
              <w:rPr>
                <w:rFonts w:hint="eastAsia" w:ascii="黑体" w:hAnsi="黑体" w:eastAsia="黑体" w:cs="黑体"/>
                <w:b/>
                <w:bCs/>
                <w:color w:val="000000"/>
                <w:kern w:val="0"/>
                <w:sz w:val="20"/>
                <w:szCs w:val="20"/>
                <w:lang w:bidi="ar"/>
              </w:rPr>
            </w:pPr>
            <w:r>
              <w:rPr>
                <w:rFonts w:hint="eastAsia" w:ascii="黑体" w:hAnsi="黑体" w:eastAsia="黑体" w:cs="黑体"/>
                <w:b/>
                <w:bCs/>
                <w:color w:val="000000"/>
                <w:kern w:val="0"/>
                <w:sz w:val="20"/>
                <w:szCs w:val="20"/>
                <w:lang w:bidi="ar"/>
              </w:rPr>
              <w:t>名称</w:t>
            </w:r>
          </w:p>
        </w:tc>
        <w:tc>
          <w:tcPr>
            <w:tcW w:w="2864" w:type="pct"/>
            <w:tcBorders>
              <w:tl2br w:val="nil"/>
              <w:tr2bl w:val="nil"/>
            </w:tcBorders>
            <w:shd w:val="clear" w:color="auto" w:fill="FFFFFF" w:themeFill="background1"/>
            <w:vAlign w:val="center"/>
          </w:tcPr>
          <w:p w14:paraId="4673D1F1">
            <w:pPr>
              <w:spacing w:line="360" w:lineRule="auto"/>
              <w:jc w:val="center"/>
              <w:rPr>
                <w:rFonts w:hint="eastAsia" w:ascii="黑体" w:hAnsi="黑体" w:eastAsia="黑体" w:cs="黑体"/>
                <w:b/>
                <w:bCs/>
                <w:color w:val="000000"/>
                <w:kern w:val="0"/>
                <w:sz w:val="20"/>
                <w:szCs w:val="20"/>
                <w:lang w:bidi="ar"/>
              </w:rPr>
            </w:pPr>
            <w:r>
              <w:rPr>
                <w:rFonts w:hint="eastAsia" w:ascii="黑体" w:hAnsi="黑体" w:eastAsia="黑体" w:cs="黑体"/>
                <w:b/>
                <w:bCs/>
                <w:color w:val="000000"/>
                <w:kern w:val="0"/>
                <w:sz w:val="20"/>
                <w:szCs w:val="20"/>
                <w:lang w:bidi="ar"/>
              </w:rPr>
              <w:t>规格</w:t>
            </w:r>
          </w:p>
        </w:tc>
        <w:tc>
          <w:tcPr>
            <w:tcW w:w="382" w:type="pct"/>
            <w:tcBorders>
              <w:tl2br w:val="nil"/>
              <w:tr2bl w:val="nil"/>
            </w:tcBorders>
            <w:shd w:val="clear" w:color="auto" w:fill="FFFFFF" w:themeFill="background1"/>
            <w:vAlign w:val="center"/>
          </w:tcPr>
          <w:p w14:paraId="35A3575A">
            <w:pPr>
              <w:spacing w:line="360" w:lineRule="auto"/>
              <w:jc w:val="center"/>
              <w:rPr>
                <w:rFonts w:hint="eastAsia" w:ascii="黑体" w:hAnsi="黑体" w:eastAsia="黑体" w:cs="黑体"/>
                <w:b/>
                <w:bCs/>
                <w:color w:val="000000"/>
                <w:kern w:val="0"/>
                <w:sz w:val="20"/>
                <w:szCs w:val="20"/>
                <w:lang w:bidi="ar"/>
              </w:rPr>
            </w:pPr>
            <w:r>
              <w:rPr>
                <w:rFonts w:hint="eastAsia" w:ascii="黑体" w:hAnsi="黑体" w:eastAsia="黑体" w:cs="黑体"/>
                <w:b/>
                <w:bCs/>
                <w:color w:val="000000"/>
                <w:kern w:val="0"/>
                <w:sz w:val="20"/>
                <w:szCs w:val="20"/>
                <w:lang w:bidi="ar"/>
              </w:rPr>
              <w:t>数量</w:t>
            </w:r>
          </w:p>
        </w:tc>
        <w:tc>
          <w:tcPr>
            <w:tcW w:w="361" w:type="pct"/>
            <w:tcBorders>
              <w:tl2br w:val="nil"/>
              <w:tr2bl w:val="nil"/>
            </w:tcBorders>
            <w:shd w:val="clear" w:color="auto" w:fill="FFFFFF" w:themeFill="background1"/>
            <w:vAlign w:val="center"/>
          </w:tcPr>
          <w:p w14:paraId="0D643EB0">
            <w:pPr>
              <w:spacing w:line="360" w:lineRule="auto"/>
              <w:jc w:val="center"/>
              <w:rPr>
                <w:rFonts w:hint="eastAsia" w:ascii="黑体" w:hAnsi="黑体" w:eastAsia="黑体" w:cs="黑体"/>
                <w:b/>
                <w:bCs/>
                <w:color w:val="000000"/>
                <w:kern w:val="0"/>
                <w:sz w:val="20"/>
                <w:szCs w:val="20"/>
                <w:lang w:bidi="ar"/>
              </w:rPr>
            </w:pPr>
            <w:r>
              <w:rPr>
                <w:rFonts w:hint="eastAsia" w:ascii="黑体" w:hAnsi="黑体" w:eastAsia="黑体" w:cs="黑体"/>
                <w:b/>
                <w:bCs/>
                <w:color w:val="000000"/>
                <w:kern w:val="0"/>
                <w:sz w:val="20"/>
                <w:szCs w:val="20"/>
                <w:lang w:bidi="ar"/>
              </w:rPr>
              <w:t>单位</w:t>
            </w:r>
          </w:p>
        </w:tc>
        <w:tc>
          <w:tcPr>
            <w:tcW w:w="758" w:type="pct"/>
            <w:tcBorders>
              <w:tl2br w:val="nil"/>
              <w:tr2bl w:val="nil"/>
            </w:tcBorders>
            <w:shd w:val="clear" w:color="auto" w:fill="FFFFFF" w:themeFill="background1"/>
            <w:vAlign w:val="center"/>
          </w:tcPr>
          <w:p w14:paraId="2E33209A">
            <w:pPr>
              <w:spacing w:line="360" w:lineRule="auto"/>
              <w:jc w:val="center"/>
              <w:rPr>
                <w:rFonts w:hint="eastAsia" w:ascii="黑体" w:hAnsi="黑体" w:eastAsia="黑体" w:cs="黑体"/>
                <w:b/>
                <w:bCs/>
                <w:color w:val="000000"/>
                <w:kern w:val="0"/>
                <w:sz w:val="20"/>
                <w:szCs w:val="20"/>
                <w:lang w:bidi="ar"/>
              </w:rPr>
            </w:pPr>
            <w:r>
              <w:rPr>
                <w:rFonts w:hint="eastAsia" w:ascii="黑体" w:hAnsi="黑体" w:eastAsia="黑体" w:cs="黑体"/>
                <w:b/>
                <w:bCs/>
                <w:color w:val="000000"/>
                <w:kern w:val="0"/>
                <w:sz w:val="20"/>
                <w:szCs w:val="20"/>
                <w:lang w:bidi="ar"/>
              </w:rPr>
              <w:t>备注</w:t>
            </w:r>
          </w:p>
        </w:tc>
      </w:tr>
      <w:tr w14:paraId="087D0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5" w:type="pct"/>
            <w:tcBorders>
              <w:tl2br w:val="nil"/>
              <w:tr2bl w:val="nil"/>
            </w:tcBorders>
            <w:shd w:val="clear" w:color="auto" w:fill="FFFFFF" w:themeFill="background1"/>
            <w:vAlign w:val="center"/>
          </w:tcPr>
          <w:p w14:paraId="1EAA62FA">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1</w:t>
            </w:r>
          </w:p>
        </w:tc>
        <w:tc>
          <w:tcPr>
            <w:tcW w:w="360" w:type="pct"/>
            <w:tcBorders>
              <w:tl2br w:val="nil"/>
              <w:tr2bl w:val="nil"/>
            </w:tcBorders>
            <w:shd w:val="clear" w:color="auto" w:fill="FFFFFF" w:themeFill="background1"/>
            <w:vAlign w:val="center"/>
          </w:tcPr>
          <w:p w14:paraId="339A30F0">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影像辅助诊断平台存储能力扩容</w:t>
            </w:r>
          </w:p>
        </w:tc>
        <w:tc>
          <w:tcPr>
            <w:tcW w:w="2864" w:type="pct"/>
            <w:tcBorders>
              <w:tl2br w:val="nil"/>
              <w:tr2bl w:val="nil"/>
            </w:tcBorders>
            <w:shd w:val="clear" w:color="auto" w:fill="FFFFFF" w:themeFill="background1"/>
            <w:vAlign w:val="center"/>
          </w:tcPr>
          <w:p w14:paraId="3BC66DE5">
            <w:pPr>
              <w:widowControl/>
              <w:jc w:val="left"/>
              <w:textAlignment w:val="center"/>
              <w:rPr>
                <w:rFonts w:hint="eastAsia" w:ascii="宋体" w:hAnsi="宋体" w:eastAsia="宋体" w:cs="宋体"/>
                <w:kern w:val="0"/>
                <w:sz w:val="18"/>
                <w:szCs w:val="18"/>
              </w:rPr>
            </w:pPr>
            <w:r>
              <w:rPr>
                <w:rFonts w:ascii="宋体" w:hAnsi="宋体" w:eastAsia="宋体" w:cs="宋体"/>
                <w:b/>
                <w:bCs/>
                <w:kern w:val="0"/>
                <w:sz w:val="18"/>
                <w:szCs w:val="18"/>
              </w:rPr>
              <w:t>★</w:t>
            </w:r>
            <w:r>
              <w:rPr>
                <w:rFonts w:hint="eastAsia" w:ascii="宋体" w:hAnsi="宋体" w:eastAsia="宋体" w:cs="宋体"/>
                <w:kern w:val="0"/>
                <w:sz w:val="18"/>
                <w:szCs w:val="18"/>
              </w:rPr>
              <w:t>1、国产品牌，设备制造商拥有自主知识产权且最主要的业务是存储产品的专业存储厂商，非OEM品牌或联合品牌，拥有属于自身品牌的IEEE OUI地址段；（提供IEEE官网查询结果截图，加盖原厂鲜章）</w:t>
            </w:r>
          </w:p>
          <w:p w14:paraId="09256C0E">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2、分布式集群NAS存储，采购EC或多副本冗余机制，单套分布式集群NAS存储最低硬件配置要求：CPU核心数≥48核，缓存≥ 256GB，≥8个万兆光口并配置多模模块，配置4块的企业级480GB SSD硬盘作为系统盘，配置冗余的≥4块3.84TB NVMe SSD作为元数据盘，数据磁盘≥24块16TB 硬盘，配置冗余电源，配置欧拉操作系统。</w:t>
            </w:r>
          </w:p>
          <w:p w14:paraId="1687CAE0">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3、单套分布式集群NAS存储需支持在线扩容，既可以横向扩容，也可以纵向扩容JBOD盘柜。</w:t>
            </w:r>
          </w:p>
          <w:p w14:paraId="4E492D87">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4、集群配置异构管理模块，同一个集群内能同时支持不同芯片的服务器并组成集群，包括但不限于国产申威、龙芯、飞腾、鲲鹏以及通用 X86 架构服务器的异构统一管理，融合成单一存储系统。</w:t>
            </w:r>
          </w:p>
          <w:p w14:paraId="3C0B3D38">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5、分布式存储系统支持单节点、双节点部署、 三节点及以上部署，支持存储在线扩容。</w:t>
            </w:r>
          </w:p>
          <w:p w14:paraId="37014F6E">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6、</w:t>
            </w:r>
            <w:r>
              <w:rPr>
                <w:rFonts w:hint="eastAsia" w:ascii="宋体" w:hAnsi="宋体" w:eastAsia="宋体" w:cs="宋体"/>
                <w:kern w:val="0"/>
                <w:sz w:val="18"/>
                <w:szCs w:val="18"/>
              </w:rPr>
              <w:t>支持并提供以目录为单位设定数据保护策略，可同时对目录配置多副本、N+M纠删码及 文件RAID冗余模式，可根据数据重要程度对各级目录和子目录灵活设置不同的目录冗余模式，目录深度不限。</w:t>
            </w:r>
          </w:p>
          <w:p w14:paraId="069C4923">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7、</w:t>
            </w:r>
            <w:r>
              <w:rPr>
                <w:rFonts w:hint="eastAsia" w:ascii="宋体" w:hAnsi="宋体" w:eastAsia="宋体" w:cs="宋体"/>
                <w:kern w:val="0"/>
                <w:sz w:val="18"/>
                <w:szCs w:val="18"/>
              </w:rPr>
              <w:t>同一个集群和同一节点内同时提供块存储、文件存储、对象存储服务。</w:t>
            </w:r>
          </w:p>
          <w:p w14:paraId="4DADE89C">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8、</w:t>
            </w:r>
            <w:r>
              <w:rPr>
                <w:rFonts w:hint="eastAsia" w:ascii="宋体" w:hAnsi="宋体" w:eastAsia="宋体" w:cs="宋体"/>
                <w:kern w:val="0"/>
                <w:sz w:val="18"/>
                <w:szCs w:val="18"/>
              </w:rPr>
              <w:t>配置QoS限制每秒创建的文件个数、每秒删除的文件个数、每秒创建目录的个数、每秒删除目录的个数、每秒检索的次数、每秒使用readdir接口的个数。</w:t>
            </w:r>
          </w:p>
          <w:p w14:paraId="3F832DE4">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9、</w:t>
            </w:r>
            <w:r>
              <w:rPr>
                <w:rFonts w:hint="eastAsia" w:ascii="宋体" w:hAnsi="宋体" w:eastAsia="宋体" w:cs="宋体"/>
                <w:kern w:val="0"/>
                <w:sz w:val="18"/>
                <w:szCs w:val="18"/>
              </w:rPr>
              <w:t>配置存储系统，自带客户端以及用户访问权限机制，可设置客户端以及用户对存储系统中任意数据的读、写、删除、重命名、链接、列表的权限，此权限机制为存储系统权限，不允许采用LDAP、AD域等第三方权限管理软件实现。</w:t>
            </w:r>
          </w:p>
          <w:p w14:paraId="56B7EA9E">
            <w:pPr>
              <w:widowControl/>
              <w:jc w:val="left"/>
              <w:textAlignment w:val="center"/>
              <w:rPr>
                <w:rFonts w:hint="eastAsia" w:ascii="宋体" w:hAnsi="宋体" w:eastAsia="宋体" w:cs="宋体"/>
                <w:kern w:val="0"/>
                <w:sz w:val="18"/>
                <w:szCs w:val="18"/>
              </w:rPr>
            </w:pPr>
            <w:r>
              <w:rPr>
                <w:rFonts w:hint="eastAsia" w:ascii="宋体" w:hAnsi="宋体" w:eastAsia="宋体" w:cs="宋体"/>
                <w:sz w:val="18"/>
                <w:szCs w:val="18"/>
              </w:rPr>
              <w:t>10、</w:t>
            </w:r>
            <w:r>
              <w:rPr>
                <w:rFonts w:hint="eastAsia" w:ascii="宋体" w:hAnsi="宋体" w:eastAsia="宋体" w:cs="宋体"/>
                <w:kern w:val="0"/>
                <w:sz w:val="18"/>
                <w:szCs w:val="18"/>
              </w:rPr>
              <w:t>同时提供文件级和块级快照功能：当存储设备发生应用故障或者文件损坏时可将数据恢复至某个可用的时间点的状态；快照须采用增量快照，不允许Copy完整数据进行快照，快照仅占用很少的存储空间，快照数量可达到十万级；支持定时快照。</w:t>
            </w:r>
          </w:p>
          <w:p w14:paraId="2D8E62A1">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11、配置冷数据扫描功能，针对长时间未使用的数据，通过设置周期性数据扫描预知磁盘是否损坏以及进行数据自动恢复。</w:t>
            </w:r>
          </w:p>
          <w:p w14:paraId="44632ED3">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12、在后端存储节点内部完成数据快速复制，三节点集群可一秒内完成1TB数据快速内部复制。</w:t>
            </w:r>
          </w:p>
          <w:p w14:paraId="25A2D4AB">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13、提供数据追溯，系统能够准确的体现具体某个文件的数据写入客户端 ID、写入时间、数据删除客户端ID、删除时间的详细记录。</w:t>
            </w:r>
          </w:p>
          <w:p w14:paraId="620C628C">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14、</w:t>
            </w:r>
            <w:bookmarkStart w:id="0" w:name="_Hlk156917412"/>
            <w:r>
              <w:rPr>
                <w:rFonts w:hint="eastAsia" w:ascii="宋体" w:hAnsi="宋体" w:eastAsia="宋体" w:cs="宋体"/>
                <w:kern w:val="0"/>
                <w:sz w:val="18"/>
                <w:szCs w:val="18"/>
              </w:rPr>
              <w:t>配置防病毒扫描功能，支持标准的防病毒协议</w:t>
            </w:r>
            <w:bookmarkEnd w:id="0"/>
            <w:r>
              <w:rPr>
                <w:rFonts w:hint="eastAsia" w:ascii="宋体" w:hAnsi="宋体" w:eastAsia="宋体" w:cs="宋体"/>
                <w:kern w:val="0"/>
                <w:sz w:val="18"/>
                <w:szCs w:val="18"/>
              </w:rPr>
              <w:t>。</w:t>
            </w:r>
            <w:r>
              <w:rPr>
                <w:rFonts w:ascii="宋体" w:hAnsi="宋体" w:eastAsia="宋体" w:cs="宋体"/>
                <w:kern w:val="0"/>
                <w:sz w:val="18"/>
                <w:szCs w:val="18"/>
              </w:rPr>
              <w:t xml:space="preserve"> </w:t>
            </w:r>
          </w:p>
          <w:p w14:paraId="50306FC6">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15、配置文件名过滤策略，既支持设置允许写入哪些文件类型，也支持设置禁止写入哪些文件类型，支持在线修改过滤策略，保证系统安全，受控文件类型包括但不限于E</w:t>
            </w:r>
            <w:r>
              <w:rPr>
                <w:rFonts w:ascii="宋体" w:hAnsi="宋体" w:eastAsia="宋体" w:cs="宋体"/>
                <w:kern w:val="0"/>
                <w:sz w:val="18"/>
                <w:szCs w:val="18"/>
              </w:rPr>
              <w:t>XE</w:t>
            </w:r>
            <w:r>
              <w:rPr>
                <w:rFonts w:hint="eastAsia" w:ascii="宋体" w:hAnsi="宋体" w:eastAsia="宋体" w:cs="宋体"/>
                <w:kern w:val="0"/>
                <w:sz w:val="18"/>
                <w:szCs w:val="18"/>
              </w:rPr>
              <w:t>、B</w:t>
            </w:r>
            <w:r>
              <w:rPr>
                <w:rFonts w:ascii="宋体" w:hAnsi="宋体" w:eastAsia="宋体" w:cs="宋体"/>
                <w:kern w:val="0"/>
                <w:sz w:val="18"/>
                <w:szCs w:val="18"/>
              </w:rPr>
              <w:t>AT</w:t>
            </w:r>
            <w:r>
              <w:rPr>
                <w:rFonts w:hint="eastAsia" w:ascii="宋体" w:hAnsi="宋体" w:eastAsia="宋体" w:cs="宋体"/>
                <w:kern w:val="0"/>
                <w:sz w:val="18"/>
                <w:szCs w:val="18"/>
              </w:rPr>
              <w:t>、TS、MPG、MXF、XML、TXT。</w:t>
            </w:r>
          </w:p>
          <w:p w14:paraId="0A7ABF94">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16、</w:t>
            </w:r>
            <w:r>
              <w:rPr>
                <w:rFonts w:hint="eastAsia" w:ascii="宋体" w:hAnsi="宋体" w:eastAsia="宋体" w:cs="宋体"/>
                <w:sz w:val="18"/>
                <w:szCs w:val="18"/>
              </w:rPr>
              <w:t>★</w:t>
            </w:r>
            <w:r>
              <w:rPr>
                <w:rFonts w:hint="eastAsia" w:ascii="宋体" w:hAnsi="宋体" w:eastAsia="宋体" w:cs="宋体"/>
                <w:kern w:val="0"/>
                <w:sz w:val="18"/>
                <w:szCs w:val="18"/>
              </w:rPr>
              <w:t>支持块设备动态在线扩容，单套系统内不限制块设备的数量；单个块设备的容量无限制，支持在线扩展至存储系统的总容量。（提供具备CNAS(中国合格评定国家认可委员会)资质的三方权威评测机构签字盖章的测试报告，并加盖原厂鲜章）</w:t>
            </w:r>
          </w:p>
          <w:p w14:paraId="7E84DEE0">
            <w:pPr>
              <w:widowControl/>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17、配置统一管理功能，支持管理第三方存储设备。</w:t>
            </w:r>
          </w:p>
          <w:p w14:paraId="1B9DDDF9">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18、</w:t>
            </w:r>
            <w:r>
              <w:rPr>
                <w:rFonts w:hint="eastAsia" w:ascii="宋体" w:hAnsi="宋体" w:eastAsia="宋体" w:cs="宋体"/>
                <w:kern w:val="0"/>
                <w:sz w:val="18"/>
                <w:szCs w:val="18"/>
              </w:rPr>
              <w:t>可针对目录设置QoS限速，支持基于目录设置每秒的写宽带大小、每秒的读宽带大小、每秒的写iops、每秒的读iops、每秒创建文件/文件夹的速率、每秒删除文件/文件夹的速率、每秒遍历文件的速率、每秒重命名速率，支持针对用户/用户组设置目录QoS。</w:t>
            </w:r>
          </w:p>
          <w:p w14:paraId="468659C1">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19、★售后服务（提供原厂授权函及售后服务承诺函）：</w:t>
            </w:r>
          </w:p>
          <w:p w14:paraId="3BB13686">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20、提供原厂三年免费上门软硬件技术支持与售后服务（包括硬件保修和软件升级）</w:t>
            </w:r>
          </w:p>
        </w:tc>
        <w:tc>
          <w:tcPr>
            <w:tcW w:w="382" w:type="pct"/>
            <w:tcBorders>
              <w:tl2br w:val="nil"/>
              <w:tr2bl w:val="nil"/>
            </w:tcBorders>
            <w:shd w:val="clear" w:color="auto" w:fill="FFFFFF" w:themeFill="background1"/>
            <w:vAlign w:val="center"/>
          </w:tcPr>
          <w:p w14:paraId="29D1FC5D">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1</w:t>
            </w:r>
          </w:p>
        </w:tc>
        <w:tc>
          <w:tcPr>
            <w:tcW w:w="361" w:type="pct"/>
            <w:tcBorders>
              <w:tl2br w:val="nil"/>
              <w:tr2bl w:val="nil"/>
            </w:tcBorders>
            <w:shd w:val="clear" w:color="auto" w:fill="FFFFFF" w:themeFill="background1"/>
            <w:vAlign w:val="center"/>
          </w:tcPr>
          <w:p w14:paraId="6C57BE55">
            <w:pPr>
              <w:jc w:val="center"/>
              <w:rPr>
                <w:rFonts w:hint="eastAsia" w:ascii="宋体" w:hAnsi="宋体" w:eastAsia="宋体" w:cs="宋体"/>
                <w:sz w:val="18"/>
                <w:szCs w:val="18"/>
              </w:rPr>
            </w:pPr>
            <w:r>
              <w:rPr>
                <w:rFonts w:hint="eastAsia" w:ascii="宋体" w:hAnsi="宋体" w:eastAsia="宋体" w:cs="宋体"/>
                <w:sz w:val="18"/>
                <w:szCs w:val="18"/>
              </w:rPr>
              <w:t>套</w:t>
            </w:r>
          </w:p>
        </w:tc>
        <w:tc>
          <w:tcPr>
            <w:tcW w:w="758" w:type="pct"/>
            <w:tcBorders>
              <w:tl2br w:val="nil"/>
              <w:tr2bl w:val="nil"/>
            </w:tcBorders>
            <w:shd w:val="clear" w:color="auto" w:fill="FFFFFF" w:themeFill="background1"/>
            <w:vAlign w:val="center"/>
          </w:tcPr>
          <w:p w14:paraId="36759C10">
            <w:pPr>
              <w:jc w:val="center"/>
              <w:rPr>
                <w:rFonts w:hint="eastAsia" w:ascii="宋体" w:hAnsi="宋体" w:eastAsia="宋体" w:cs="宋体"/>
                <w:sz w:val="18"/>
                <w:szCs w:val="18"/>
              </w:rPr>
            </w:pPr>
            <w:r>
              <w:rPr>
                <w:rFonts w:hint="eastAsia" w:ascii="宋体" w:hAnsi="宋体" w:eastAsia="宋体" w:cs="宋体"/>
                <w:sz w:val="18"/>
                <w:szCs w:val="18"/>
              </w:rPr>
              <w:t>274500元</w:t>
            </w:r>
          </w:p>
        </w:tc>
      </w:tr>
      <w:tr w14:paraId="66CA8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c>
          <w:tcPr>
            <w:tcW w:w="275" w:type="pct"/>
            <w:tcBorders>
              <w:tl2br w:val="nil"/>
              <w:tr2bl w:val="nil"/>
            </w:tcBorders>
            <w:shd w:val="clear" w:color="auto" w:fill="FFFFFF" w:themeFill="background1"/>
            <w:vAlign w:val="center"/>
          </w:tcPr>
          <w:p w14:paraId="4986729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360" w:type="pct"/>
            <w:tcBorders>
              <w:tl2br w:val="nil"/>
              <w:tr2bl w:val="nil"/>
            </w:tcBorders>
            <w:shd w:val="clear" w:color="auto" w:fill="FFFFFF" w:themeFill="background1"/>
            <w:vAlign w:val="center"/>
          </w:tcPr>
          <w:p w14:paraId="45E6999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结核病影像辅助诊断数据迁移</w:t>
            </w:r>
          </w:p>
        </w:tc>
        <w:tc>
          <w:tcPr>
            <w:tcW w:w="2864" w:type="pct"/>
            <w:tcBorders>
              <w:tl2br w:val="nil"/>
              <w:tr2bl w:val="nil"/>
            </w:tcBorders>
            <w:shd w:val="clear" w:color="auto" w:fill="FFFFFF" w:themeFill="background1"/>
            <w:vAlign w:val="center"/>
          </w:tcPr>
          <w:p w14:paraId="22F085B3">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规格要求：</w:t>
            </w:r>
          </w:p>
          <w:p w14:paraId="0045E5AB">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w:t>
            </w:r>
            <w:r>
              <w:rPr>
                <w:rFonts w:hint="eastAsia" w:ascii="宋体" w:hAnsi="宋体" w:eastAsia="宋体" w:cs="宋体"/>
                <w:color w:val="000000"/>
                <w:kern w:val="0"/>
                <w:sz w:val="18"/>
                <w:szCs w:val="18"/>
                <w:lang w:bidi="ar"/>
              </w:rPr>
              <w:t>系统架构</w:t>
            </w:r>
          </w:p>
          <w:p w14:paraId="14888918">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要求采用B/S模式，全中文界面，易操作。具备完全的自主知识产权，支持国产化操作系统安装部署。</w:t>
            </w:r>
          </w:p>
          <w:p w14:paraId="55002B7F">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2.数据迁移要求</w:t>
            </w:r>
          </w:p>
          <w:p w14:paraId="02917DD0">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w:t>
            </w:r>
            <w:r>
              <w:rPr>
                <w:rFonts w:hint="eastAsia" w:ascii="宋体" w:hAnsi="宋体" w:eastAsia="宋体" w:cs="宋体"/>
                <w:color w:val="000000"/>
                <w:kern w:val="0"/>
                <w:sz w:val="18"/>
                <w:szCs w:val="18"/>
                <w:lang w:bidi="ar"/>
              </w:rPr>
              <w:t>1要求与喀什地区肺结核精准防治平台进行无缝对接，在不中断或暂停喀什地区肺结核精准防治平台运行的前提下实现数据平稳迁移。</w:t>
            </w:r>
          </w:p>
          <w:p w14:paraId="229455FA">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须对现有全部数据进行备份并校验数据完整可用后，保证随时可进行业务与数据回溯，方可进行数据迁移。</w:t>
            </w:r>
          </w:p>
          <w:p w14:paraId="2FB32141">
            <w:pPr>
              <w:widowControl/>
              <w:jc w:val="left"/>
              <w:textAlignment w:val="center"/>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3在进行数据迁移时，必须首先满足系统正常运行最基本的条件，在时间进度以及人力、物力能够得到充足保障的情况下，再进行其他项的整合。</w:t>
            </w:r>
          </w:p>
          <w:p w14:paraId="060F8565">
            <w:pPr>
              <w:widowControl/>
              <w:jc w:val="left"/>
              <w:textAlignment w:val="center"/>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4数据迁移的过程要求：详细说明待迁移的数据源，包括数据的存放方式、数据量、数据的时间跨度；制定数据迁移的详细实施步骤；准备数据迁移环境；实施数据迁移；数据迁移后的校验。</w:t>
            </w:r>
          </w:p>
          <w:p w14:paraId="1C7D31CF">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数据迁移在本项目的实施过程中是一项重要的、独立的工作任务。必须将其放在同软件的设计、开发同等重要的位置上来，必须成立独立的数据迁移小组，有独立的负责人来负责数据迁移全过程的实施。</w:t>
            </w:r>
          </w:p>
          <w:p w14:paraId="09EC9BEF">
            <w:pPr>
              <w:widowControl/>
              <w:jc w:val="left"/>
              <w:textAlignment w:val="center"/>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5要求为本项目成立数据迁移实施小组，实施现场负责人必须经常保持和软件开发人员、用户方负责人的沟通与联系，及时将数据迁移小组发现的问题与他们取得沟通，软件开发人员提供必要的协助，以保证整合后系统运行安全、稳定。数据迁移小组需要配置如下人员：数据库系统精通人员、熟悉原系统情况的人员。</w:t>
            </w:r>
          </w:p>
          <w:p w14:paraId="5526C91C">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ascii="宋体" w:hAnsi="宋体" w:eastAsia="宋体" w:cs="宋体"/>
                <w:color w:val="000000"/>
                <w:kern w:val="0"/>
                <w:sz w:val="18"/>
                <w:szCs w:val="18"/>
                <w:lang w:bidi="ar"/>
              </w:rPr>
              <w:t>.</w:t>
            </w:r>
            <w:r>
              <w:rPr>
                <w:rFonts w:hint="eastAsia" w:ascii="宋体" w:hAnsi="宋体" w:eastAsia="宋体" w:cs="宋体"/>
                <w:color w:val="000000"/>
                <w:kern w:val="0"/>
                <w:sz w:val="18"/>
                <w:szCs w:val="18"/>
                <w:lang w:bidi="ar"/>
              </w:rPr>
              <w:t>主要迁移数据</w:t>
            </w:r>
          </w:p>
          <w:p w14:paraId="4BFE143B">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需迁移的数据包括结构化数据、非结构化数据。结构化数据包括：患者信息、就诊摘要信息、影像检查报告、检验报告、患者诊断信息、门诊处方、门诊病历、门诊病程、入院记录、住院医嘱、首次病程、出院记录、治疗方案、诊断变更数据等。非结构化数据包括：影像图像数据、影像图像AI辅助诊断结果数据、其它检查图像数据等。</w:t>
            </w:r>
          </w:p>
          <w:p w14:paraId="6D5B0C33">
            <w:pPr>
              <w:widowControl/>
              <w:jc w:val="left"/>
              <w:textAlignment w:val="center"/>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4.</w:t>
            </w:r>
            <w:r>
              <w:rPr>
                <w:rFonts w:hint="eastAsia" w:ascii="宋体" w:hAnsi="宋体" w:eastAsia="宋体" w:cs="宋体"/>
                <w:color w:val="000000"/>
                <w:kern w:val="0"/>
                <w:sz w:val="18"/>
                <w:szCs w:val="18"/>
                <w:lang w:bidi="ar"/>
              </w:rPr>
              <w:t>数据迁移原则</w:t>
            </w:r>
          </w:p>
          <w:p w14:paraId="58EFE887">
            <w:pPr>
              <w:widowControl/>
              <w:jc w:val="left"/>
              <w:textAlignment w:val="center"/>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4.1</w:t>
            </w:r>
            <w:r>
              <w:rPr>
                <w:rFonts w:hint="eastAsia" w:ascii="宋体" w:hAnsi="宋体" w:eastAsia="宋体" w:cs="宋体"/>
                <w:color w:val="000000"/>
                <w:kern w:val="0"/>
                <w:sz w:val="18"/>
                <w:szCs w:val="18"/>
                <w:lang w:bidi="ar"/>
              </w:rPr>
              <w:t>基本迁移原则</w:t>
            </w:r>
          </w:p>
          <w:p w14:paraId="06B86162">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对现有全部数据进行备份并校验数据完整可用后，保证随时可进行业务与数据回溯，方可进行数据迁移与割接。</w:t>
            </w:r>
          </w:p>
          <w:p w14:paraId="6A7C9403">
            <w:pPr>
              <w:widowControl/>
              <w:jc w:val="left"/>
              <w:textAlignment w:val="center"/>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4.2</w:t>
            </w:r>
            <w:r>
              <w:rPr>
                <w:rFonts w:hint="eastAsia" w:ascii="宋体" w:hAnsi="宋体" w:eastAsia="宋体" w:cs="宋体"/>
                <w:color w:val="000000"/>
                <w:kern w:val="0"/>
                <w:sz w:val="18"/>
                <w:szCs w:val="18"/>
                <w:lang w:bidi="ar"/>
              </w:rPr>
              <w:t>资源保护原则</w:t>
            </w:r>
          </w:p>
          <w:p w14:paraId="484725C2">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在数据迁移过程中，必须保证原系统数据的正确性和准确性。对原有的设备资源要进行合理利用。对原有数据在一段时间内进行保护，保证数据迁移的平稳过渡。</w:t>
            </w:r>
          </w:p>
          <w:p w14:paraId="6C80682E">
            <w:pPr>
              <w:widowControl/>
              <w:jc w:val="left"/>
              <w:textAlignment w:val="center"/>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4.3</w:t>
            </w:r>
            <w:r>
              <w:rPr>
                <w:rFonts w:hint="eastAsia" w:ascii="宋体" w:hAnsi="宋体" w:eastAsia="宋体" w:cs="宋体"/>
                <w:color w:val="000000"/>
                <w:kern w:val="0"/>
                <w:sz w:val="18"/>
                <w:szCs w:val="18"/>
                <w:lang w:bidi="ar"/>
              </w:rPr>
              <w:t>数据过滤原则</w:t>
            </w:r>
          </w:p>
          <w:p w14:paraId="15298B59">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在数据转换过程中，为了减少由于数据转换时限制条件过于苛刻造成的数据大量过滤，保证系统能够正常运行，减少系统运行后大量补录数据的麻烦。因此在数据转换过程中，需要对系统过虑的数据放宽条件，但是需要对错误的数据分错误级别进行标示，有利于系统运行后操作人员修改错误的数据。对于有些数据，不影响系统业务的正常运行，但是建议补填的，不需要在数据转换前进行纠正，只是在数据转换时加上响应的错误标志进行标识，等系统运行后，在系统中进行调整；对于有些数据，严重影响系统运行的，则必须在转换前进行处理。</w:t>
            </w:r>
          </w:p>
          <w:p w14:paraId="75D398B1">
            <w:pPr>
              <w:widowControl/>
              <w:jc w:val="left"/>
              <w:textAlignment w:val="center"/>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4.4</w:t>
            </w:r>
            <w:r>
              <w:rPr>
                <w:rFonts w:hint="eastAsia" w:ascii="宋体" w:hAnsi="宋体" w:eastAsia="宋体" w:cs="宋体"/>
                <w:color w:val="000000"/>
                <w:kern w:val="0"/>
                <w:sz w:val="18"/>
                <w:szCs w:val="18"/>
                <w:lang w:bidi="ar"/>
              </w:rPr>
              <w:t>系统对照原则</w:t>
            </w:r>
          </w:p>
          <w:p w14:paraId="5195A374">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由于数据转换牵涉的业务比较复杂，因此在数据转换的过程中难免会出现一些错误，为了及时清楚数据的错误来源，所以必须建立新旧系统的对应关系，便于尽快查找错误或者是对数据转换中的转换错误进行及时的纠正。</w:t>
            </w:r>
          </w:p>
          <w:p w14:paraId="74AC7B5E">
            <w:pPr>
              <w:widowControl/>
              <w:jc w:val="left"/>
              <w:textAlignment w:val="center"/>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5.</w:t>
            </w:r>
            <w:r>
              <w:rPr>
                <w:rFonts w:hint="eastAsia" w:ascii="宋体" w:hAnsi="宋体" w:eastAsia="宋体" w:cs="宋体"/>
                <w:color w:val="000000"/>
                <w:kern w:val="0"/>
                <w:sz w:val="18"/>
                <w:szCs w:val="18"/>
                <w:lang w:bidi="ar"/>
              </w:rPr>
              <w:t>数据迁移保障措施</w:t>
            </w:r>
          </w:p>
          <w:p w14:paraId="1805CA60">
            <w:pPr>
              <w:widowControl/>
              <w:jc w:val="left"/>
              <w:textAlignment w:val="center"/>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5.1</w:t>
            </w:r>
            <w:r>
              <w:rPr>
                <w:rFonts w:hint="eastAsia" w:ascii="宋体" w:hAnsi="宋体" w:eastAsia="宋体" w:cs="宋体"/>
                <w:color w:val="000000"/>
                <w:kern w:val="0"/>
                <w:sz w:val="18"/>
                <w:szCs w:val="18"/>
                <w:lang w:bidi="ar"/>
              </w:rPr>
              <w:t>数据备份</w:t>
            </w:r>
          </w:p>
          <w:p w14:paraId="313176DA">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在进行数据迁移时，需对原数据进行备份以保证历史数据的可追溯性。一旦在系统中业务办理出现问题，则可以通过追溯历史数据来判断是否数据错误。</w:t>
            </w:r>
          </w:p>
          <w:p w14:paraId="51A968F4">
            <w:pPr>
              <w:widowControl/>
              <w:jc w:val="left"/>
              <w:textAlignment w:val="center"/>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5.2</w:t>
            </w:r>
            <w:r>
              <w:rPr>
                <w:rFonts w:hint="eastAsia" w:ascii="宋体" w:hAnsi="宋体" w:eastAsia="宋体" w:cs="宋体"/>
                <w:color w:val="000000"/>
                <w:kern w:val="0"/>
                <w:sz w:val="18"/>
                <w:szCs w:val="18"/>
                <w:lang w:bidi="ar"/>
              </w:rPr>
              <w:t>数据测试</w:t>
            </w:r>
          </w:p>
          <w:p w14:paraId="6B2C37B9">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数据测试分为两个层次测试，一个是数据监测性测试，就是在数据转换完成后，测试数据的转换正确性；二是验证性测试，验证性测试通过使用已经通过功能测试的新系统办理实际业务来验证数据转换的正确性。</w:t>
            </w:r>
          </w:p>
          <w:p w14:paraId="1A62A14E">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据测试是一个关键环节，关系到数据切换的成功与否，所以必须加大测试力度来保证数据的正确性。而与数据测试相关的系统功能测试也必须重视，因为如果系统功能如果存在问题，则数据测试也就无法保证正确性。</w:t>
            </w:r>
          </w:p>
          <w:p w14:paraId="54D2F2CB">
            <w:pPr>
              <w:widowControl/>
              <w:jc w:val="left"/>
              <w:textAlignment w:val="center"/>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5.3</w:t>
            </w:r>
            <w:r>
              <w:rPr>
                <w:rFonts w:hint="eastAsia" w:ascii="宋体" w:hAnsi="宋体" w:eastAsia="宋体" w:cs="宋体"/>
                <w:color w:val="000000"/>
                <w:kern w:val="0"/>
                <w:sz w:val="18"/>
                <w:szCs w:val="18"/>
                <w:lang w:bidi="ar"/>
              </w:rPr>
              <w:t>数据校验</w:t>
            </w:r>
          </w:p>
          <w:p w14:paraId="3BB93E32">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在完成数据迁移后，需要对数据进行核对检验，即需与原始数据进行校验，包括总数检验、明细校验等，以保障迁移后数据的完整性、正确性、可靠性。</w:t>
            </w:r>
          </w:p>
          <w:p w14:paraId="4C93E5F2">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r>
              <w:rPr>
                <w:rFonts w:ascii="宋体" w:hAnsi="宋体" w:eastAsia="宋体" w:cs="宋体"/>
                <w:color w:val="000000"/>
                <w:kern w:val="0"/>
                <w:sz w:val="18"/>
                <w:szCs w:val="18"/>
                <w:lang w:bidi="ar"/>
              </w:rPr>
              <w:t>.</w:t>
            </w:r>
            <w:r>
              <w:rPr>
                <w:rFonts w:hint="eastAsia" w:ascii="宋体" w:hAnsi="宋体" w:eastAsia="宋体" w:cs="宋体"/>
                <w:color w:val="000000"/>
                <w:kern w:val="0"/>
                <w:sz w:val="18"/>
                <w:szCs w:val="18"/>
                <w:lang w:bidi="ar"/>
              </w:rPr>
              <w:t>数据调阅</w:t>
            </w:r>
          </w:p>
          <w:p w14:paraId="60E95053">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r>
              <w:rPr>
                <w:rFonts w:ascii="宋体" w:hAnsi="宋体" w:eastAsia="宋体" w:cs="宋体"/>
                <w:color w:val="000000"/>
                <w:kern w:val="0"/>
                <w:sz w:val="18"/>
                <w:szCs w:val="18"/>
                <w:lang w:bidi="ar"/>
              </w:rPr>
              <w:t>.1</w:t>
            </w:r>
            <w:r>
              <w:rPr>
                <w:rFonts w:hint="eastAsia" w:ascii="宋体" w:hAnsi="宋体" w:eastAsia="宋体" w:cs="宋体"/>
                <w:color w:val="000000"/>
                <w:kern w:val="0"/>
                <w:sz w:val="18"/>
                <w:szCs w:val="18"/>
                <w:lang w:bidi="ar"/>
              </w:rPr>
              <w:t>能调阅迁移的影像数据，支持在浏览器上查看和操作影像图像，包括：支持通过缩略图对检查</w:t>
            </w:r>
            <w:r>
              <w:rPr>
                <w:rFonts w:ascii="宋体" w:hAnsi="宋体" w:eastAsia="宋体" w:cs="宋体"/>
                <w:color w:val="000000"/>
                <w:kern w:val="0"/>
                <w:sz w:val="18"/>
                <w:szCs w:val="18"/>
                <w:lang w:bidi="ar"/>
              </w:rPr>
              <w:t>/序列进行快速导航、用户自定义图像显示布局、显示DICOM影像信息、调节窗宽/窗位、图像移动、图像缩放、图像旋转、图像测量、预设或用户自定义窗宽/窗位值等</w:t>
            </w:r>
            <w:r>
              <w:rPr>
                <w:rFonts w:hint="eastAsia" w:ascii="宋体" w:hAnsi="宋体" w:eastAsia="宋体" w:cs="宋体"/>
                <w:color w:val="000000"/>
                <w:kern w:val="0"/>
                <w:sz w:val="18"/>
                <w:szCs w:val="18"/>
                <w:lang w:bidi="ar"/>
              </w:rPr>
              <w:t>。</w:t>
            </w:r>
          </w:p>
          <w:p w14:paraId="71BB7111">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要求能以统一视图的方式调阅患者其它诊疗数据，包括：患者的历次就诊、检查、检验、电子病历、用药、历史病案、诊断变更、治疗方案等信息。</w:t>
            </w:r>
          </w:p>
          <w:p w14:paraId="3EED8F1D">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7.</w:t>
            </w:r>
            <w:r>
              <w:rPr>
                <w:rFonts w:hint="eastAsia" w:ascii="宋体" w:hAnsi="宋体" w:eastAsia="宋体" w:cs="宋体"/>
                <w:color w:val="000000"/>
                <w:kern w:val="0"/>
                <w:sz w:val="18"/>
                <w:szCs w:val="18"/>
                <w:lang w:bidi="ar"/>
              </w:rPr>
              <w:t>要求提供安全可靠的数据迁移方案，保障结核病影像辅助诊断数据能安全可靠地完成迁移。</w:t>
            </w:r>
          </w:p>
          <w:p w14:paraId="3AA013EC">
            <w:pPr>
              <w:widowControl/>
              <w:jc w:val="left"/>
              <w:textAlignment w:val="center"/>
              <w:rPr>
                <w:rFonts w:hint="eastAsia" w:ascii="宋体" w:hAnsi="宋体" w:eastAsia="宋体" w:cs="宋体"/>
                <w:b/>
                <w:bCs/>
                <w:kern w:val="0"/>
                <w:sz w:val="18"/>
                <w:szCs w:val="18"/>
              </w:rPr>
            </w:pP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8.</w:t>
            </w:r>
            <w:r>
              <w:rPr>
                <w:rFonts w:hint="eastAsia" w:ascii="宋体" w:hAnsi="宋体" w:eastAsia="宋体" w:cs="宋体"/>
                <w:color w:val="000000"/>
                <w:kern w:val="0"/>
                <w:sz w:val="18"/>
                <w:szCs w:val="18"/>
                <w:lang w:bidi="ar"/>
              </w:rPr>
              <w:t>与喀什地区肺结核精准防治平台对接所产生的相关费用由投标方自行承担。</w:t>
            </w:r>
          </w:p>
        </w:tc>
        <w:tc>
          <w:tcPr>
            <w:tcW w:w="382" w:type="pct"/>
            <w:tcBorders>
              <w:tl2br w:val="nil"/>
              <w:tr2bl w:val="nil"/>
            </w:tcBorders>
            <w:shd w:val="clear" w:color="auto" w:fill="FFFFFF" w:themeFill="background1"/>
            <w:vAlign w:val="center"/>
          </w:tcPr>
          <w:p w14:paraId="2A29103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61" w:type="pct"/>
            <w:tcBorders>
              <w:tl2br w:val="nil"/>
              <w:tr2bl w:val="nil"/>
            </w:tcBorders>
            <w:shd w:val="clear" w:color="auto" w:fill="FFFFFF" w:themeFill="background1"/>
            <w:vAlign w:val="center"/>
          </w:tcPr>
          <w:p w14:paraId="045ED7E9">
            <w:pPr>
              <w:jc w:val="center"/>
              <w:rPr>
                <w:rFonts w:hint="eastAsia" w:ascii="宋体" w:hAnsi="宋体" w:eastAsia="宋体" w:cs="宋体"/>
                <w:sz w:val="18"/>
                <w:szCs w:val="18"/>
              </w:rPr>
            </w:pPr>
            <w:r>
              <w:rPr>
                <w:rFonts w:hint="eastAsia" w:ascii="宋体" w:hAnsi="宋体" w:eastAsia="宋体" w:cs="宋体"/>
                <w:sz w:val="18"/>
                <w:szCs w:val="18"/>
              </w:rPr>
              <w:t>套</w:t>
            </w:r>
          </w:p>
        </w:tc>
        <w:tc>
          <w:tcPr>
            <w:tcW w:w="758" w:type="pct"/>
            <w:tcBorders>
              <w:tl2br w:val="nil"/>
              <w:tr2bl w:val="nil"/>
            </w:tcBorders>
            <w:shd w:val="clear" w:color="auto" w:fill="FFFFFF" w:themeFill="background1"/>
            <w:vAlign w:val="center"/>
          </w:tcPr>
          <w:p w14:paraId="458DAA49">
            <w:pPr>
              <w:jc w:val="center"/>
              <w:rPr>
                <w:rFonts w:hint="eastAsia" w:ascii="宋体" w:hAnsi="宋体" w:eastAsia="宋体" w:cs="宋体"/>
                <w:sz w:val="18"/>
                <w:szCs w:val="18"/>
              </w:rPr>
            </w:pPr>
            <w:r>
              <w:rPr>
                <w:rFonts w:hint="eastAsia" w:ascii="宋体" w:hAnsi="宋体" w:eastAsia="宋体" w:cs="宋体"/>
                <w:sz w:val="18"/>
                <w:szCs w:val="18"/>
              </w:rPr>
              <w:t>100000元</w:t>
            </w:r>
          </w:p>
        </w:tc>
      </w:tr>
      <w:tr w14:paraId="0BF8D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5" w:type="pct"/>
            <w:tcBorders>
              <w:tl2br w:val="nil"/>
              <w:tr2bl w:val="nil"/>
            </w:tcBorders>
            <w:shd w:val="clear" w:color="auto" w:fill="FFFFFF" w:themeFill="background1"/>
            <w:vAlign w:val="center"/>
          </w:tcPr>
          <w:p w14:paraId="52602C6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360" w:type="pct"/>
            <w:tcBorders>
              <w:tl2br w:val="nil"/>
              <w:tr2bl w:val="nil"/>
            </w:tcBorders>
            <w:shd w:val="clear" w:color="auto" w:fill="FFFFFF" w:themeFill="background1"/>
            <w:vAlign w:val="center"/>
          </w:tcPr>
          <w:p w14:paraId="4E939B9E">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智能影像业务运维系统</w:t>
            </w:r>
          </w:p>
        </w:tc>
        <w:tc>
          <w:tcPr>
            <w:tcW w:w="2864" w:type="pct"/>
            <w:tcBorders>
              <w:tl2br w:val="nil"/>
              <w:tr2bl w:val="nil"/>
            </w:tcBorders>
            <w:shd w:val="clear" w:color="auto" w:fill="FFFFFF" w:themeFill="background1"/>
            <w:vAlign w:val="center"/>
          </w:tcPr>
          <w:p w14:paraId="3369667B">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规格要求：</w:t>
            </w:r>
          </w:p>
          <w:p w14:paraId="6D8D4B6E">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w:t>
            </w:r>
            <w:r>
              <w:rPr>
                <w:rFonts w:hint="eastAsia" w:ascii="宋体" w:hAnsi="宋体" w:eastAsia="宋体" w:cs="宋体"/>
                <w:color w:val="000000"/>
                <w:kern w:val="0"/>
                <w:sz w:val="18"/>
                <w:szCs w:val="18"/>
                <w:lang w:bidi="ar"/>
              </w:rPr>
              <w:t>系统架构要求采用B/S模式，全中文界面，易操作。系统具备完全的自主知识产权，支持国产化操作系统安装部署。</w:t>
            </w:r>
          </w:p>
          <w:p w14:paraId="6093B77D">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w:t>
            </w:r>
            <w:r>
              <w:rPr>
                <w:rFonts w:hint="eastAsia" w:ascii="宋体" w:hAnsi="宋体" w:eastAsia="宋体" w:cs="宋体"/>
                <w:color w:val="000000"/>
                <w:kern w:val="0"/>
                <w:sz w:val="18"/>
                <w:szCs w:val="18"/>
                <w:lang w:bidi="ar"/>
              </w:rPr>
              <w:t>要求能监测智能影像业务系统资产的运行情况，包括</w:t>
            </w:r>
            <w:r>
              <w:rPr>
                <w:rFonts w:ascii="宋体" w:hAnsi="宋体" w:eastAsia="宋体" w:cs="宋体"/>
                <w:color w:val="000000"/>
                <w:kern w:val="0"/>
                <w:sz w:val="18"/>
                <w:szCs w:val="18"/>
                <w:lang w:bidi="ar"/>
              </w:rPr>
              <w:t>服务器、网络设备、应用程序、数据库等</w:t>
            </w:r>
            <w:r>
              <w:rPr>
                <w:rFonts w:hint="eastAsia" w:ascii="宋体" w:hAnsi="宋体" w:eastAsia="宋体" w:cs="宋体"/>
                <w:color w:val="000000"/>
                <w:kern w:val="0"/>
                <w:sz w:val="18"/>
                <w:szCs w:val="18"/>
                <w:lang w:bidi="ar"/>
              </w:rPr>
              <w:t>。可按模块分类显示服务器、应用程序、数据库、网络的运行情况。</w:t>
            </w:r>
          </w:p>
          <w:p w14:paraId="1DF3326B">
            <w:pPr>
              <w:widowControl/>
              <w:jc w:val="left"/>
              <w:textAlignment w:val="center"/>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3</w:t>
            </w:r>
            <w:r>
              <w:rPr>
                <w:rFonts w:hint="eastAsia" w:ascii="宋体" w:hAnsi="宋体" w:eastAsia="宋体" w:cs="宋体"/>
                <w:color w:val="000000"/>
                <w:kern w:val="0"/>
                <w:sz w:val="18"/>
                <w:szCs w:val="18"/>
                <w:lang w:bidi="ar"/>
              </w:rPr>
              <w:t>.支持独立的系统看板，看板可以根据需求定义多个，不同的模块可展示不同的内容。</w:t>
            </w:r>
          </w:p>
          <w:p w14:paraId="15E1FDF4">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4.支持按天、月、年呈现</w:t>
            </w:r>
            <w:r>
              <w:rPr>
                <w:rFonts w:ascii="宋体" w:hAnsi="宋体" w:eastAsia="宋体" w:cs="宋体"/>
                <w:color w:val="000000"/>
                <w:kern w:val="0"/>
                <w:sz w:val="18"/>
                <w:szCs w:val="18"/>
                <w:lang w:bidi="ar"/>
              </w:rPr>
              <w:t>需要监控资产</w:t>
            </w:r>
            <w:r>
              <w:rPr>
                <w:rFonts w:hint="eastAsia" w:ascii="宋体" w:hAnsi="宋体" w:eastAsia="宋体" w:cs="宋体"/>
                <w:color w:val="000000"/>
                <w:kern w:val="0"/>
                <w:sz w:val="18"/>
                <w:szCs w:val="18"/>
                <w:lang w:bidi="ar"/>
              </w:rPr>
              <w:t>的告警变化曲线图，随时了解变化趋势。</w:t>
            </w:r>
          </w:p>
          <w:p w14:paraId="19D82D45">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5.支持配置告警阈值，可配置</w:t>
            </w:r>
            <w:r>
              <w:rPr>
                <w:rFonts w:ascii="宋体" w:hAnsi="宋体" w:eastAsia="宋体" w:cs="宋体"/>
                <w:color w:val="000000"/>
                <w:kern w:val="0"/>
                <w:sz w:val="18"/>
                <w:szCs w:val="18"/>
                <w:lang w:bidi="ar"/>
              </w:rPr>
              <w:t>CPU 使用率、内存使用情况、磁盘、网络、应用</w:t>
            </w:r>
            <w:r>
              <w:rPr>
                <w:rFonts w:hint="eastAsia" w:ascii="宋体" w:hAnsi="宋体" w:eastAsia="宋体" w:cs="宋体"/>
                <w:color w:val="000000"/>
                <w:kern w:val="0"/>
                <w:sz w:val="18"/>
                <w:szCs w:val="18"/>
                <w:lang w:bidi="ar"/>
              </w:rPr>
              <w:t>程序</w:t>
            </w:r>
            <w:r>
              <w:rPr>
                <w:rFonts w:ascii="宋体" w:hAnsi="宋体" w:eastAsia="宋体" w:cs="宋体"/>
                <w:color w:val="000000"/>
                <w:kern w:val="0"/>
                <w:sz w:val="18"/>
                <w:szCs w:val="18"/>
                <w:lang w:bidi="ar"/>
              </w:rPr>
              <w:t>等</w:t>
            </w:r>
            <w:r>
              <w:rPr>
                <w:rFonts w:hint="eastAsia" w:ascii="宋体" w:hAnsi="宋体" w:eastAsia="宋体" w:cs="宋体"/>
                <w:color w:val="000000"/>
                <w:kern w:val="0"/>
                <w:sz w:val="18"/>
                <w:szCs w:val="18"/>
                <w:lang w:bidi="ar"/>
              </w:rPr>
              <w:t>告警阈值，支持对每个监控探测资源以及指标的阈值进行自定义设置功能，可根据用户的实际情况进行设置。可根据业务或用户实际情况针对每个监控探测资源配置告警消息模板，方便用户查看告警的重要信息。</w:t>
            </w:r>
          </w:p>
          <w:p w14:paraId="154D6951">
            <w:pPr>
              <w:widowControl/>
              <w:jc w:val="left"/>
              <w:textAlignment w:val="center"/>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6</w:t>
            </w:r>
            <w:r>
              <w:rPr>
                <w:rFonts w:hint="eastAsia" w:ascii="宋体" w:hAnsi="宋体" w:eastAsia="宋体" w:cs="宋体"/>
                <w:color w:val="000000"/>
                <w:kern w:val="0"/>
                <w:sz w:val="18"/>
                <w:szCs w:val="18"/>
                <w:lang w:bidi="ar"/>
              </w:rPr>
              <w:t>.支持告警组管理，可根据运维管理工作划分不同运维小组接收对应的警告信息。</w:t>
            </w:r>
          </w:p>
          <w:p w14:paraId="55CDF335">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r>
              <w:rPr>
                <w:rFonts w:hint="eastAsia"/>
                <w:color w:val="000000"/>
                <w:kern w:val="0"/>
                <w:lang w:bidi="ar"/>
              </w:rPr>
              <w:t>.</w:t>
            </w:r>
            <w:r>
              <w:rPr>
                <w:rFonts w:hint="eastAsia" w:ascii="宋体" w:hAnsi="宋体" w:eastAsia="宋体" w:cs="宋体"/>
                <w:color w:val="000000"/>
                <w:kern w:val="0"/>
                <w:sz w:val="18"/>
                <w:szCs w:val="18"/>
                <w:lang w:bidi="ar"/>
              </w:rPr>
              <w:t>支持</w:t>
            </w:r>
            <w:r>
              <w:rPr>
                <w:rFonts w:ascii="宋体" w:hAnsi="宋体" w:eastAsia="宋体" w:cs="宋体"/>
                <w:color w:val="000000"/>
                <w:kern w:val="0"/>
                <w:sz w:val="18"/>
                <w:szCs w:val="18"/>
                <w:lang w:bidi="ar"/>
              </w:rPr>
              <w:t>HTTP</w:t>
            </w:r>
            <w:r>
              <w:rPr>
                <w:rFonts w:hint="eastAsia" w:ascii="宋体" w:hAnsi="宋体" w:eastAsia="宋体" w:cs="宋体"/>
                <w:color w:val="000000"/>
                <w:kern w:val="0"/>
                <w:sz w:val="18"/>
                <w:szCs w:val="18"/>
                <w:lang w:bidi="ar"/>
              </w:rPr>
              <w:t>、邮件、微信、钉钉、短信等多种告警渠道发送告警消息。</w:t>
            </w:r>
          </w:p>
          <w:p w14:paraId="58F82D97">
            <w:pPr>
              <w:widowControl/>
              <w:jc w:val="left"/>
              <w:textAlignment w:val="center"/>
              <w:rPr>
                <w:rFonts w:hint="eastAsia" w:ascii="宋体" w:hAnsi="宋体" w:eastAsia="宋体" w:cs="宋体"/>
                <w:color w:val="000000"/>
                <w:kern w:val="0"/>
                <w:sz w:val="18"/>
                <w:szCs w:val="18"/>
                <w:lang w:bidi="ar"/>
              </w:rPr>
            </w:pPr>
            <w:r>
              <w:rPr>
                <w:rStyle w:val="12"/>
                <w:rFonts w:hint="eastAsia"/>
                <w:color w:val="auto"/>
                <w:sz w:val="18"/>
                <w:szCs w:val="18"/>
                <w:lang w:bidi="ar"/>
              </w:rPr>
              <w:t>★</w:t>
            </w:r>
            <w:r>
              <w:rPr>
                <w:color w:val="000000"/>
                <w:kern w:val="0"/>
              </w:rPr>
              <w:t>8</w:t>
            </w:r>
            <w:r>
              <w:rPr>
                <w:rFonts w:ascii="宋体" w:hAnsi="宋体" w:eastAsia="宋体" w:cs="宋体"/>
                <w:color w:val="000000"/>
                <w:kern w:val="0"/>
                <w:sz w:val="18"/>
                <w:szCs w:val="18"/>
                <w:lang w:bidi="ar"/>
              </w:rPr>
              <w:t>.</w:t>
            </w:r>
            <w:r>
              <w:rPr>
                <w:rFonts w:hint="eastAsia" w:ascii="宋体" w:hAnsi="宋体" w:eastAsia="宋体" w:cs="宋体"/>
                <w:color w:val="000000"/>
                <w:kern w:val="0"/>
                <w:sz w:val="18"/>
                <w:szCs w:val="18"/>
                <w:lang w:bidi="ar"/>
              </w:rPr>
              <w:t>支持自定义服务器拓扑图，并具备拓扑编辑能力，生成服务器关系拓扑结构。</w:t>
            </w:r>
          </w:p>
          <w:p w14:paraId="43F9E4EE">
            <w:pPr>
              <w:widowControl/>
              <w:jc w:val="left"/>
              <w:textAlignment w:val="center"/>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9</w:t>
            </w:r>
            <w:r>
              <w:rPr>
                <w:rFonts w:hint="eastAsia" w:ascii="宋体" w:hAnsi="宋体" w:eastAsia="宋体" w:cs="宋体"/>
                <w:color w:val="000000"/>
                <w:kern w:val="0"/>
                <w:sz w:val="18"/>
                <w:szCs w:val="18"/>
                <w:lang w:bidi="ar"/>
              </w:rPr>
              <w:t>.支持数据监控，包括数据源、S</w:t>
            </w:r>
            <w:r>
              <w:rPr>
                <w:rFonts w:ascii="宋体" w:hAnsi="宋体" w:eastAsia="宋体" w:cs="宋体"/>
                <w:color w:val="000000"/>
                <w:kern w:val="0"/>
                <w:sz w:val="18"/>
                <w:szCs w:val="18"/>
                <w:lang w:bidi="ar"/>
              </w:rPr>
              <w:t>QL</w:t>
            </w:r>
            <w:r>
              <w:rPr>
                <w:rFonts w:hint="eastAsia" w:ascii="宋体" w:hAnsi="宋体" w:eastAsia="宋体" w:cs="宋体"/>
                <w:color w:val="000000"/>
                <w:kern w:val="0"/>
                <w:sz w:val="18"/>
                <w:szCs w:val="18"/>
                <w:lang w:bidi="ar"/>
              </w:rPr>
              <w:t>、Web应用、U</w:t>
            </w:r>
            <w:r>
              <w:rPr>
                <w:rFonts w:ascii="宋体" w:hAnsi="宋体" w:eastAsia="宋体" w:cs="宋体"/>
                <w:color w:val="000000"/>
                <w:kern w:val="0"/>
                <w:sz w:val="18"/>
                <w:szCs w:val="18"/>
                <w:lang w:bidi="ar"/>
              </w:rPr>
              <w:t>RL</w:t>
            </w:r>
            <w:r>
              <w:rPr>
                <w:rFonts w:hint="eastAsia" w:ascii="宋体" w:hAnsi="宋体" w:eastAsia="宋体" w:cs="宋体"/>
                <w:color w:val="000000"/>
                <w:kern w:val="0"/>
                <w:sz w:val="18"/>
                <w:szCs w:val="18"/>
                <w:lang w:bidi="ar"/>
              </w:rPr>
              <w:t>、Se</w:t>
            </w:r>
            <w:r>
              <w:rPr>
                <w:rFonts w:ascii="宋体" w:hAnsi="宋体" w:eastAsia="宋体" w:cs="宋体"/>
                <w:color w:val="000000"/>
                <w:kern w:val="0"/>
                <w:sz w:val="18"/>
                <w:szCs w:val="18"/>
                <w:lang w:bidi="ar"/>
              </w:rPr>
              <w:t>ssion</w:t>
            </w:r>
            <w:r>
              <w:rPr>
                <w:rFonts w:hint="eastAsia" w:ascii="宋体" w:hAnsi="宋体" w:eastAsia="宋体" w:cs="宋体"/>
                <w:color w:val="000000"/>
                <w:kern w:val="0"/>
                <w:sz w:val="18"/>
                <w:szCs w:val="18"/>
                <w:lang w:bidi="ar"/>
              </w:rPr>
              <w:t>等。</w:t>
            </w:r>
          </w:p>
          <w:p w14:paraId="64D04797">
            <w:pPr>
              <w:widowControl/>
              <w:jc w:val="left"/>
              <w:textAlignment w:val="center"/>
              <w:rPr>
                <w:rFonts w:hint="eastAsia" w:ascii="宋体" w:hAnsi="宋体" w:eastAsia="宋体" w:cs="宋体"/>
                <w:color w:val="000000"/>
                <w:kern w:val="0"/>
                <w:sz w:val="18"/>
                <w:szCs w:val="18"/>
                <w:lang w:bidi="ar"/>
              </w:rPr>
            </w:pPr>
            <w:r>
              <w:rPr>
                <w:rFonts w:ascii="宋体" w:hAnsi="宋体" w:eastAsia="宋体" w:cs="宋体"/>
                <w:color w:val="000000"/>
                <w:kern w:val="0"/>
                <w:sz w:val="18"/>
                <w:szCs w:val="18"/>
                <w:lang w:bidi="ar"/>
              </w:rPr>
              <w:t>10.</w:t>
            </w:r>
            <w:r>
              <w:rPr>
                <w:rFonts w:hint="eastAsia" w:ascii="宋体" w:hAnsi="宋体" w:eastAsia="宋体" w:cs="宋体"/>
                <w:color w:val="000000"/>
                <w:kern w:val="0"/>
                <w:sz w:val="18"/>
                <w:szCs w:val="18"/>
                <w:lang w:bidi="ar"/>
              </w:rPr>
              <w:t>支持缓存监控，包括缓存基本信息、命令统计、内存使用信息等。</w:t>
            </w:r>
          </w:p>
          <w:p w14:paraId="2557507C">
            <w:pPr>
              <w:widowControl/>
              <w:jc w:val="left"/>
              <w:textAlignment w:val="center"/>
              <w:rPr>
                <w:rFonts w:hint="eastAsia" w:ascii="宋体" w:hAnsi="宋体" w:eastAsia="宋体" w:cs="宋体"/>
                <w:color w:val="000000"/>
                <w:kern w:val="0"/>
                <w:sz w:val="18"/>
                <w:szCs w:val="18"/>
                <w:lang w:bidi="ar"/>
              </w:rPr>
            </w:pPr>
            <w:r>
              <w:rPr>
                <w:rStyle w:val="12"/>
                <w:rFonts w:hint="eastAsia"/>
                <w:color w:val="auto"/>
                <w:sz w:val="18"/>
                <w:szCs w:val="18"/>
                <w:lang w:bidi="ar"/>
              </w:rPr>
              <w:t>★</w:t>
            </w: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1.需</w:t>
            </w:r>
            <w:r>
              <w:rPr>
                <w:rFonts w:hint="eastAsia" w:ascii="宋体" w:hAnsi="宋体" w:eastAsia="宋体" w:cs="宋体"/>
                <w:color w:val="000000"/>
                <w:kern w:val="0"/>
                <w:sz w:val="18"/>
                <w:szCs w:val="18"/>
                <w:lang w:bidi="ar"/>
              </w:rPr>
              <w:t>具备</w:t>
            </w:r>
            <w:r>
              <w:rPr>
                <w:rFonts w:ascii="宋体" w:hAnsi="宋体" w:eastAsia="宋体" w:cs="宋体"/>
                <w:color w:val="000000"/>
                <w:kern w:val="0"/>
                <w:sz w:val="18"/>
                <w:szCs w:val="18"/>
                <w:lang w:bidi="ar"/>
              </w:rPr>
              <w:t>与其他系统的集成能力</w:t>
            </w:r>
            <w:r>
              <w:rPr>
                <w:rFonts w:hint="eastAsia" w:ascii="宋体" w:hAnsi="宋体" w:eastAsia="宋体" w:cs="宋体"/>
                <w:color w:val="000000"/>
                <w:kern w:val="0"/>
                <w:sz w:val="18"/>
                <w:szCs w:val="18"/>
                <w:lang w:bidi="ar"/>
              </w:rPr>
              <w:t>，可提供</w:t>
            </w:r>
            <w:r>
              <w:rPr>
                <w:rFonts w:ascii="宋体" w:hAnsi="宋体" w:eastAsia="宋体" w:cs="宋体"/>
                <w:color w:val="000000"/>
                <w:kern w:val="0"/>
                <w:sz w:val="18"/>
                <w:szCs w:val="18"/>
                <w:lang w:bidi="ar"/>
              </w:rPr>
              <w:t>SDK</w:t>
            </w:r>
            <w:r>
              <w:rPr>
                <w:rFonts w:hint="eastAsia" w:ascii="宋体" w:hAnsi="宋体" w:eastAsia="宋体" w:cs="宋体"/>
                <w:color w:val="000000"/>
                <w:kern w:val="0"/>
                <w:sz w:val="18"/>
                <w:szCs w:val="18"/>
                <w:lang w:bidi="ar"/>
              </w:rPr>
              <w:t>包</w:t>
            </w:r>
            <w:r>
              <w:rPr>
                <w:rFonts w:ascii="宋体" w:hAnsi="宋体" w:eastAsia="宋体" w:cs="宋体"/>
                <w:color w:val="000000"/>
                <w:kern w:val="0"/>
                <w:sz w:val="18"/>
                <w:szCs w:val="18"/>
                <w:lang w:bidi="ar"/>
              </w:rPr>
              <w:t>支持与其他业务系统的集成</w:t>
            </w:r>
            <w:r>
              <w:rPr>
                <w:rFonts w:hint="eastAsia" w:ascii="宋体" w:hAnsi="宋体" w:eastAsia="宋体" w:cs="宋体"/>
                <w:color w:val="000000"/>
                <w:kern w:val="0"/>
                <w:sz w:val="18"/>
                <w:szCs w:val="18"/>
                <w:lang w:bidi="ar"/>
              </w:rPr>
              <w:t>。</w:t>
            </w:r>
          </w:p>
          <w:p w14:paraId="0FC5EB72">
            <w:pPr>
              <w:widowControl/>
              <w:jc w:val="left"/>
              <w:textAlignment w:val="center"/>
              <w:rPr>
                <w:rFonts w:hint="eastAsia" w:ascii="宋体" w:hAnsi="宋体" w:eastAsia="宋体" w:cs="宋体"/>
                <w:sz w:val="18"/>
                <w:szCs w:val="18"/>
              </w:rPr>
            </w:pPr>
            <w:r>
              <w:rPr>
                <w:rFonts w:ascii="宋体" w:hAnsi="宋体" w:eastAsia="宋体" w:cs="宋体"/>
                <w:color w:val="000000"/>
                <w:kern w:val="0"/>
                <w:sz w:val="18"/>
                <w:szCs w:val="18"/>
                <w:lang w:bidi="ar"/>
              </w:rPr>
              <w:t>12.</w:t>
            </w:r>
            <w:r>
              <w:rPr>
                <w:rFonts w:hint="eastAsia" w:ascii="宋体" w:hAnsi="宋体" w:eastAsia="宋体" w:cs="宋体"/>
                <w:color w:val="000000"/>
                <w:kern w:val="0"/>
                <w:sz w:val="18"/>
                <w:szCs w:val="18"/>
                <w:lang w:bidi="ar"/>
              </w:rPr>
              <w:t>支持用户权限和角色管理，能够针对不同的用户角色能够进行功能权限和管理域权限设置。</w:t>
            </w:r>
            <w:r>
              <w:rPr>
                <w:rFonts w:hint="eastAsia" w:ascii="宋体" w:hAnsi="宋体" w:eastAsia="宋体" w:cs="宋体"/>
                <w:color w:val="000000"/>
                <w:kern w:val="0"/>
                <w:sz w:val="18"/>
                <w:szCs w:val="18"/>
                <w:lang w:bidi="ar"/>
              </w:rPr>
              <w:br w:type="textWrapping"/>
            </w:r>
            <w:r>
              <w:rPr>
                <w:rStyle w:val="12"/>
                <w:color w:val="auto"/>
                <w:sz w:val="18"/>
                <w:szCs w:val="18"/>
                <w:lang w:bidi="ar"/>
              </w:rPr>
              <w:t>13.</w:t>
            </w:r>
            <w:r>
              <w:rPr>
                <w:rFonts w:hint="eastAsia" w:ascii="宋体" w:hAnsi="宋体" w:eastAsia="宋体" w:cs="宋体"/>
                <w:color w:val="000000"/>
                <w:kern w:val="0"/>
                <w:sz w:val="18"/>
                <w:szCs w:val="18"/>
                <w:lang w:bidi="ar"/>
              </w:rPr>
              <w:t>具备弱口令检测、登录验证码、尝试登录锁定等安全防护措施。</w:t>
            </w:r>
          </w:p>
        </w:tc>
        <w:tc>
          <w:tcPr>
            <w:tcW w:w="382" w:type="pct"/>
            <w:tcBorders>
              <w:tl2br w:val="nil"/>
              <w:tr2bl w:val="nil"/>
            </w:tcBorders>
            <w:shd w:val="clear" w:color="auto" w:fill="FFFFFF" w:themeFill="background1"/>
            <w:vAlign w:val="center"/>
          </w:tcPr>
          <w:p w14:paraId="36E62F3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361" w:type="pct"/>
            <w:tcBorders>
              <w:tl2br w:val="nil"/>
              <w:tr2bl w:val="nil"/>
            </w:tcBorders>
            <w:shd w:val="clear" w:color="auto" w:fill="FFFFFF" w:themeFill="background1"/>
            <w:vAlign w:val="center"/>
          </w:tcPr>
          <w:p w14:paraId="37AEDAD4">
            <w:pPr>
              <w:jc w:val="center"/>
              <w:rPr>
                <w:rFonts w:hint="eastAsia" w:ascii="宋体" w:hAnsi="宋体" w:eastAsia="宋体" w:cs="宋体"/>
                <w:sz w:val="18"/>
                <w:szCs w:val="18"/>
              </w:rPr>
            </w:pPr>
            <w:r>
              <w:rPr>
                <w:rFonts w:hint="eastAsia" w:ascii="宋体" w:hAnsi="宋体" w:eastAsia="宋体" w:cs="宋体"/>
                <w:sz w:val="18"/>
                <w:szCs w:val="18"/>
              </w:rPr>
              <w:t>套</w:t>
            </w:r>
          </w:p>
        </w:tc>
        <w:tc>
          <w:tcPr>
            <w:tcW w:w="758" w:type="pct"/>
            <w:tcBorders>
              <w:tl2br w:val="nil"/>
              <w:tr2bl w:val="nil"/>
            </w:tcBorders>
            <w:shd w:val="clear" w:color="auto" w:fill="FFFFFF" w:themeFill="background1"/>
            <w:vAlign w:val="center"/>
          </w:tcPr>
          <w:p w14:paraId="4A0DBC2D">
            <w:pPr>
              <w:jc w:val="center"/>
              <w:rPr>
                <w:rFonts w:hint="eastAsia" w:ascii="宋体" w:hAnsi="宋体" w:eastAsia="宋体" w:cs="宋体"/>
                <w:sz w:val="18"/>
                <w:szCs w:val="18"/>
              </w:rPr>
            </w:pPr>
            <w:r>
              <w:rPr>
                <w:rFonts w:hint="eastAsia" w:ascii="宋体" w:hAnsi="宋体" w:eastAsia="宋体" w:cs="宋体"/>
                <w:sz w:val="18"/>
                <w:szCs w:val="18"/>
              </w:rPr>
              <w:t>100000元</w:t>
            </w:r>
          </w:p>
        </w:tc>
      </w:tr>
      <w:tr w14:paraId="32EE4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1218" w:hRule="atLeast"/>
        </w:trPr>
        <w:tc>
          <w:tcPr>
            <w:tcW w:w="275" w:type="pct"/>
            <w:vMerge w:val="restart"/>
            <w:tcBorders>
              <w:tl2br w:val="nil"/>
              <w:tr2bl w:val="nil"/>
            </w:tcBorders>
            <w:shd w:val="clear" w:color="auto" w:fill="FFFFFF" w:themeFill="background1"/>
            <w:noWrap/>
            <w:vAlign w:val="center"/>
          </w:tcPr>
          <w:p w14:paraId="7F79A4F3">
            <w:pPr>
              <w:widowControl/>
              <w:jc w:val="center"/>
              <w:textAlignment w:val="center"/>
              <w:rPr>
                <w:rFonts w:hint="eastAsia" w:ascii="宋体" w:hAnsi="宋体" w:eastAsia="宋体" w:cs="宋体"/>
                <w:sz w:val="22"/>
                <w:szCs w:val="22"/>
              </w:rPr>
            </w:pPr>
            <w:r>
              <w:rPr>
                <w:rFonts w:hint="eastAsia" w:ascii="宋体" w:hAnsi="宋体" w:eastAsia="宋体" w:cs="宋体"/>
                <w:sz w:val="22"/>
                <w:szCs w:val="22"/>
              </w:rPr>
              <w:t>4</w:t>
            </w:r>
          </w:p>
        </w:tc>
        <w:tc>
          <w:tcPr>
            <w:tcW w:w="360" w:type="pct"/>
            <w:vMerge w:val="restart"/>
            <w:tcBorders>
              <w:tl2br w:val="nil"/>
              <w:tr2bl w:val="nil"/>
            </w:tcBorders>
            <w:shd w:val="clear" w:color="auto" w:fill="FFFFFF" w:themeFill="background1"/>
            <w:vAlign w:val="center"/>
          </w:tcPr>
          <w:p w14:paraId="1123EB6D">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配套硬件</w:t>
            </w:r>
          </w:p>
        </w:tc>
        <w:tc>
          <w:tcPr>
            <w:tcW w:w="2864" w:type="pct"/>
            <w:tcBorders>
              <w:tl2br w:val="nil"/>
              <w:tr2bl w:val="nil"/>
            </w:tcBorders>
            <w:shd w:val="clear" w:color="auto" w:fill="FFFFFF" w:themeFill="background1"/>
            <w:vAlign w:val="center"/>
          </w:tcPr>
          <w:p w14:paraId="17B55E96">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数据交换设备规格要求：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★固定接口：≧</w:t>
            </w:r>
            <w:r>
              <w:rPr>
                <w:rFonts w:hint="eastAsia" w:ascii="宋体" w:hAnsi="宋体" w:eastAsia="宋体" w:cs="宋体"/>
                <w:sz w:val="18"/>
                <w:szCs w:val="18"/>
              </w:rPr>
              <w:t>24个万兆SFP+，交换容量</w:t>
            </w:r>
            <w:r>
              <w:rPr>
                <w:rFonts w:hint="eastAsia" w:ascii="宋体" w:hAnsi="宋体" w:eastAsia="宋体" w:cs="宋体"/>
                <w:color w:val="000000"/>
                <w:kern w:val="0"/>
                <w:sz w:val="18"/>
                <w:szCs w:val="18"/>
                <w:lang w:bidi="ar"/>
              </w:rPr>
              <w:t>≧</w:t>
            </w:r>
            <w:r>
              <w:rPr>
                <w:rFonts w:hint="eastAsia" w:ascii="宋体" w:hAnsi="宋体" w:eastAsia="宋体" w:cs="宋体"/>
                <w:sz w:val="18"/>
                <w:szCs w:val="18"/>
              </w:rPr>
              <w:t>2.4Tbps/24Tbps，包转发率</w:t>
            </w:r>
            <w:r>
              <w:rPr>
                <w:rFonts w:hint="eastAsia" w:ascii="宋体" w:hAnsi="宋体" w:eastAsia="宋体" w:cs="宋体"/>
                <w:color w:val="000000"/>
                <w:kern w:val="0"/>
                <w:sz w:val="18"/>
                <w:szCs w:val="18"/>
                <w:lang w:bidi="ar"/>
              </w:rPr>
              <w:t>≧</w:t>
            </w:r>
            <w:r>
              <w:rPr>
                <w:rFonts w:hint="eastAsia" w:ascii="宋体" w:hAnsi="宋体" w:eastAsia="宋体" w:cs="宋体"/>
                <w:sz w:val="18"/>
                <w:szCs w:val="18"/>
              </w:rPr>
              <w:t>1260Mpps</w:t>
            </w:r>
          </w:p>
        </w:tc>
        <w:tc>
          <w:tcPr>
            <w:tcW w:w="382" w:type="pct"/>
            <w:tcBorders>
              <w:tl2br w:val="nil"/>
              <w:tr2bl w:val="nil"/>
            </w:tcBorders>
            <w:shd w:val="clear" w:color="auto" w:fill="FFFFFF" w:themeFill="background1"/>
            <w:noWrap/>
            <w:vAlign w:val="center"/>
          </w:tcPr>
          <w:p w14:paraId="1C82C341">
            <w:pPr>
              <w:widowControl/>
              <w:jc w:val="center"/>
              <w:textAlignment w:val="center"/>
              <w:rPr>
                <w:rFonts w:hint="eastAsia" w:ascii="宋体" w:hAnsi="宋体" w:eastAsia="宋体" w:cs="宋体"/>
                <w:sz w:val="22"/>
                <w:szCs w:val="22"/>
              </w:rPr>
            </w:pPr>
            <w:r>
              <w:rPr>
                <w:rFonts w:hint="eastAsia" w:ascii="宋体" w:hAnsi="宋体" w:eastAsia="宋体" w:cs="宋体"/>
                <w:color w:val="000000"/>
                <w:kern w:val="0"/>
                <w:sz w:val="18"/>
                <w:szCs w:val="18"/>
                <w:lang w:bidi="ar"/>
              </w:rPr>
              <w:t>2</w:t>
            </w:r>
          </w:p>
        </w:tc>
        <w:tc>
          <w:tcPr>
            <w:tcW w:w="361" w:type="pct"/>
            <w:tcBorders>
              <w:tl2br w:val="nil"/>
              <w:tr2bl w:val="nil"/>
            </w:tcBorders>
            <w:shd w:val="clear" w:color="auto" w:fill="FFFFFF" w:themeFill="background1"/>
            <w:noWrap/>
            <w:vAlign w:val="center"/>
          </w:tcPr>
          <w:p w14:paraId="1B8B9D84">
            <w:pPr>
              <w:widowControl/>
              <w:jc w:val="center"/>
              <w:textAlignment w:val="center"/>
              <w:rPr>
                <w:rFonts w:hint="eastAsia" w:ascii="宋体" w:hAnsi="宋体" w:eastAsia="宋体" w:cs="宋体"/>
                <w:sz w:val="22"/>
                <w:szCs w:val="22"/>
              </w:rPr>
            </w:pPr>
            <w:r>
              <w:rPr>
                <w:rFonts w:hint="eastAsia" w:ascii="宋体" w:hAnsi="宋体" w:eastAsia="宋体" w:cs="宋体"/>
                <w:color w:val="000000"/>
                <w:kern w:val="0"/>
                <w:sz w:val="18"/>
                <w:szCs w:val="18"/>
                <w:lang w:bidi="ar"/>
              </w:rPr>
              <w:t>台</w:t>
            </w:r>
          </w:p>
        </w:tc>
        <w:tc>
          <w:tcPr>
            <w:tcW w:w="758" w:type="pct"/>
            <w:tcBorders>
              <w:tl2br w:val="nil"/>
              <w:tr2bl w:val="nil"/>
            </w:tcBorders>
            <w:shd w:val="clear" w:color="auto" w:fill="FFFFFF" w:themeFill="background1"/>
            <w:noWrap/>
            <w:vAlign w:val="center"/>
          </w:tcPr>
          <w:p w14:paraId="0624CE9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单价30000元，合计60000元</w:t>
            </w:r>
          </w:p>
        </w:tc>
      </w:tr>
      <w:tr w14:paraId="5EAC7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5" w:type="pct"/>
            <w:vMerge w:val="continue"/>
            <w:tcBorders>
              <w:tl2br w:val="nil"/>
              <w:tr2bl w:val="nil"/>
            </w:tcBorders>
            <w:shd w:val="clear" w:color="auto" w:fill="FFFFFF" w:themeFill="background1"/>
            <w:vAlign w:val="center"/>
          </w:tcPr>
          <w:p w14:paraId="6A8833C2">
            <w:pPr>
              <w:widowControl/>
              <w:jc w:val="center"/>
              <w:textAlignment w:val="center"/>
              <w:rPr>
                <w:rFonts w:hint="eastAsia" w:ascii="宋体" w:hAnsi="宋体" w:eastAsia="宋体" w:cs="宋体"/>
                <w:sz w:val="18"/>
                <w:szCs w:val="18"/>
              </w:rPr>
            </w:pPr>
          </w:p>
        </w:tc>
        <w:tc>
          <w:tcPr>
            <w:tcW w:w="360" w:type="pct"/>
            <w:vMerge w:val="continue"/>
            <w:tcBorders>
              <w:tl2br w:val="nil"/>
              <w:tr2bl w:val="nil"/>
            </w:tcBorders>
            <w:shd w:val="clear" w:color="auto" w:fill="FFFFFF" w:themeFill="background1"/>
            <w:vAlign w:val="center"/>
          </w:tcPr>
          <w:p w14:paraId="5A92E123">
            <w:pPr>
              <w:widowControl/>
              <w:jc w:val="center"/>
              <w:textAlignment w:val="center"/>
              <w:rPr>
                <w:rFonts w:hint="eastAsia" w:ascii="宋体" w:hAnsi="宋体" w:eastAsia="宋体" w:cs="宋体"/>
                <w:sz w:val="18"/>
                <w:szCs w:val="18"/>
              </w:rPr>
            </w:pPr>
          </w:p>
        </w:tc>
        <w:tc>
          <w:tcPr>
            <w:tcW w:w="2864" w:type="pct"/>
            <w:tcBorders>
              <w:tl2br w:val="nil"/>
              <w:tr2bl w:val="nil"/>
            </w:tcBorders>
            <w:shd w:val="clear" w:color="auto" w:fill="FFFFFF" w:themeFill="background1"/>
            <w:vAlign w:val="center"/>
          </w:tcPr>
          <w:p w14:paraId="7349E2C6">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万兆光纤模块规格要求：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协议封装：SFP+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波长：850nm</w:t>
            </w:r>
            <w:r>
              <w:rPr>
                <w:rFonts w:hint="eastAsia" w:ascii="宋体" w:hAnsi="宋体" w:eastAsia="宋体" w:cs="宋体"/>
                <w:color w:val="000000"/>
                <w:kern w:val="0"/>
                <w:sz w:val="18"/>
                <w:szCs w:val="18"/>
                <w:lang w:bidi="ar"/>
              </w:rPr>
              <w:br w:type="textWrapping"/>
            </w:r>
            <w:r>
              <w:rPr>
                <w:rFonts w:hint="eastAsia" w:ascii="宋体" w:hAnsi="宋体" w:eastAsia="宋体" w:cs="宋体"/>
                <w:kern w:val="0"/>
                <w:sz w:val="18"/>
                <w:szCs w:val="18"/>
                <w:lang w:bidi="ar"/>
              </w:rPr>
              <w:t>速率：≧10Gbit/s</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 xml:space="preserve">功率：≧-7.3dbm </w:t>
            </w:r>
            <w:r>
              <w:rPr>
                <w:rStyle w:val="13"/>
                <w:rFonts w:hint="default"/>
                <w:color w:val="auto"/>
                <w:lang w:bidi="ar"/>
              </w:rPr>
              <w:t>≦</w:t>
            </w:r>
            <w:r>
              <w:rPr>
                <w:rStyle w:val="14"/>
                <w:rFonts w:hint="default"/>
                <w:color w:val="auto"/>
                <w:sz w:val="18"/>
                <w:szCs w:val="18"/>
                <w:lang w:bidi="ar"/>
              </w:rPr>
              <w:t>-1.0dbm</w:t>
            </w:r>
            <w:r>
              <w:rPr>
                <w:rStyle w:val="14"/>
                <w:rFonts w:hint="default"/>
                <w:sz w:val="18"/>
                <w:szCs w:val="18"/>
                <w:lang w:bidi="ar"/>
              </w:rPr>
              <w:br w:type="textWrapping"/>
            </w:r>
            <w:r>
              <w:rPr>
                <w:rStyle w:val="14"/>
                <w:rFonts w:hint="default"/>
                <w:sz w:val="18"/>
                <w:szCs w:val="18"/>
                <w:lang w:bidi="ar"/>
              </w:rPr>
              <w:t>灵敏度：≧-11.1dbm</w:t>
            </w:r>
          </w:p>
        </w:tc>
        <w:tc>
          <w:tcPr>
            <w:tcW w:w="382" w:type="pct"/>
            <w:tcBorders>
              <w:tl2br w:val="nil"/>
              <w:tr2bl w:val="nil"/>
            </w:tcBorders>
            <w:shd w:val="clear" w:color="auto" w:fill="FFFFFF" w:themeFill="background1"/>
            <w:vAlign w:val="center"/>
          </w:tcPr>
          <w:p w14:paraId="528A2F89">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48</w:t>
            </w:r>
          </w:p>
        </w:tc>
        <w:tc>
          <w:tcPr>
            <w:tcW w:w="361" w:type="pct"/>
            <w:tcBorders>
              <w:tl2br w:val="nil"/>
              <w:tr2bl w:val="nil"/>
            </w:tcBorders>
            <w:shd w:val="clear" w:color="auto" w:fill="FFFFFF" w:themeFill="background1"/>
            <w:vAlign w:val="center"/>
          </w:tcPr>
          <w:p w14:paraId="47F4FC31">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个</w:t>
            </w:r>
          </w:p>
        </w:tc>
        <w:tc>
          <w:tcPr>
            <w:tcW w:w="758" w:type="pct"/>
            <w:tcBorders>
              <w:tl2br w:val="nil"/>
              <w:tr2bl w:val="nil"/>
            </w:tcBorders>
            <w:shd w:val="clear" w:color="auto" w:fill="FFFFFF" w:themeFill="background1"/>
            <w:vAlign w:val="center"/>
          </w:tcPr>
          <w:p w14:paraId="2B8FFF3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单价90元，合计4320</w:t>
            </w:r>
          </w:p>
        </w:tc>
      </w:tr>
      <w:tr w14:paraId="03F8B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5" w:type="pct"/>
            <w:vMerge w:val="continue"/>
            <w:tcBorders>
              <w:tl2br w:val="nil"/>
              <w:tr2bl w:val="nil"/>
            </w:tcBorders>
            <w:shd w:val="clear" w:color="auto" w:fill="FFFFFF" w:themeFill="background1"/>
            <w:vAlign w:val="center"/>
          </w:tcPr>
          <w:p w14:paraId="347E7253">
            <w:pPr>
              <w:widowControl/>
              <w:jc w:val="center"/>
              <w:textAlignment w:val="center"/>
              <w:rPr>
                <w:rFonts w:hint="eastAsia" w:ascii="宋体" w:hAnsi="宋体" w:eastAsia="宋体" w:cs="宋体"/>
                <w:sz w:val="18"/>
                <w:szCs w:val="18"/>
              </w:rPr>
            </w:pPr>
          </w:p>
        </w:tc>
        <w:tc>
          <w:tcPr>
            <w:tcW w:w="360" w:type="pct"/>
            <w:vMerge w:val="continue"/>
            <w:tcBorders>
              <w:tl2br w:val="nil"/>
              <w:tr2bl w:val="nil"/>
            </w:tcBorders>
            <w:shd w:val="clear" w:color="auto" w:fill="FFFFFF" w:themeFill="background1"/>
            <w:vAlign w:val="center"/>
          </w:tcPr>
          <w:p w14:paraId="1317F461">
            <w:pPr>
              <w:widowControl/>
              <w:jc w:val="center"/>
              <w:textAlignment w:val="center"/>
              <w:rPr>
                <w:rFonts w:hint="eastAsia" w:ascii="宋体" w:hAnsi="宋体" w:eastAsia="宋体" w:cs="宋体"/>
                <w:sz w:val="18"/>
                <w:szCs w:val="18"/>
              </w:rPr>
            </w:pPr>
          </w:p>
        </w:tc>
        <w:tc>
          <w:tcPr>
            <w:tcW w:w="2864" w:type="pct"/>
            <w:tcBorders>
              <w:tl2br w:val="nil"/>
              <w:tr2bl w:val="nil"/>
            </w:tcBorders>
            <w:shd w:val="clear" w:color="auto" w:fill="FFFFFF" w:themeFill="background1"/>
            <w:vAlign w:val="center"/>
          </w:tcPr>
          <w:p w14:paraId="1DADB091">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万兆多模光纤跳线（OM3 3M）</w:t>
            </w:r>
          </w:p>
        </w:tc>
        <w:tc>
          <w:tcPr>
            <w:tcW w:w="382" w:type="pct"/>
            <w:tcBorders>
              <w:tl2br w:val="nil"/>
              <w:tr2bl w:val="nil"/>
            </w:tcBorders>
            <w:shd w:val="clear" w:color="auto" w:fill="FFFFFF" w:themeFill="background1"/>
            <w:vAlign w:val="center"/>
          </w:tcPr>
          <w:p w14:paraId="3F22F5E2">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48</w:t>
            </w:r>
          </w:p>
        </w:tc>
        <w:tc>
          <w:tcPr>
            <w:tcW w:w="361" w:type="pct"/>
            <w:tcBorders>
              <w:tl2br w:val="nil"/>
              <w:tr2bl w:val="nil"/>
            </w:tcBorders>
            <w:shd w:val="clear" w:color="auto" w:fill="FFFFFF" w:themeFill="background1"/>
            <w:vAlign w:val="center"/>
          </w:tcPr>
          <w:p w14:paraId="7D9C69A5">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条</w:t>
            </w:r>
          </w:p>
        </w:tc>
        <w:tc>
          <w:tcPr>
            <w:tcW w:w="758" w:type="pct"/>
            <w:tcBorders>
              <w:tl2br w:val="nil"/>
              <w:tr2bl w:val="nil"/>
            </w:tcBorders>
            <w:shd w:val="clear" w:color="auto" w:fill="FFFFFF" w:themeFill="background1"/>
            <w:vAlign w:val="center"/>
          </w:tcPr>
          <w:p w14:paraId="7670E0B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单价47元，合计2256元</w:t>
            </w:r>
          </w:p>
        </w:tc>
      </w:tr>
      <w:tr w14:paraId="0918F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c>
          <w:tcPr>
            <w:tcW w:w="275" w:type="pct"/>
            <w:tcBorders>
              <w:tl2br w:val="nil"/>
              <w:tr2bl w:val="nil"/>
            </w:tcBorders>
            <w:shd w:val="clear" w:color="auto" w:fill="FFFFFF" w:themeFill="background1"/>
            <w:vAlign w:val="center"/>
          </w:tcPr>
          <w:p w14:paraId="4E3FC550">
            <w:pPr>
              <w:widowControl/>
              <w:jc w:val="center"/>
              <w:textAlignment w:val="center"/>
              <w:rPr>
                <w:rFonts w:hint="eastAsia" w:ascii="宋体" w:hAnsi="宋体" w:eastAsia="宋体" w:cs="宋体"/>
                <w:sz w:val="18"/>
                <w:szCs w:val="18"/>
              </w:rPr>
            </w:pPr>
            <w:r>
              <w:rPr>
                <w:rFonts w:ascii="宋体" w:hAnsi="宋体" w:eastAsia="宋体" w:cs="宋体"/>
                <w:color w:val="000000"/>
                <w:kern w:val="0"/>
                <w:sz w:val="18"/>
                <w:szCs w:val="18"/>
                <w:lang w:bidi="ar"/>
              </w:rPr>
              <w:t>5</w:t>
            </w:r>
          </w:p>
        </w:tc>
        <w:tc>
          <w:tcPr>
            <w:tcW w:w="360" w:type="pct"/>
            <w:tcBorders>
              <w:tl2br w:val="nil"/>
              <w:tr2bl w:val="nil"/>
            </w:tcBorders>
            <w:shd w:val="clear" w:color="auto" w:fill="FFFFFF" w:themeFill="background1"/>
            <w:vAlign w:val="center"/>
          </w:tcPr>
          <w:p w14:paraId="232270B6">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部署服务</w:t>
            </w:r>
          </w:p>
        </w:tc>
        <w:tc>
          <w:tcPr>
            <w:tcW w:w="2864" w:type="pct"/>
            <w:tcBorders>
              <w:tl2br w:val="nil"/>
              <w:tr2bl w:val="nil"/>
            </w:tcBorders>
            <w:shd w:val="clear" w:color="auto" w:fill="FFFFFF" w:themeFill="background1"/>
            <w:vAlign w:val="center"/>
          </w:tcPr>
          <w:p w14:paraId="0D7CEB8B">
            <w:pPr>
              <w:jc w:val="left"/>
              <w:rPr>
                <w:rFonts w:hint="eastAsia" w:ascii="宋体" w:hAnsi="宋体" w:eastAsia="宋体" w:cs="宋体"/>
                <w:sz w:val="18"/>
                <w:szCs w:val="18"/>
              </w:rPr>
            </w:pPr>
            <w:r>
              <w:rPr>
                <w:rFonts w:hint="eastAsia" w:ascii="宋体" w:hAnsi="宋体" w:eastAsia="宋体" w:cs="宋体"/>
                <w:color w:val="000000"/>
                <w:sz w:val="18"/>
                <w:szCs w:val="18"/>
              </w:rPr>
              <w:t>提供软硬件部署服务、软件开发服务、数据对接迁移服务</w:t>
            </w:r>
          </w:p>
        </w:tc>
        <w:tc>
          <w:tcPr>
            <w:tcW w:w="382" w:type="pct"/>
            <w:tcBorders>
              <w:tl2br w:val="nil"/>
              <w:tr2bl w:val="nil"/>
            </w:tcBorders>
            <w:shd w:val="clear" w:color="auto" w:fill="FFFFFF" w:themeFill="background1"/>
            <w:vAlign w:val="center"/>
          </w:tcPr>
          <w:p w14:paraId="04A44561">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1</w:t>
            </w:r>
          </w:p>
        </w:tc>
        <w:tc>
          <w:tcPr>
            <w:tcW w:w="361" w:type="pct"/>
            <w:tcBorders>
              <w:tl2br w:val="nil"/>
              <w:tr2bl w:val="nil"/>
            </w:tcBorders>
            <w:shd w:val="clear" w:color="auto" w:fill="FFFFFF" w:themeFill="background1"/>
            <w:vAlign w:val="center"/>
          </w:tcPr>
          <w:p w14:paraId="353880F6">
            <w:pPr>
              <w:jc w:val="center"/>
              <w:rPr>
                <w:rFonts w:hint="eastAsia" w:ascii="宋体" w:hAnsi="宋体" w:eastAsia="宋体" w:cs="宋体"/>
                <w:sz w:val="18"/>
                <w:szCs w:val="18"/>
              </w:rPr>
            </w:pPr>
            <w:r>
              <w:rPr>
                <w:rFonts w:hint="eastAsia" w:ascii="宋体" w:hAnsi="宋体" w:eastAsia="宋体" w:cs="宋体"/>
                <w:color w:val="000000"/>
                <w:sz w:val="18"/>
                <w:szCs w:val="18"/>
              </w:rPr>
              <w:t>项</w:t>
            </w:r>
          </w:p>
        </w:tc>
        <w:tc>
          <w:tcPr>
            <w:tcW w:w="758" w:type="pct"/>
            <w:tcBorders>
              <w:tl2br w:val="nil"/>
              <w:tr2bl w:val="nil"/>
            </w:tcBorders>
            <w:shd w:val="clear" w:color="auto" w:fill="FFFFFF" w:themeFill="background1"/>
            <w:vAlign w:val="center"/>
          </w:tcPr>
          <w:p w14:paraId="52AFC820">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58924元</w:t>
            </w:r>
          </w:p>
        </w:tc>
      </w:tr>
      <w:tr w14:paraId="2A085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atLeast"/>
        </w:trPr>
        <w:tc>
          <w:tcPr>
            <w:tcW w:w="635" w:type="pct"/>
            <w:gridSpan w:val="2"/>
            <w:tcBorders>
              <w:tl2br w:val="nil"/>
              <w:tr2bl w:val="nil"/>
            </w:tcBorders>
            <w:shd w:val="clear" w:color="auto" w:fill="FFFFFF" w:themeFill="background1"/>
            <w:vAlign w:val="center"/>
          </w:tcPr>
          <w:p w14:paraId="135C0A5D">
            <w:pPr>
              <w:jc w:val="center"/>
              <w:rPr>
                <w:rFonts w:hint="eastAsia" w:ascii="宋体" w:hAnsi="宋体" w:eastAsia="宋体" w:cs="宋体"/>
                <w:sz w:val="18"/>
                <w:szCs w:val="18"/>
              </w:rPr>
            </w:pPr>
            <w:r>
              <w:rPr>
                <w:rFonts w:hint="eastAsia" w:ascii="宋体" w:hAnsi="宋体" w:eastAsia="宋体" w:cs="宋体"/>
                <w:b/>
                <w:bCs/>
                <w:sz w:val="18"/>
                <w:szCs w:val="18"/>
              </w:rPr>
              <w:t>备注</w:t>
            </w:r>
          </w:p>
        </w:tc>
        <w:tc>
          <w:tcPr>
            <w:tcW w:w="3607" w:type="pct"/>
            <w:gridSpan w:val="3"/>
            <w:tcBorders>
              <w:tl2br w:val="nil"/>
              <w:tr2bl w:val="nil"/>
            </w:tcBorders>
            <w:shd w:val="clear" w:color="auto" w:fill="FFFFFF" w:themeFill="background1"/>
            <w:vAlign w:val="center"/>
          </w:tcPr>
          <w:p w14:paraId="74BD35DC">
            <w:pPr>
              <w:rPr>
                <w:rFonts w:hint="eastAsia" w:ascii="宋体" w:hAnsi="宋体" w:eastAsia="宋体" w:cs="宋体"/>
                <w:sz w:val="18"/>
                <w:szCs w:val="18"/>
              </w:rPr>
            </w:pPr>
            <w:r>
              <w:rPr>
                <w:rFonts w:hint="eastAsia" w:ascii="宋体" w:hAnsi="宋体" w:eastAsia="宋体" w:cs="宋体"/>
                <w:b/>
                <w:bCs/>
                <w:kern w:val="0"/>
                <w:sz w:val="18"/>
                <w:szCs w:val="18"/>
                <w:lang w:bidi="ar"/>
              </w:rPr>
              <w:t>上述需要提供证明材料的文件必须真实有效，用户保留查证、追责权利（包括不限于退货及赔偿）。所造成的损失有供应商全权承担。</w:t>
            </w:r>
          </w:p>
        </w:tc>
        <w:tc>
          <w:tcPr>
            <w:tcW w:w="758" w:type="pct"/>
            <w:tcBorders>
              <w:tl2br w:val="nil"/>
              <w:tr2bl w:val="nil"/>
            </w:tcBorders>
            <w:shd w:val="clear" w:color="auto" w:fill="FFFFFF" w:themeFill="background1"/>
            <w:vAlign w:val="center"/>
          </w:tcPr>
          <w:p w14:paraId="12D01DB5">
            <w:pPr>
              <w:rPr>
                <w:rFonts w:hint="eastAsia" w:ascii="宋体" w:hAnsi="宋体" w:eastAsia="宋体" w:cs="宋体"/>
                <w:b/>
                <w:bCs/>
                <w:kern w:val="0"/>
                <w:sz w:val="18"/>
                <w:szCs w:val="18"/>
                <w:lang w:bidi="ar"/>
              </w:rPr>
            </w:pPr>
          </w:p>
        </w:tc>
      </w:tr>
    </w:tbl>
    <w:p w14:paraId="19AD6E9E">
      <w:pPr>
        <w:spacing w:line="360" w:lineRule="auto"/>
        <w:rPr>
          <w:rFonts w:hint="eastAsia" w:ascii="宋体" w:hAnsi="宋体" w:eastAsia="宋体" w:cs="宋体"/>
          <w:color w:val="000000"/>
          <w:kern w:val="0"/>
          <w:sz w:val="24"/>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970002"/>
      <w:docPartObj>
        <w:docPartGallery w:val="AutoText"/>
      </w:docPartObj>
    </w:sdtPr>
    <w:sdtContent>
      <w:p w14:paraId="480B7463">
        <w:pPr>
          <w:pStyle w:val="3"/>
          <w:jc w:val="center"/>
        </w:pPr>
        <w:r>
          <w:fldChar w:fldCharType="begin"/>
        </w:r>
        <w:r>
          <w:instrText xml:space="preserve">PAGE   \* MERGEFORMAT</w:instrText>
        </w:r>
        <w:r>
          <w:fldChar w:fldCharType="separate"/>
        </w:r>
        <w:r>
          <w:rPr>
            <w:lang w:val="zh-CN"/>
          </w:rPr>
          <w:t>2</w:t>
        </w:r>
        <w:r>
          <w:fldChar w:fldCharType="end"/>
        </w:r>
      </w:p>
    </w:sdtContent>
  </w:sdt>
  <w:p w14:paraId="72AB211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mYmY3M2Y0M2NiYzQwYWVjNDk4OWI1MzAxNGYwYWEifQ=="/>
  </w:docVars>
  <w:rsids>
    <w:rsidRoot w:val="00C75596"/>
    <w:rsid w:val="00015408"/>
    <w:rsid w:val="00025222"/>
    <w:rsid w:val="00111CA4"/>
    <w:rsid w:val="001126CC"/>
    <w:rsid w:val="00142E85"/>
    <w:rsid w:val="001A5383"/>
    <w:rsid w:val="00261233"/>
    <w:rsid w:val="0030693F"/>
    <w:rsid w:val="00346C24"/>
    <w:rsid w:val="0035243A"/>
    <w:rsid w:val="0039484E"/>
    <w:rsid w:val="00465023"/>
    <w:rsid w:val="004C3B48"/>
    <w:rsid w:val="00543D6C"/>
    <w:rsid w:val="00546AE5"/>
    <w:rsid w:val="00637152"/>
    <w:rsid w:val="00641CB1"/>
    <w:rsid w:val="00680D2D"/>
    <w:rsid w:val="006C61EC"/>
    <w:rsid w:val="006D1232"/>
    <w:rsid w:val="006D73C0"/>
    <w:rsid w:val="006F060C"/>
    <w:rsid w:val="00750423"/>
    <w:rsid w:val="00795B88"/>
    <w:rsid w:val="007977A9"/>
    <w:rsid w:val="007C1732"/>
    <w:rsid w:val="007F1660"/>
    <w:rsid w:val="007F1A33"/>
    <w:rsid w:val="00814B77"/>
    <w:rsid w:val="008A173D"/>
    <w:rsid w:val="008D505F"/>
    <w:rsid w:val="008F67D0"/>
    <w:rsid w:val="0091776B"/>
    <w:rsid w:val="00931AD6"/>
    <w:rsid w:val="009408C1"/>
    <w:rsid w:val="0099328C"/>
    <w:rsid w:val="009E1A64"/>
    <w:rsid w:val="00AE6FD1"/>
    <w:rsid w:val="00BA61C0"/>
    <w:rsid w:val="00C11D09"/>
    <w:rsid w:val="00C45777"/>
    <w:rsid w:val="00C75596"/>
    <w:rsid w:val="00CB171F"/>
    <w:rsid w:val="00CE3EA1"/>
    <w:rsid w:val="00D05A38"/>
    <w:rsid w:val="00D45A81"/>
    <w:rsid w:val="00E07B9A"/>
    <w:rsid w:val="00E463E9"/>
    <w:rsid w:val="00EB56D1"/>
    <w:rsid w:val="00EE2D69"/>
    <w:rsid w:val="00F1019F"/>
    <w:rsid w:val="00F35421"/>
    <w:rsid w:val="044F0706"/>
    <w:rsid w:val="09A91088"/>
    <w:rsid w:val="0C7026C4"/>
    <w:rsid w:val="13DC3D21"/>
    <w:rsid w:val="21246961"/>
    <w:rsid w:val="23EE36DA"/>
    <w:rsid w:val="263549C3"/>
    <w:rsid w:val="28B25E96"/>
    <w:rsid w:val="299528CD"/>
    <w:rsid w:val="2ABD7C6A"/>
    <w:rsid w:val="2AC85053"/>
    <w:rsid w:val="31B66D9C"/>
    <w:rsid w:val="362603EA"/>
    <w:rsid w:val="3DF43E87"/>
    <w:rsid w:val="41E17EEA"/>
    <w:rsid w:val="45857350"/>
    <w:rsid w:val="47151595"/>
    <w:rsid w:val="4A8C5A07"/>
    <w:rsid w:val="4DAF5FF7"/>
    <w:rsid w:val="50147B70"/>
    <w:rsid w:val="528836D2"/>
    <w:rsid w:val="53CC7023"/>
    <w:rsid w:val="57B6301A"/>
    <w:rsid w:val="5D7E150B"/>
    <w:rsid w:val="6284202E"/>
    <w:rsid w:val="62CC1395"/>
    <w:rsid w:val="72944DD2"/>
    <w:rsid w:val="74762DFB"/>
    <w:rsid w:val="7DE50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3">
    <w:name w:val="footer"/>
    <w:basedOn w:val="1"/>
    <w:link w:val="16"/>
    <w:qFormat/>
    <w:uiPriority w:val="99"/>
    <w:pPr>
      <w:tabs>
        <w:tab w:val="center" w:pos="4153"/>
        <w:tab w:val="right" w:pos="8306"/>
      </w:tabs>
      <w:snapToGrid w:val="0"/>
      <w:jc w:val="left"/>
    </w:pPr>
    <w:rPr>
      <w:sz w:val="18"/>
      <w:szCs w:val="18"/>
    </w:rPr>
  </w:style>
  <w:style w:type="paragraph" w:styleId="4">
    <w:name w:val="header"/>
    <w:basedOn w:val="1"/>
    <w:link w:val="15"/>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styleId="10">
    <w:name w:val="HTML Sample"/>
    <w:basedOn w:val="7"/>
    <w:qFormat/>
    <w:uiPriority w:val="0"/>
    <w:rPr>
      <w:rFonts w:ascii="Courier New" w:hAnsi="Courier New"/>
    </w:rPr>
  </w:style>
  <w:style w:type="paragraph" w:customStyle="1" w:styleId="11">
    <w:name w:val="表格文字"/>
    <w:basedOn w:val="1"/>
    <w:next w:val="2"/>
    <w:qFormat/>
    <w:uiPriority w:val="0"/>
    <w:pPr>
      <w:spacing w:before="25" w:after="25"/>
      <w:jc w:val="left"/>
    </w:pPr>
    <w:rPr>
      <w:bCs/>
      <w:spacing w:val="10"/>
      <w:kern w:val="0"/>
      <w:sz w:val="24"/>
      <w:szCs w:val="20"/>
    </w:rPr>
  </w:style>
  <w:style w:type="character" w:customStyle="1" w:styleId="12">
    <w:name w:val="font31"/>
    <w:basedOn w:val="7"/>
    <w:qFormat/>
    <w:uiPriority w:val="0"/>
    <w:rPr>
      <w:rFonts w:ascii="宋体" w:hAnsi="宋体" w:eastAsia="宋体" w:cs="宋体"/>
      <w:color w:val="000000"/>
      <w:sz w:val="22"/>
      <w:szCs w:val="22"/>
      <w:u w:val="none"/>
    </w:rPr>
  </w:style>
  <w:style w:type="character" w:customStyle="1" w:styleId="13">
    <w:name w:val="font21"/>
    <w:basedOn w:val="7"/>
    <w:autoRedefine/>
    <w:qFormat/>
    <w:uiPriority w:val="0"/>
    <w:rPr>
      <w:rFonts w:hint="eastAsia" w:ascii="宋体" w:hAnsi="宋体" w:eastAsia="宋体" w:cs="宋体"/>
      <w:color w:val="FF0000"/>
      <w:sz w:val="18"/>
      <w:szCs w:val="18"/>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页眉 字符"/>
    <w:basedOn w:val="7"/>
    <w:link w:val="4"/>
    <w:qFormat/>
    <w:uiPriority w:val="0"/>
    <w:rPr>
      <w:rFonts w:asciiTheme="minorHAnsi" w:hAnsiTheme="minorHAnsi" w:eastAsiaTheme="minorEastAsia" w:cstheme="minorBidi"/>
      <w:kern w:val="2"/>
      <w:sz w:val="18"/>
      <w:szCs w:val="18"/>
    </w:rPr>
  </w:style>
  <w:style w:type="character" w:customStyle="1" w:styleId="16">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5422</Words>
  <Characters>5803</Characters>
  <Lines>42</Lines>
  <Paragraphs>11</Paragraphs>
  <TotalTime>52</TotalTime>
  <ScaleCrop>false</ScaleCrop>
  <LinksUpToDate>false</LinksUpToDate>
  <CharactersWithSpaces>5825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2024-12-10T16:41:00Z</dcterms:created>
  <dc:creator>XH</dc:creator>
  <cp:lastModifiedBy>YCYL</cp:lastModifiedBy>
  <dcterms:modified xsi:type="dcterms:W3CDTF">2024-12-13T10:59:10Z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80C4AF1824094FA08A4D0BE94398796C_13</vt:lpwstr>
  </property>
</Properties>
</file>