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F0FA763">
      <w:pPr>
        <w:spacing w:line="530" w:lineRule="exact"/>
        <w:ind w:firstLine="1760" w:firstLineChars="400"/>
        <w:jc w:val="both"/>
        <w:rPr>
          <w:rFonts w:hint="eastAsia" w:asciiTheme="minorEastAsia" w:hAnsiTheme="minorEastAsia" w:eastAsiaTheme="minorEastAsia" w:cstheme="minorEastAsia"/>
          <w:b w:val="0"/>
          <w:bCs w:val="0"/>
          <w:color w:val="000000"/>
          <w:sz w:val="44"/>
          <w:szCs w:val="44"/>
          <w:highlight w:val="none"/>
          <w:lang w:eastAsia="zh-CN"/>
        </w:rPr>
      </w:pPr>
      <w:r>
        <w:rPr>
          <w:rFonts w:hint="eastAsia" w:asciiTheme="minorEastAsia" w:hAnsiTheme="minorEastAsia" w:eastAsiaTheme="minorEastAsia" w:cstheme="minorEastAsia"/>
          <w:b w:val="0"/>
          <w:bCs w:val="0"/>
          <w:color w:val="000000"/>
          <w:sz w:val="44"/>
          <w:szCs w:val="44"/>
          <w:highlight w:val="none"/>
          <w:lang w:eastAsia="zh-CN"/>
        </w:rPr>
        <w:t>喀什地区第一人民医院</w:t>
      </w:r>
    </w:p>
    <w:p w14:paraId="4068787D">
      <w:pPr>
        <w:spacing w:line="530" w:lineRule="exact"/>
        <w:ind w:firstLine="1320" w:firstLineChars="300"/>
        <w:jc w:val="both"/>
        <w:rPr>
          <w:rFonts w:hint="eastAsia" w:asciiTheme="minorEastAsia" w:hAnsiTheme="minorEastAsia" w:eastAsiaTheme="minorEastAsia" w:cstheme="minorEastAsia"/>
          <w:b w:val="0"/>
          <w:bCs w:val="0"/>
          <w:color w:val="000000"/>
          <w:sz w:val="44"/>
          <w:szCs w:val="44"/>
          <w:highlight w:val="none"/>
          <w:lang w:eastAsia="zh-CN"/>
        </w:rPr>
      </w:pPr>
      <w:r>
        <w:rPr>
          <w:rFonts w:hint="eastAsia" w:asciiTheme="minorEastAsia" w:hAnsiTheme="minorEastAsia" w:cstheme="minorEastAsia"/>
          <w:b w:val="0"/>
          <w:bCs w:val="0"/>
          <w:color w:val="000000"/>
          <w:sz w:val="44"/>
          <w:szCs w:val="44"/>
          <w:highlight w:val="none"/>
          <w:lang w:val="en-US" w:eastAsia="zh-CN"/>
        </w:rPr>
        <w:t>干部保健项目设备</w:t>
      </w:r>
      <w:r>
        <w:rPr>
          <w:rFonts w:hint="eastAsia" w:asciiTheme="minorEastAsia" w:hAnsiTheme="minorEastAsia" w:eastAsiaTheme="minorEastAsia" w:cstheme="minorEastAsia"/>
          <w:b w:val="0"/>
          <w:bCs w:val="0"/>
          <w:color w:val="000000"/>
          <w:sz w:val="44"/>
          <w:szCs w:val="44"/>
          <w:highlight w:val="none"/>
          <w:lang w:eastAsia="zh-CN"/>
        </w:rPr>
        <w:t>采购项目</w:t>
      </w:r>
    </w:p>
    <w:p w14:paraId="3A2BB7A4">
      <w:pPr>
        <w:spacing w:line="530" w:lineRule="exact"/>
        <w:rPr>
          <w:rFonts w:hint="eastAsia" w:ascii="方正小标宋简体" w:hAnsi="方正小标宋简体" w:eastAsia="方正小标宋简体" w:cs="方正小标宋简体"/>
          <w:b w:val="0"/>
          <w:bCs w:val="0"/>
          <w:color w:val="000000"/>
          <w:sz w:val="44"/>
          <w:szCs w:val="44"/>
          <w:highlight w:val="none"/>
          <w:lang w:eastAsia="zh-CN"/>
        </w:rPr>
      </w:pPr>
    </w:p>
    <w:p w14:paraId="0734686C">
      <w:pPr>
        <w:spacing w:line="530" w:lineRule="exact"/>
        <w:rPr>
          <w:rFonts w:ascii="宋体" w:hAnsi="宋体"/>
          <w:b/>
          <w:color w:val="000000"/>
          <w:sz w:val="32"/>
          <w:szCs w:val="32"/>
          <w:shd w:val="clear" w:color="auto" w:fill="FFFFFF"/>
        </w:rPr>
      </w:pPr>
      <w:r>
        <w:rPr>
          <w:rFonts w:hint="eastAsia" w:ascii="宋体" w:hAnsi="宋体"/>
          <w:b/>
          <w:color w:val="000000"/>
          <w:sz w:val="32"/>
          <w:szCs w:val="32"/>
          <w:shd w:val="clear" w:color="auto" w:fill="FFFFFF"/>
        </w:rPr>
        <w:t>一、本项目的特定资格要求：</w:t>
      </w:r>
    </w:p>
    <w:p w14:paraId="3DE1557E">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1.具有独立承担民事责任的能力；（提供营业执照复印件）</w:t>
      </w:r>
    </w:p>
    <w:p w14:paraId="0F73804B">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 xml:space="preserve">2.具有良好的商业信誉和健全的财务会计制度；（提供承诺函及财务会计制度） </w:t>
      </w:r>
    </w:p>
    <w:p w14:paraId="1A2F3CAB">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 xml:space="preserve">3.具有履行合同所必需的设备和专业技术能力；（提供承诺函） </w:t>
      </w:r>
    </w:p>
    <w:p w14:paraId="07D07163">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 xml:space="preserve">4.有依法缴纳税收和社会保障资金的良好记录；（提供承诺函及相关缴费凭证） </w:t>
      </w:r>
    </w:p>
    <w:p w14:paraId="1A2B517D">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5.参加采购活动前三年内，在经营活动中没有重大违法记录(受行政主管部门的处罚不能参加投标)，在“信用中国”网站（www.creditchina.gov.cn）及“中国政府采购网”网站（www.ccgp.gov.cn）上未被列入失信被执行人、重大税收违法案件当事人名单以及政府采购严重违法失信行为记录名单的的供应商（提供网上查询截图）；</w:t>
      </w:r>
    </w:p>
    <w:p w14:paraId="51602F3B">
      <w:pPr>
        <w:keepNext w:val="0"/>
        <w:keepLines w:val="0"/>
        <w:pageBreakBefore w:val="0"/>
        <w:kinsoku/>
        <w:wordWrap/>
        <w:overflowPunct/>
        <w:topLinePunct w:val="0"/>
        <w:bidi w:val="0"/>
        <w:snapToGrid/>
        <w:spacing w:line="560" w:lineRule="exact"/>
        <w:ind w:firstLine="640" w:firstLineChars="200"/>
        <w:jc w:val="left"/>
        <w:textAlignment w:val="auto"/>
        <w:rPr>
          <w:rFonts w:hint="default"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6.满足《中华人民共和国政府采购法》第二十二条规定；</w:t>
      </w:r>
    </w:p>
    <w:p w14:paraId="073B3557">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7.提供医疗器械经营许可证、医疗器械经营备案凭证、所投产品的医疗器械注册证；</w:t>
      </w:r>
    </w:p>
    <w:p w14:paraId="4A6CF6CB">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所投产品属于第一类医疗器械的，需提供有效的行政主管部门颁发的医疗器械经营备案凭证（医疗器械生产许可证或医疗器械经营许可证或其他医疗器械生产经营许可证明文件）；所投产品属于第二类医疗器械的，需提供有效的行政主管部门颁发的医疗器械经营备案凭证（医疗器械生产许可证或医疗器械经营许可证或其他医疗器械生产经营许可证明文件）；所投产品属于第三类医疗器械的，需提供有效的行政主管部门颁发的医疗器械生产许可证（医疗器械经营许可证或其他医疗器械生产经营许可证明文件）；需加盖生产企业公章</w:t>
      </w:r>
    </w:p>
    <w:p w14:paraId="3BEC7AA7">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所投产品的生产企业需要通过ISO9001质量体系认证和ISO13485医疗器械质量体系认证，通过环境管理体系认证以及职业健康安全管理体系认证产品获欧盟CE认证和美国FDA认证</w:t>
      </w:r>
    </w:p>
    <w:p w14:paraId="6ED526B3">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所投产品需提供相关的产品检验报告</w:t>
      </w:r>
    </w:p>
    <w:p w14:paraId="0D90B47E">
      <w:pPr>
        <w:keepNext w:val="0"/>
        <w:keepLines w:val="0"/>
        <w:pageBreakBefore w:val="0"/>
        <w:kinsoku/>
        <w:wordWrap/>
        <w:overflowPunct/>
        <w:topLinePunct w:val="0"/>
        <w:bidi w:val="0"/>
        <w:snapToGrid/>
        <w:spacing w:line="560" w:lineRule="exact"/>
        <w:ind w:firstLine="640" w:firstLineChars="200"/>
        <w:jc w:val="left"/>
        <w:textAlignment w:val="auto"/>
        <w:rPr>
          <w:rFonts w:hint="default"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所投产品需提供生产企业的质量保证协议书（加盖公章）。</w:t>
      </w:r>
    </w:p>
    <w:p w14:paraId="6C2A497D">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8.本项目不接受联合体投标；</w:t>
      </w:r>
    </w:p>
    <w:p w14:paraId="4D3AF8F8">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9.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14:paraId="2D2C9C3B">
      <w:pPr>
        <w:keepNext w:val="0"/>
        <w:keepLines w:val="0"/>
        <w:pageBreakBefore w:val="0"/>
        <w:kinsoku/>
        <w:wordWrap/>
        <w:overflowPunct/>
        <w:topLinePunct w:val="0"/>
        <w:bidi w:val="0"/>
        <w:snapToGrid/>
        <w:spacing w:line="560" w:lineRule="exact"/>
        <w:ind w:firstLine="640" w:firstLineChars="200"/>
        <w:jc w:val="left"/>
        <w:textAlignment w:val="auto"/>
        <w:rPr>
          <w:rFonts w:hint="default"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10</w:t>
      </w:r>
      <w:r>
        <w:rPr>
          <w:rFonts w:hint="default" w:ascii="仿宋_GB2312" w:hAnsi="仿宋_GB2312" w:eastAsia="仿宋_GB2312" w:cs="仿宋_GB2312"/>
          <w:color w:val="auto"/>
          <w:kern w:val="2"/>
          <w:sz w:val="32"/>
          <w:szCs w:val="32"/>
          <w:highlight w:val="none"/>
          <w:lang w:val="en-US" w:eastAsia="zh-CN" w:bidi="ar-SA"/>
        </w:rPr>
        <w:t>.投标人提供近一年任意6个月的社保缴纳凭证及企业社保完税证明</w:t>
      </w:r>
    </w:p>
    <w:p w14:paraId="392CE783">
      <w:pPr>
        <w:keepNext w:val="0"/>
        <w:keepLines w:val="0"/>
        <w:pageBreakBefore w:val="0"/>
        <w:kinsoku/>
        <w:wordWrap/>
        <w:overflowPunct/>
        <w:topLinePunct w:val="0"/>
        <w:bidi w:val="0"/>
        <w:snapToGrid/>
        <w:spacing w:line="560" w:lineRule="exact"/>
        <w:ind w:firstLine="640" w:firstLineChars="200"/>
        <w:jc w:val="left"/>
        <w:textAlignment w:val="auto"/>
        <w:rPr>
          <w:rFonts w:hint="default"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11</w:t>
      </w:r>
      <w:r>
        <w:rPr>
          <w:rFonts w:hint="default" w:ascii="仿宋_GB2312" w:hAnsi="仿宋_GB2312" w:eastAsia="仿宋_GB2312" w:cs="仿宋_GB2312"/>
          <w:color w:val="auto"/>
          <w:kern w:val="2"/>
          <w:sz w:val="32"/>
          <w:szCs w:val="32"/>
          <w:highlight w:val="none"/>
          <w:lang w:val="en-US" w:eastAsia="zh-CN" w:bidi="ar-SA"/>
        </w:rPr>
        <w:t>.提供法定代表人身份证明和法定代表人身份证或者法定代表人授权委托书及被授权人身份证明，需提供近6个月社保缴纳证明；</w:t>
      </w:r>
    </w:p>
    <w:p w14:paraId="06B32900">
      <w:pPr>
        <w:keepNext w:val="0"/>
        <w:keepLines w:val="0"/>
        <w:pageBreakBefore w:val="0"/>
        <w:kinsoku/>
        <w:wordWrap/>
        <w:overflowPunct/>
        <w:topLinePunct w:val="0"/>
        <w:bidi w:val="0"/>
        <w:snapToGrid/>
        <w:spacing w:line="560" w:lineRule="exact"/>
        <w:ind w:firstLine="643" w:firstLineChars="200"/>
        <w:jc w:val="left"/>
        <w:textAlignment w:val="auto"/>
        <w:rPr>
          <w:rFonts w:hint="eastAsia" w:ascii="仿宋_GB2312" w:hAnsi="仿宋_GB2312" w:eastAsia="仿宋_GB2312" w:cs="仿宋_GB2312"/>
          <w:b/>
          <w:bCs/>
          <w:color w:val="FF0000"/>
          <w:kern w:val="2"/>
          <w:sz w:val="32"/>
          <w:szCs w:val="32"/>
          <w:highlight w:val="none"/>
          <w:lang w:val="en-US" w:eastAsia="zh-CN" w:bidi="ar-SA"/>
        </w:rPr>
      </w:pPr>
      <w:r>
        <w:rPr>
          <w:rFonts w:hint="eastAsia" w:ascii="仿宋_GB2312" w:hAnsi="仿宋_GB2312" w:eastAsia="仿宋_GB2312" w:cs="仿宋_GB2312"/>
          <w:b/>
          <w:bCs/>
          <w:color w:val="FF0000"/>
          <w:kern w:val="2"/>
          <w:sz w:val="32"/>
          <w:szCs w:val="32"/>
          <w:highlight w:val="none"/>
          <w:lang w:val="en-US" w:eastAsia="zh-CN" w:bidi="ar-SA"/>
        </w:rPr>
        <w:t>12.投标文件须提供上述所有文件，加盖公章。以PDF形式整体上传（资料不全的不予中标；随意上传几张图片的不予中标，严格按照文件上传资料）;</w:t>
      </w:r>
    </w:p>
    <w:p w14:paraId="746D31B9">
      <w:pPr>
        <w:keepNext w:val="0"/>
        <w:keepLines w:val="0"/>
        <w:pageBreakBefore w:val="0"/>
        <w:kinsoku/>
        <w:wordWrap/>
        <w:overflowPunct/>
        <w:topLinePunct w:val="0"/>
        <w:bidi w:val="0"/>
        <w:snapToGrid/>
        <w:spacing w:line="560" w:lineRule="exact"/>
        <w:ind w:firstLine="643" w:firstLineChars="200"/>
        <w:jc w:val="left"/>
        <w:textAlignment w:val="auto"/>
        <w:rPr>
          <w:rFonts w:hint="eastAsia" w:ascii="仿宋_GB2312" w:hAnsi="仿宋_GB2312" w:eastAsia="仿宋_GB2312" w:cs="仿宋_GB2312"/>
          <w:b/>
          <w:bCs/>
          <w:color w:val="FF0000"/>
          <w:kern w:val="2"/>
          <w:sz w:val="32"/>
          <w:szCs w:val="32"/>
          <w:highlight w:val="none"/>
          <w:lang w:val="en-US" w:eastAsia="zh-CN" w:bidi="ar-SA"/>
        </w:rPr>
      </w:pPr>
      <w:r>
        <w:rPr>
          <w:rFonts w:hint="eastAsia" w:ascii="仿宋_GB2312" w:hAnsi="仿宋_GB2312" w:eastAsia="仿宋_GB2312" w:cs="仿宋_GB2312"/>
          <w:b/>
          <w:bCs/>
          <w:color w:val="FF0000"/>
          <w:kern w:val="2"/>
          <w:sz w:val="32"/>
          <w:szCs w:val="32"/>
          <w:highlight w:val="none"/>
          <w:lang w:val="en-US" w:eastAsia="zh-CN" w:bidi="ar-SA"/>
        </w:rPr>
        <w:t>13.认真解读文件，一次性提交相关投标文件，不支持线下二次提交。</w:t>
      </w:r>
    </w:p>
    <w:p w14:paraId="7283CB51">
      <w:pPr>
        <w:keepNext w:val="0"/>
        <w:keepLines w:val="0"/>
        <w:pageBreakBefore w:val="0"/>
        <w:kinsoku/>
        <w:wordWrap/>
        <w:overflowPunct/>
        <w:topLinePunct w:val="0"/>
        <w:bidi w:val="0"/>
        <w:snapToGrid/>
        <w:spacing w:line="560" w:lineRule="exact"/>
        <w:ind w:firstLine="643" w:firstLineChars="200"/>
        <w:jc w:val="left"/>
        <w:textAlignment w:val="auto"/>
        <w:rPr>
          <w:rFonts w:hint="default" w:ascii="仿宋_GB2312" w:hAnsi="仿宋_GB2312" w:eastAsia="仿宋_GB2312" w:cs="仿宋_GB2312"/>
          <w:b/>
          <w:bCs/>
          <w:color w:val="FF0000"/>
          <w:kern w:val="2"/>
          <w:sz w:val="32"/>
          <w:szCs w:val="32"/>
          <w:highlight w:val="none"/>
          <w:lang w:val="en-US" w:eastAsia="zh-CN" w:bidi="ar-SA"/>
        </w:rPr>
      </w:pPr>
      <w:r>
        <w:rPr>
          <w:rFonts w:hint="eastAsia" w:ascii="仿宋_GB2312" w:hAnsi="仿宋_GB2312" w:eastAsia="仿宋_GB2312" w:cs="仿宋_GB2312"/>
          <w:b/>
          <w:bCs/>
          <w:color w:val="FF0000"/>
          <w:kern w:val="2"/>
          <w:sz w:val="32"/>
          <w:szCs w:val="32"/>
          <w:highlight w:val="none"/>
          <w:lang w:val="en-US" w:eastAsia="zh-CN" w:bidi="ar-SA"/>
        </w:rPr>
        <w:t>14.</w:t>
      </w:r>
      <w:r>
        <w:rPr>
          <w:rFonts w:hint="default" w:ascii="仿宋_GB2312" w:hAnsi="仿宋_GB2312" w:eastAsia="仿宋_GB2312" w:cs="仿宋_GB2312"/>
          <w:b/>
          <w:bCs/>
          <w:color w:val="FF0000"/>
          <w:kern w:val="2"/>
          <w:sz w:val="32"/>
          <w:szCs w:val="32"/>
          <w:highlight w:val="none"/>
          <w:lang w:val="en-US" w:eastAsia="zh-CN" w:bidi="ar-SA"/>
        </w:rPr>
        <w:t>未按照</w:t>
      </w:r>
      <w:r>
        <w:rPr>
          <w:rFonts w:hint="eastAsia" w:ascii="仿宋_GB2312" w:hAnsi="仿宋_GB2312" w:eastAsia="仿宋_GB2312" w:cs="仿宋_GB2312"/>
          <w:b/>
          <w:bCs/>
          <w:color w:val="FF0000"/>
          <w:kern w:val="2"/>
          <w:sz w:val="32"/>
          <w:szCs w:val="32"/>
          <w:highlight w:val="none"/>
          <w:lang w:val="en-US" w:eastAsia="zh-CN" w:bidi="ar-SA"/>
        </w:rPr>
        <w:t>招标文件</w:t>
      </w:r>
      <w:r>
        <w:rPr>
          <w:rFonts w:hint="default" w:ascii="仿宋_GB2312" w:hAnsi="仿宋_GB2312" w:eastAsia="仿宋_GB2312" w:cs="仿宋_GB2312"/>
          <w:b/>
          <w:bCs/>
          <w:color w:val="FF0000"/>
          <w:kern w:val="2"/>
          <w:sz w:val="32"/>
          <w:szCs w:val="32"/>
          <w:highlight w:val="none"/>
          <w:lang w:val="en-US" w:eastAsia="zh-CN" w:bidi="ar-SA"/>
        </w:rPr>
        <w:t>要求盲目竞价者的供应商，我单位保留投诉权力并上报喀什地区采购中心和政采云进行</w:t>
      </w:r>
      <w:r>
        <w:rPr>
          <w:rFonts w:hint="eastAsia" w:ascii="仿宋_GB2312" w:hAnsi="仿宋_GB2312" w:eastAsia="仿宋_GB2312" w:cs="仿宋_GB2312"/>
          <w:b/>
          <w:bCs/>
          <w:color w:val="FF0000"/>
          <w:kern w:val="2"/>
          <w:sz w:val="32"/>
          <w:szCs w:val="32"/>
          <w:highlight w:val="none"/>
          <w:lang w:val="en-US" w:eastAsia="zh-CN" w:bidi="ar-SA"/>
        </w:rPr>
        <w:t>处罚.</w:t>
      </w:r>
    </w:p>
    <w:p w14:paraId="6D99F6A3">
      <w:pPr>
        <w:keepNext w:val="0"/>
        <w:keepLines w:val="0"/>
        <w:pageBreakBefore w:val="0"/>
        <w:kinsoku/>
        <w:wordWrap/>
        <w:overflowPunct/>
        <w:topLinePunct w:val="0"/>
        <w:bidi w:val="0"/>
        <w:snapToGrid/>
        <w:spacing w:line="560" w:lineRule="exact"/>
        <w:ind w:firstLine="640" w:firstLineChars="200"/>
        <w:jc w:val="left"/>
        <w:textAlignment w:val="auto"/>
        <w:rPr>
          <w:rFonts w:hint="default" w:ascii="仿宋_GB2312" w:hAnsi="仿宋_GB2312" w:eastAsia="仿宋_GB2312" w:cs="仿宋_GB2312"/>
          <w:color w:val="auto"/>
          <w:kern w:val="2"/>
          <w:sz w:val="32"/>
          <w:szCs w:val="32"/>
          <w:highlight w:val="none"/>
          <w:lang w:val="en-US" w:eastAsia="zh-CN" w:bidi="ar-SA"/>
        </w:rPr>
      </w:pPr>
    </w:p>
    <w:p w14:paraId="5E9A78C6">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注：资质要求需提供的内容必须加盖公章“扫描”并以PDF格式打包上传，确保上传材料清晰（承诺函格式自拟）。</w:t>
      </w:r>
    </w:p>
    <w:p w14:paraId="38E3E793">
      <w:pPr>
        <w:keepNext w:val="0"/>
        <w:keepLines w:val="0"/>
        <w:pageBreakBefore w:val="0"/>
        <w:kinsoku/>
        <w:wordWrap/>
        <w:overflowPunct/>
        <w:topLinePunct w:val="0"/>
        <w:bidi w:val="0"/>
        <w:snapToGrid/>
        <w:spacing w:line="560" w:lineRule="exact"/>
        <w:ind w:firstLine="640" w:firstLineChars="200"/>
        <w:jc w:val="left"/>
        <w:textAlignment w:val="auto"/>
        <w:rPr>
          <w:rFonts w:hint="default" w:ascii="仿宋_GB2312" w:hAnsi="仿宋_GB2312" w:eastAsia="仿宋_GB2312" w:cs="仿宋_GB2312"/>
          <w:color w:val="auto"/>
          <w:kern w:val="2"/>
          <w:sz w:val="32"/>
          <w:szCs w:val="32"/>
          <w:highlight w:val="none"/>
          <w:lang w:val="en-US" w:eastAsia="zh-CN" w:bidi="ar-SA"/>
        </w:rPr>
      </w:pPr>
    </w:p>
    <w:p w14:paraId="7307228E">
      <w:pPr>
        <w:spacing w:line="530" w:lineRule="exact"/>
        <w:rPr>
          <w:rFonts w:hint="eastAsia" w:ascii="宋体" w:hAnsi="宋体"/>
          <w:b/>
          <w:color w:val="000000"/>
          <w:sz w:val="32"/>
          <w:szCs w:val="32"/>
          <w:shd w:val="clear" w:color="auto" w:fill="FFFFFF"/>
          <w:lang w:val="en-US" w:eastAsia="zh-CN"/>
        </w:rPr>
      </w:pPr>
      <w:r>
        <w:rPr>
          <w:rFonts w:hint="eastAsia" w:ascii="宋体" w:hAnsi="宋体"/>
          <w:b/>
          <w:color w:val="000000"/>
          <w:sz w:val="32"/>
          <w:szCs w:val="32"/>
          <w:shd w:val="clear" w:color="auto" w:fill="FFFFFF"/>
          <w:lang w:val="en-US" w:eastAsia="zh-CN"/>
        </w:rPr>
        <w:t>二、商务条款：</w:t>
      </w:r>
    </w:p>
    <w:p w14:paraId="12704DCC">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1、设备必须是全新未拆封的。</w:t>
      </w:r>
    </w:p>
    <w:p w14:paraId="35CC7569">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2、设备必须为原装产品。</w:t>
      </w:r>
    </w:p>
    <w:p w14:paraId="22F2E9B7">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3、到货期：确认中标之日起20天内。</w:t>
      </w:r>
    </w:p>
    <w:p w14:paraId="6C34B4F4">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4、安装地点：由销售方将货送至医院指点安装现场。</w:t>
      </w:r>
    </w:p>
    <w:p w14:paraId="2851DD68">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5、安装完成时间：到货2个工作日内全部调试完成。</w:t>
      </w:r>
    </w:p>
    <w:p w14:paraId="52FBA97E">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6、安装标准：有厂方工程师或有安装经验的工程师负责安装并且现场培训2-3日；符合国家有关安全技术规范和技术标准。验收不合格的产品中标方无条件更换，不再单独收取其他任何费用。</w:t>
      </w:r>
    </w:p>
    <w:p w14:paraId="489E4C24">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7、验收标准：应满足或优于与采购参数技术数据及标书技术文件，符合国家有关技术规范和技术标准。</w:t>
      </w:r>
    </w:p>
    <w:p w14:paraId="4B8CE0A1">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8、维修响应时间2小时，24小时内到达用户现场进行维修，维修时提供备用器械供科室使用。</w:t>
      </w:r>
    </w:p>
    <w:p w14:paraId="2CCC91E3">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9、设备安装后提供厂方操作和培训。</w:t>
      </w:r>
    </w:p>
    <w:p w14:paraId="1A6F570F">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10、质保：原厂保修3年，最终验收合格后60个工作日内款全部货款。</w:t>
      </w:r>
    </w:p>
    <w:p w14:paraId="32CE75FA">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11、所有费用(货物、运输保险费、安装调试费、培训费、设备第三方检测费、网络接口费、标配工具费、质保期服务、各项税费及合同实施过程中不可预见费用等)均含在报价单中.</w:t>
      </w:r>
    </w:p>
    <w:p w14:paraId="2F7F0644">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12、为保障设备质量及合法性，中标后2日内提供产品注册证。</w:t>
      </w:r>
    </w:p>
    <w:p w14:paraId="4EB263CF">
      <w:pPr>
        <w:keepNext w:val="0"/>
        <w:keepLines w:val="0"/>
        <w:pageBreakBefore w:val="0"/>
        <w:kinsoku/>
        <w:wordWrap/>
        <w:overflowPunct/>
        <w:topLinePunct w:val="0"/>
        <w:bidi w:val="0"/>
        <w:snapToGrid/>
        <w:spacing w:line="560" w:lineRule="exact"/>
        <w:ind w:firstLine="640" w:firstLineChars="200"/>
        <w:jc w:val="left"/>
        <w:textAlignment w:val="auto"/>
        <w:rPr>
          <w:rFonts w:hint="eastAsia" w:ascii="仿宋_GB2312" w:hAnsi="仿宋_GB2312" w:eastAsia="仿宋_GB2312" w:cs="仿宋_GB2312"/>
          <w:color w:val="auto"/>
          <w:kern w:val="2"/>
          <w:sz w:val="32"/>
          <w:szCs w:val="32"/>
          <w:highlight w:val="none"/>
          <w:lang w:val="en-US" w:eastAsia="zh-CN" w:bidi="ar-SA"/>
        </w:rPr>
      </w:pPr>
      <w:r>
        <w:rPr>
          <w:rFonts w:hint="eastAsia" w:ascii="仿宋_GB2312" w:hAnsi="仿宋_GB2312" w:eastAsia="仿宋_GB2312" w:cs="仿宋_GB2312"/>
          <w:color w:val="auto"/>
          <w:kern w:val="2"/>
          <w:sz w:val="32"/>
          <w:szCs w:val="32"/>
          <w:highlight w:val="none"/>
          <w:lang w:val="en-US" w:eastAsia="zh-CN" w:bidi="ar-SA"/>
        </w:rPr>
        <w:t>13、具体数量品牌明细详见附件1</w:t>
      </w:r>
      <w:r>
        <w:rPr>
          <w:rFonts w:hint="eastAsia" w:ascii="仿宋_GB2312" w:hAnsi="仿宋_GB2312" w:eastAsia="仿宋_GB2312" w:cs="仿宋_GB2312"/>
          <w:color w:val="FF0000"/>
          <w:kern w:val="2"/>
          <w:sz w:val="32"/>
          <w:szCs w:val="32"/>
          <w:highlight w:val="none"/>
          <w:lang w:val="en-US" w:eastAsia="zh-CN" w:bidi="ar-SA"/>
        </w:rPr>
        <w:t>（必须响应规定品牌参数）</w:t>
      </w:r>
    </w:p>
    <w:p w14:paraId="04DB8576">
      <w:pPr>
        <w:pStyle w:val="3"/>
        <w:rPr>
          <w:rFonts w:hint="default"/>
          <w:lang w:val="en-US" w:eastAsia="zh-CN"/>
        </w:rPr>
      </w:pPr>
    </w:p>
    <w:p w14:paraId="07440B45">
      <w:pPr>
        <w:pStyle w:val="8"/>
        <w:rPr>
          <w:rFonts w:hint="eastAsia" w:ascii="仿宋_GB2312" w:hAnsi="仿宋_GB2312" w:eastAsia="仿宋_GB2312" w:cs="仿宋_GB2312"/>
          <w:color w:val="auto"/>
          <w:kern w:val="2"/>
          <w:sz w:val="32"/>
          <w:szCs w:val="32"/>
          <w:highlight w:val="none"/>
          <w:lang w:val="en-US" w:eastAsia="zh-CN" w:bidi="ar-SA"/>
        </w:rPr>
      </w:pPr>
    </w:p>
    <w:p w14:paraId="2F6E8FED">
      <w:pPr>
        <w:pStyle w:val="8"/>
        <w:rPr>
          <w:rFonts w:hint="eastAsia" w:ascii="仿宋_GB2312" w:hAnsi="仿宋_GB2312" w:eastAsia="仿宋_GB2312" w:cs="仿宋_GB2312"/>
          <w:color w:val="auto"/>
          <w:kern w:val="2"/>
          <w:sz w:val="32"/>
          <w:szCs w:val="32"/>
          <w:highlight w:val="none"/>
          <w:lang w:val="en-US" w:eastAsia="zh-CN" w:bidi="ar-SA"/>
        </w:rPr>
      </w:pPr>
    </w:p>
    <w:p w14:paraId="70C86784">
      <w:pPr>
        <w:pStyle w:val="8"/>
        <w:rPr>
          <w:rFonts w:hint="eastAsia" w:ascii="仿宋_GB2312" w:hAnsi="仿宋_GB2312" w:eastAsia="仿宋_GB2312" w:cs="仿宋_GB2312"/>
          <w:color w:val="auto"/>
          <w:kern w:val="2"/>
          <w:sz w:val="32"/>
          <w:szCs w:val="32"/>
          <w:highlight w:val="none"/>
          <w:lang w:val="en-US" w:eastAsia="zh-CN" w:bidi="ar-SA"/>
        </w:rPr>
      </w:pPr>
    </w:p>
    <w:p w14:paraId="4BCF4769">
      <w:pPr>
        <w:spacing w:line="530" w:lineRule="exact"/>
        <w:rPr>
          <w:rFonts w:hint="eastAsia" w:ascii="宋体" w:hAnsi="宋体"/>
          <w:b/>
          <w:color w:val="000000"/>
          <w:sz w:val="32"/>
          <w:szCs w:val="32"/>
          <w:shd w:val="clear" w:color="auto" w:fill="FFFFFF"/>
          <w:lang w:val="en-US" w:eastAsia="zh-CN"/>
        </w:rPr>
      </w:pPr>
    </w:p>
    <w:p w14:paraId="5375AE36">
      <w:pPr>
        <w:spacing w:line="530" w:lineRule="exact"/>
        <w:rPr>
          <w:rFonts w:hint="eastAsia" w:ascii="宋体" w:hAnsi="宋体"/>
          <w:b/>
          <w:color w:val="000000"/>
          <w:sz w:val="32"/>
          <w:szCs w:val="32"/>
          <w:shd w:val="clear" w:color="auto" w:fill="FFFFFF"/>
          <w:lang w:val="en-US" w:eastAsia="zh-CN"/>
        </w:rPr>
      </w:pPr>
    </w:p>
    <w:p w14:paraId="6E8E8DD7">
      <w:pPr>
        <w:spacing w:line="530" w:lineRule="exact"/>
        <w:rPr>
          <w:rFonts w:hint="eastAsia" w:ascii="宋体" w:hAnsi="宋体"/>
          <w:b/>
          <w:color w:val="000000"/>
          <w:sz w:val="32"/>
          <w:szCs w:val="32"/>
          <w:shd w:val="clear" w:color="auto" w:fill="FFFFFF"/>
          <w:lang w:val="en-US" w:eastAsia="zh-CN"/>
        </w:rPr>
      </w:pPr>
    </w:p>
    <w:p w14:paraId="6DD0BF8C">
      <w:pPr>
        <w:spacing w:line="530" w:lineRule="exact"/>
        <w:rPr>
          <w:rFonts w:hint="eastAsia" w:ascii="宋体" w:hAnsi="宋体"/>
          <w:b/>
          <w:color w:val="000000"/>
          <w:sz w:val="32"/>
          <w:szCs w:val="32"/>
          <w:shd w:val="clear" w:color="auto" w:fill="FFFFFF"/>
          <w:lang w:val="en-US" w:eastAsia="zh-CN"/>
        </w:rPr>
      </w:pPr>
    </w:p>
    <w:p w14:paraId="4AC47DD5">
      <w:pPr>
        <w:spacing w:line="530" w:lineRule="exact"/>
        <w:rPr>
          <w:rFonts w:hint="eastAsia" w:ascii="宋体" w:hAnsi="宋体"/>
          <w:b/>
          <w:color w:val="000000"/>
          <w:sz w:val="32"/>
          <w:szCs w:val="32"/>
          <w:shd w:val="clear" w:color="auto" w:fill="FFFFFF"/>
          <w:lang w:val="en-US" w:eastAsia="zh-CN"/>
        </w:rPr>
      </w:pPr>
    </w:p>
    <w:p w14:paraId="0BFB8E0D">
      <w:pPr>
        <w:spacing w:line="530" w:lineRule="exact"/>
        <w:rPr>
          <w:rFonts w:hint="eastAsia" w:ascii="宋体" w:hAnsi="宋体"/>
          <w:b/>
          <w:color w:val="000000"/>
          <w:sz w:val="32"/>
          <w:szCs w:val="32"/>
          <w:shd w:val="clear" w:color="auto" w:fill="FFFFFF"/>
          <w:lang w:val="en-US" w:eastAsia="zh-CN"/>
        </w:rPr>
      </w:pPr>
    </w:p>
    <w:p w14:paraId="3ADB1B90">
      <w:pPr>
        <w:spacing w:line="530" w:lineRule="exact"/>
        <w:rPr>
          <w:rFonts w:hint="eastAsia" w:ascii="宋体" w:hAnsi="宋体"/>
          <w:b/>
          <w:color w:val="000000"/>
          <w:sz w:val="32"/>
          <w:szCs w:val="32"/>
          <w:shd w:val="clear" w:color="auto" w:fill="FFFFFF"/>
          <w:lang w:val="en-US" w:eastAsia="zh-CN"/>
        </w:rPr>
      </w:pPr>
    </w:p>
    <w:p w14:paraId="31498ACA">
      <w:pPr>
        <w:spacing w:line="530" w:lineRule="exact"/>
        <w:rPr>
          <w:rFonts w:hint="eastAsia" w:ascii="宋体" w:hAnsi="宋体"/>
          <w:b/>
          <w:color w:val="000000"/>
          <w:sz w:val="32"/>
          <w:szCs w:val="32"/>
          <w:shd w:val="clear" w:color="auto" w:fill="FFFFFF"/>
          <w:lang w:val="en-US" w:eastAsia="zh-CN"/>
        </w:rPr>
      </w:pPr>
    </w:p>
    <w:p w14:paraId="690EE178">
      <w:pPr>
        <w:spacing w:line="530" w:lineRule="exact"/>
        <w:rPr>
          <w:rFonts w:hint="eastAsia" w:ascii="宋体" w:hAnsi="宋体"/>
          <w:b/>
          <w:color w:val="000000"/>
          <w:sz w:val="32"/>
          <w:szCs w:val="32"/>
          <w:shd w:val="clear" w:color="auto" w:fill="FFFFFF"/>
          <w:lang w:val="en-US" w:eastAsia="zh-CN"/>
        </w:rPr>
      </w:pPr>
    </w:p>
    <w:p w14:paraId="4DC7EDAB">
      <w:pPr>
        <w:spacing w:line="530" w:lineRule="exact"/>
        <w:rPr>
          <w:rFonts w:hint="eastAsia" w:ascii="宋体" w:hAnsi="宋体"/>
          <w:b/>
          <w:color w:val="000000"/>
          <w:sz w:val="32"/>
          <w:szCs w:val="32"/>
          <w:shd w:val="clear" w:color="auto" w:fill="FFFFFF"/>
          <w:lang w:val="en-US" w:eastAsia="zh-CN"/>
        </w:rPr>
      </w:pPr>
    </w:p>
    <w:p w14:paraId="1184931C">
      <w:pPr>
        <w:spacing w:line="530" w:lineRule="exact"/>
        <w:rPr>
          <w:rFonts w:hint="eastAsia" w:ascii="宋体" w:hAnsi="宋体"/>
          <w:b/>
          <w:color w:val="000000"/>
          <w:sz w:val="32"/>
          <w:szCs w:val="32"/>
          <w:shd w:val="clear" w:color="auto" w:fill="FFFFFF"/>
          <w:lang w:val="en-US" w:eastAsia="zh-CN"/>
        </w:rPr>
      </w:pPr>
      <w:r>
        <w:rPr>
          <w:rFonts w:hint="eastAsia" w:ascii="宋体" w:hAnsi="宋体"/>
          <w:b/>
          <w:color w:val="000000"/>
          <w:sz w:val="32"/>
          <w:szCs w:val="32"/>
          <w:shd w:val="clear" w:color="auto" w:fill="FFFFFF"/>
          <w:lang w:val="en-US" w:eastAsia="zh-CN"/>
        </w:rPr>
        <w:t>附件1</w:t>
      </w:r>
    </w:p>
    <w:tbl>
      <w:tblPr>
        <w:tblStyle w:val="13"/>
        <w:tblW w:w="704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81"/>
        <w:gridCol w:w="1505"/>
        <w:gridCol w:w="700"/>
        <w:gridCol w:w="1200"/>
        <w:gridCol w:w="2956"/>
      </w:tblGrid>
      <w:tr w14:paraId="2EDE27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1" w:type="dxa"/>
          </w:tcPr>
          <w:p w14:paraId="329E01B5">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序号</w:t>
            </w:r>
          </w:p>
        </w:tc>
        <w:tc>
          <w:tcPr>
            <w:tcW w:w="1505" w:type="dxa"/>
          </w:tcPr>
          <w:p w14:paraId="72B45DB5">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设备名称</w:t>
            </w:r>
          </w:p>
        </w:tc>
        <w:tc>
          <w:tcPr>
            <w:tcW w:w="700" w:type="dxa"/>
          </w:tcPr>
          <w:p w14:paraId="0C7BEA9C">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数量</w:t>
            </w:r>
          </w:p>
        </w:tc>
        <w:tc>
          <w:tcPr>
            <w:tcW w:w="1200" w:type="dxa"/>
          </w:tcPr>
          <w:p w14:paraId="08E40DE9">
            <w:pPr>
              <w:pStyle w:val="25"/>
              <w:spacing w:after="0" w:line="570" w:lineRule="exact"/>
              <w:ind w:firstLine="0" w:firstLineChars="0"/>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lang w:val="en-US" w:eastAsia="zh-CN"/>
              </w:rPr>
              <w:t>品牌</w:t>
            </w:r>
          </w:p>
        </w:tc>
        <w:tc>
          <w:tcPr>
            <w:tcW w:w="2956" w:type="dxa"/>
          </w:tcPr>
          <w:p w14:paraId="2A6FC2F9">
            <w:pPr>
              <w:pStyle w:val="25"/>
              <w:spacing w:after="0" w:line="570" w:lineRule="exact"/>
              <w:ind w:firstLine="0" w:firstLineChars="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备注</w:t>
            </w:r>
          </w:p>
        </w:tc>
      </w:tr>
      <w:tr w14:paraId="0199B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1" w:type="dxa"/>
          </w:tcPr>
          <w:p w14:paraId="74B66347">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1</w:t>
            </w:r>
          </w:p>
        </w:tc>
        <w:tc>
          <w:tcPr>
            <w:tcW w:w="1505" w:type="dxa"/>
          </w:tcPr>
          <w:p w14:paraId="140B88B7">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多功能治疗车</w:t>
            </w:r>
          </w:p>
        </w:tc>
        <w:tc>
          <w:tcPr>
            <w:tcW w:w="700" w:type="dxa"/>
          </w:tcPr>
          <w:p w14:paraId="198899F1">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1</w:t>
            </w:r>
          </w:p>
        </w:tc>
        <w:tc>
          <w:tcPr>
            <w:tcW w:w="1200" w:type="dxa"/>
          </w:tcPr>
          <w:p w14:paraId="288674A4">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国泰安华</w:t>
            </w:r>
          </w:p>
        </w:tc>
        <w:tc>
          <w:tcPr>
            <w:tcW w:w="2956" w:type="dxa"/>
          </w:tcPr>
          <w:p w14:paraId="381CB1BC">
            <w:pPr>
              <w:pStyle w:val="25"/>
              <w:spacing w:after="0" w:line="570" w:lineRule="exact"/>
              <w:ind w:firstLine="0" w:firstLineChars="0"/>
              <w:jc w:val="center"/>
              <w:rPr>
                <w:rFonts w:hint="eastAsia" w:ascii="仿宋" w:hAnsi="仿宋" w:eastAsia="仿宋" w:cs="仿宋"/>
                <w:kern w:val="0"/>
                <w:sz w:val="21"/>
                <w:szCs w:val="21"/>
              </w:rPr>
            </w:pPr>
          </w:p>
        </w:tc>
      </w:tr>
      <w:tr w14:paraId="22F89C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1" w:type="dxa"/>
          </w:tcPr>
          <w:p w14:paraId="0F68C948">
            <w:pPr>
              <w:pStyle w:val="25"/>
              <w:spacing w:after="0" w:line="570" w:lineRule="exact"/>
              <w:ind w:firstLine="0" w:firstLineChars="0"/>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lang w:val="en-US" w:eastAsia="zh-CN"/>
              </w:rPr>
              <w:t>2</w:t>
            </w:r>
          </w:p>
        </w:tc>
        <w:tc>
          <w:tcPr>
            <w:tcW w:w="1505" w:type="dxa"/>
          </w:tcPr>
          <w:p w14:paraId="41FE785E">
            <w:pPr>
              <w:pStyle w:val="25"/>
              <w:spacing w:after="0" w:line="570" w:lineRule="exact"/>
              <w:ind w:firstLine="0" w:firstLineChars="0"/>
              <w:jc w:val="center"/>
              <w:rPr>
                <w:rFonts w:hint="eastAsia" w:ascii="仿宋" w:hAnsi="仿宋" w:eastAsia="仿宋" w:cs="仿宋"/>
                <w:kern w:val="0"/>
                <w:sz w:val="21"/>
                <w:szCs w:val="21"/>
                <w:lang w:val="en-US" w:eastAsia="zh-CN"/>
              </w:rPr>
            </w:pPr>
            <w:r>
              <w:rPr>
                <w:rFonts w:hint="eastAsia" w:ascii="仿宋" w:hAnsi="仿宋" w:eastAsia="仿宋" w:cs="仿宋"/>
                <w:kern w:val="0"/>
                <w:sz w:val="21"/>
                <w:szCs w:val="21"/>
              </w:rPr>
              <w:t>12导联心电图机</w:t>
            </w:r>
          </w:p>
        </w:tc>
        <w:tc>
          <w:tcPr>
            <w:tcW w:w="700" w:type="dxa"/>
          </w:tcPr>
          <w:p w14:paraId="5A5C843D">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1</w:t>
            </w:r>
          </w:p>
        </w:tc>
        <w:tc>
          <w:tcPr>
            <w:tcW w:w="1200" w:type="dxa"/>
          </w:tcPr>
          <w:p w14:paraId="2A4A0D0D">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理邦</w:t>
            </w:r>
          </w:p>
        </w:tc>
        <w:tc>
          <w:tcPr>
            <w:tcW w:w="2956" w:type="dxa"/>
          </w:tcPr>
          <w:p w14:paraId="26ADD53E">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b/>
                <w:bCs/>
                <w:kern w:val="0"/>
                <w:sz w:val="21"/>
                <w:szCs w:val="21"/>
                <w:lang w:val="en-US" w:eastAsia="zh-CN"/>
              </w:rPr>
              <w:t>（现场出纸，标配20本心电图纸）</w:t>
            </w:r>
            <w:r>
              <w:rPr>
                <w:rFonts w:hint="eastAsia" w:ascii="仿宋" w:hAnsi="仿宋" w:eastAsia="仿宋" w:cs="仿宋"/>
                <w:kern w:val="0"/>
                <w:sz w:val="21"/>
                <w:szCs w:val="21"/>
                <w:lang w:val="en-US" w:eastAsia="zh-CN"/>
              </w:rPr>
              <w:t>具体配置要求详见技术参数</w:t>
            </w:r>
          </w:p>
        </w:tc>
      </w:tr>
      <w:tr w14:paraId="002058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1" w:type="dxa"/>
          </w:tcPr>
          <w:p w14:paraId="0B4C0EF4">
            <w:pPr>
              <w:pStyle w:val="25"/>
              <w:spacing w:after="0" w:line="570" w:lineRule="exact"/>
              <w:ind w:firstLine="0" w:firstLineChars="0"/>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lang w:val="en-US" w:eastAsia="zh-CN"/>
              </w:rPr>
              <w:t>3</w:t>
            </w:r>
          </w:p>
        </w:tc>
        <w:tc>
          <w:tcPr>
            <w:tcW w:w="1505" w:type="dxa"/>
          </w:tcPr>
          <w:p w14:paraId="7FE654A5">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抢救车</w:t>
            </w:r>
          </w:p>
        </w:tc>
        <w:tc>
          <w:tcPr>
            <w:tcW w:w="700" w:type="dxa"/>
          </w:tcPr>
          <w:p w14:paraId="424A2C03">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1</w:t>
            </w:r>
          </w:p>
        </w:tc>
        <w:tc>
          <w:tcPr>
            <w:tcW w:w="1200" w:type="dxa"/>
          </w:tcPr>
          <w:p w14:paraId="3287427C">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国泰安华</w:t>
            </w:r>
          </w:p>
        </w:tc>
        <w:tc>
          <w:tcPr>
            <w:tcW w:w="2956" w:type="dxa"/>
          </w:tcPr>
          <w:p w14:paraId="4AF27D5D">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lang w:val="en-US" w:eastAsia="zh-CN"/>
              </w:rPr>
              <w:t>具体配置要求详见技术参数</w:t>
            </w:r>
          </w:p>
        </w:tc>
      </w:tr>
      <w:tr w14:paraId="63787E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1" w:type="dxa"/>
          </w:tcPr>
          <w:p w14:paraId="3CB87514">
            <w:pPr>
              <w:pStyle w:val="25"/>
              <w:spacing w:after="0" w:line="570" w:lineRule="exact"/>
              <w:ind w:firstLine="0" w:firstLineChars="0"/>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lang w:val="en-US" w:eastAsia="zh-CN"/>
              </w:rPr>
              <w:t>4</w:t>
            </w:r>
          </w:p>
        </w:tc>
        <w:tc>
          <w:tcPr>
            <w:tcW w:w="1505" w:type="dxa"/>
          </w:tcPr>
          <w:p w14:paraId="0B7053E4">
            <w:pPr>
              <w:pStyle w:val="25"/>
              <w:spacing w:after="0" w:line="570" w:lineRule="exact"/>
              <w:ind w:firstLine="0" w:firstLineChars="0"/>
              <w:jc w:val="center"/>
              <w:rPr>
                <w:rFonts w:hint="default" w:ascii="仿宋" w:hAnsi="仿宋" w:eastAsia="仿宋" w:cs="仿宋"/>
                <w:kern w:val="0"/>
                <w:sz w:val="21"/>
                <w:szCs w:val="21"/>
                <w:lang w:val="en-US" w:eastAsia="zh-CN"/>
              </w:rPr>
            </w:pPr>
            <w:r>
              <w:rPr>
                <w:rFonts w:hint="eastAsia" w:ascii="仿宋" w:hAnsi="仿宋" w:eastAsia="仿宋" w:cs="仿宋"/>
                <w:kern w:val="0"/>
                <w:sz w:val="21"/>
                <w:szCs w:val="21"/>
              </w:rPr>
              <w:t>转运车用氧气筒</w:t>
            </w:r>
            <w:r>
              <w:rPr>
                <w:rFonts w:hint="eastAsia" w:ascii="仿宋" w:hAnsi="仿宋" w:eastAsia="仿宋" w:cs="仿宋"/>
                <w:kern w:val="0"/>
                <w:sz w:val="21"/>
                <w:szCs w:val="21"/>
                <w:lang w:val="en-US" w:eastAsia="zh-CN"/>
              </w:rPr>
              <w:t>+氧气瓶推车</w:t>
            </w:r>
          </w:p>
        </w:tc>
        <w:tc>
          <w:tcPr>
            <w:tcW w:w="700" w:type="dxa"/>
          </w:tcPr>
          <w:p w14:paraId="6F4EFA36">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1</w:t>
            </w:r>
          </w:p>
        </w:tc>
        <w:tc>
          <w:tcPr>
            <w:tcW w:w="1200" w:type="dxa"/>
          </w:tcPr>
          <w:p w14:paraId="43E1E626">
            <w:pPr>
              <w:pStyle w:val="25"/>
              <w:spacing w:after="0" w:line="570" w:lineRule="exact"/>
              <w:ind w:firstLine="0" w:firstLineChars="0"/>
              <w:jc w:val="center"/>
              <w:rPr>
                <w:rFonts w:hint="default"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10L</w:t>
            </w:r>
          </w:p>
        </w:tc>
        <w:tc>
          <w:tcPr>
            <w:tcW w:w="2956" w:type="dxa"/>
          </w:tcPr>
          <w:p w14:paraId="2D8C1249">
            <w:pPr>
              <w:pStyle w:val="25"/>
              <w:spacing w:after="0" w:line="570" w:lineRule="exact"/>
              <w:ind w:firstLine="0" w:firstLineChars="0"/>
              <w:jc w:val="center"/>
              <w:rPr>
                <w:rFonts w:hint="eastAsia" w:ascii="仿宋" w:hAnsi="仿宋" w:eastAsia="仿宋" w:cs="仿宋"/>
                <w:kern w:val="0"/>
                <w:sz w:val="21"/>
                <w:szCs w:val="21"/>
              </w:rPr>
            </w:pPr>
          </w:p>
        </w:tc>
      </w:tr>
      <w:tr w14:paraId="2E6494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81" w:type="dxa"/>
          </w:tcPr>
          <w:p w14:paraId="5D750463">
            <w:pPr>
              <w:pStyle w:val="25"/>
              <w:spacing w:after="0" w:line="570" w:lineRule="exact"/>
              <w:ind w:firstLine="0" w:firstLineChars="0"/>
              <w:jc w:val="center"/>
              <w:rPr>
                <w:rFonts w:hint="eastAsia" w:ascii="仿宋" w:hAnsi="仿宋" w:eastAsia="仿宋" w:cs="仿宋"/>
                <w:kern w:val="0"/>
                <w:sz w:val="21"/>
                <w:szCs w:val="21"/>
                <w:lang w:eastAsia="zh-CN"/>
              </w:rPr>
            </w:pPr>
            <w:r>
              <w:rPr>
                <w:rFonts w:hint="eastAsia" w:ascii="仿宋" w:hAnsi="仿宋" w:eastAsia="仿宋" w:cs="仿宋"/>
                <w:kern w:val="0"/>
                <w:sz w:val="21"/>
                <w:szCs w:val="21"/>
                <w:lang w:val="en-US" w:eastAsia="zh-CN"/>
              </w:rPr>
              <w:t>5</w:t>
            </w:r>
          </w:p>
        </w:tc>
        <w:tc>
          <w:tcPr>
            <w:tcW w:w="1505" w:type="dxa"/>
          </w:tcPr>
          <w:p w14:paraId="6D363E7A">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无线呼叫器</w:t>
            </w:r>
          </w:p>
        </w:tc>
        <w:tc>
          <w:tcPr>
            <w:tcW w:w="700" w:type="dxa"/>
          </w:tcPr>
          <w:p w14:paraId="5507B978">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1</w:t>
            </w:r>
          </w:p>
        </w:tc>
        <w:tc>
          <w:tcPr>
            <w:tcW w:w="1200" w:type="dxa"/>
          </w:tcPr>
          <w:p w14:paraId="246300D8">
            <w:pPr>
              <w:pStyle w:val="25"/>
              <w:spacing w:after="0" w:line="570" w:lineRule="exact"/>
              <w:ind w:firstLine="0" w:firstLineChars="0"/>
              <w:jc w:val="center"/>
              <w:rPr>
                <w:rFonts w:hint="eastAsia" w:ascii="仿宋" w:hAnsi="仿宋" w:eastAsia="仿宋" w:cs="仿宋"/>
                <w:kern w:val="0"/>
                <w:sz w:val="21"/>
                <w:szCs w:val="21"/>
              </w:rPr>
            </w:pPr>
            <w:r>
              <w:rPr>
                <w:rFonts w:hint="eastAsia" w:ascii="仿宋" w:hAnsi="仿宋" w:eastAsia="仿宋" w:cs="仿宋"/>
                <w:kern w:val="0"/>
                <w:sz w:val="21"/>
                <w:szCs w:val="21"/>
              </w:rPr>
              <w:t>重庆特腾T210</w:t>
            </w:r>
          </w:p>
        </w:tc>
        <w:tc>
          <w:tcPr>
            <w:tcW w:w="2956" w:type="dxa"/>
          </w:tcPr>
          <w:p w14:paraId="46DB34D8">
            <w:pPr>
              <w:pStyle w:val="25"/>
              <w:spacing w:after="0" w:line="570" w:lineRule="exact"/>
              <w:ind w:firstLine="0" w:firstLineChars="0"/>
              <w:jc w:val="center"/>
              <w:rPr>
                <w:rFonts w:hint="default" w:ascii="仿宋" w:hAnsi="仿宋" w:eastAsia="仿宋" w:cs="仿宋"/>
                <w:kern w:val="0"/>
                <w:sz w:val="21"/>
                <w:szCs w:val="21"/>
                <w:lang w:val="en-US" w:eastAsia="zh-CN"/>
              </w:rPr>
            </w:pPr>
            <w:r>
              <w:rPr>
                <w:rFonts w:hint="eastAsia" w:ascii="仿宋" w:hAnsi="仿宋" w:eastAsia="仿宋" w:cs="仿宋"/>
                <w:kern w:val="0"/>
                <w:sz w:val="21"/>
                <w:szCs w:val="21"/>
                <w:lang w:val="en-US" w:eastAsia="zh-CN"/>
              </w:rPr>
              <w:t>一拖20</w:t>
            </w:r>
          </w:p>
        </w:tc>
      </w:tr>
    </w:tbl>
    <w:p w14:paraId="492DEB66">
      <w:pPr>
        <w:keepNext w:val="0"/>
        <w:keepLines w:val="0"/>
        <w:pageBreakBefore w:val="0"/>
        <w:widowControl w:val="0"/>
        <w:kinsoku/>
        <w:wordWrap/>
        <w:overflowPunct/>
        <w:topLinePunct w:val="0"/>
        <w:autoSpaceDE/>
        <w:autoSpaceDN/>
        <w:bidi w:val="0"/>
        <w:adjustRightInd/>
        <w:snapToGrid/>
        <w:spacing w:line="240" w:lineRule="auto"/>
        <w:ind w:firstLine="281" w:firstLineChars="100"/>
        <w:jc w:val="center"/>
        <w:textAlignment w:val="auto"/>
        <w:rPr>
          <w:rFonts w:hint="eastAsia" w:ascii="仿宋" w:hAnsi="仿宋" w:eastAsia="仿宋" w:cs="仿宋"/>
          <w:b/>
          <w:bCs/>
          <w:color w:val="000000" w:themeColor="text1"/>
          <w:sz w:val="24"/>
          <w:szCs w:val="24"/>
          <w:lang w:val="en-US" w:eastAsia="zh-CN"/>
          <w14:textFill>
            <w14:solidFill>
              <w14:schemeClr w14:val="tx1"/>
            </w14:solidFill>
          </w14:textFill>
        </w:rPr>
      </w:pPr>
      <w:r>
        <w:rPr>
          <w:rFonts w:hint="eastAsia" w:ascii="仿宋" w:hAnsi="仿宋" w:eastAsia="仿宋" w:cs="仿宋"/>
          <w:b/>
          <w:bCs/>
          <w:color w:val="000000" w:themeColor="text1"/>
          <w:sz w:val="28"/>
          <w:szCs w:val="28"/>
          <w:lang w:val="en-US" w:eastAsia="zh-CN"/>
          <w14:textFill>
            <w14:solidFill>
              <w14:schemeClr w14:val="tx1"/>
            </w14:solidFill>
          </w14:textFill>
        </w:rPr>
        <w:t>不锈钢抢救车技术参数</w:t>
      </w:r>
    </w:p>
    <w:p w14:paraId="3D66093B">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▲1.主要由不锈钢结构组成；</w:t>
      </w:r>
    </w:p>
    <w:p w14:paraId="1A8A3244">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2.不锈钢工艺成型两侧带有扶手，凹陷设计可防止物品滑落，凹陷尺寸：（512*433*12）mm±3mm台面配有304材质不锈钢护栏，台面上配透明软玻璃;</w:t>
      </w:r>
    </w:p>
    <w:p w14:paraId="0E672C4A">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3.车体左侧：置物盒；</w:t>
      </w:r>
    </w:p>
    <w:p w14:paraId="363D3D7A">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4.车体右侧：网篮, ABS双污物桶分色； </w:t>
      </w:r>
    </w:p>
    <w:p w14:paraId="73D75BFA">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5.▲车体正面：中控锁，配置有六层抽屉、一二三四层小抽面80mm±3mm，内空：（424*375*68）mm±3mm五层抽面120mm±3mm内空：（424*375*110）mm±3mm一深抽面240mm±3mm内空：（424*375*223）mm±3mm抽屉内 3*3分隔片，可自由分隔，抽屉有拉手、封口插槽式标示牌、防止液体及灰尘进入；</w:t>
      </w:r>
    </w:p>
    <w:p w14:paraId="4E5D3095">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▲6.车体底部：万向插入式静音轮，其中两只带刹车功能，脚轮防静电、防毛发缠绕、移动轻便灵活； </w:t>
      </w:r>
    </w:p>
    <w:p w14:paraId="0E734D17">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7.整车原厂质保3年，包含配件。</w:t>
      </w:r>
    </w:p>
    <w:p w14:paraId="2683A539">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bookmarkStart w:id="0" w:name="_GoBack"/>
      <w:bookmarkEnd w:id="0"/>
    </w:p>
    <w:p w14:paraId="409D8D8F">
      <w:pPr>
        <w:keepNext w:val="0"/>
        <w:keepLines w:val="0"/>
        <w:pageBreakBefore w:val="0"/>
        <w:widowControl w:val="0"/>
        <w:kinsoku/>
        <w:wordWrap/>
        <w:overflowPunct/>
        <w:topLinePunct w:val="0"/>
        <w:autoSpaceDE/>
        <w:autoSpaceDN/>
        <w:bidi w:val="0"/>
        <w:adjustRightInd/>
        <w:snapToGrid/>
        <w:spacing w:line="240" w:lineRule="auto"/>
        <w:ind w:firstLine="281" w:firstLineChars="100"/>
        <w:jc w:val="center"/>
        <w:textAlignment w:val="auto"/>
        <w:rPr>
          <w:rFonts w:hint="eastAsia" w:ascii="宋体" w:hAnsi="宋体"/>
        </w:rPr>
      </w:pPr>
      <w:r>
        <w:rPr>
          <w:rFonts w:hint="eastAsia" w:ascii="仿宋" w:hAnsi="仿宋" w:eastAsia="仿宋" w:cs="仿宋"/>
          <w:b/>
          <w:bCs/>
          <w:color w:val="000000" w:themeColor="text1"/>
          <w:sz w:val="28"/>
          <w:szCs w:val="28"/>
          <w:lang w:val="en-US" w:eastAsia="zh-CN"/>
          <w14:textFill>
            <w14:solidFill>
              <w14:schemeClr w14:val="tx1"/>
            </w14:solidFill>
          </w14:textFill>
        </w:rPr>
        <w:t>十二道心电图机技术参数</w:t>
      </w:r>
    </w:p>
    <w:p w14:paraId="4BF84CB8">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1.导联：12导联同步采集、显示、打印。</w:t>
      </w:r>
    </w:p>
    <w:p w14:paraId="5F3AC9EA">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2.噪声电平：≤15uVp-p</w:t>
      </w:r>
    </w:p>
    <w:p w14:paraId="0D158C96">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3.频率特性：0.05Hz-150Hz（-3db）</w:t>
      </w:r>
    </w:p>
    <w:p w14:paraId="166CE75C">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4.时间常数：≥5S</w:t>
      </w:r>
    </w:p>
    <w:p w14:paraId="1A327955">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5.耐极化电压：±650mV</w:t>
      </w:r>
    </w:p>
    <w:p w14:paraId="2DA310C3">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6.共模拟制比：≥105dB</w:t>
      </w:r>
    </w:p>
    <w:p w14:paraId="45DD517A">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7.增益：2.5 mm/mv 、5 mm/mv、10 mm/mv、20mm/mv、10/5 mm/mv、20/10 mm/mv、AGC。（提供证明文件）</w:t>
      </w:r>
    </w:p>
    <w:p w14:paraId="6736C4B9">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8.记录速度：5mm/s、10mm/s、12.5mm/s、25mm/s、50mm/s。</w:t>
      </w:r>
    </w:p>
    <w:p w14:paraId="16134533">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9.≥5英寸TFT液晶屏，支持中文、英文输入。</w:t>
      </w:r>
    </w:p>
    <w:p w14:paraId="1D9CC60F">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10.交直流两用,内置环保耐用型锂电电池,能连续工作2小时以上。</w:t>
      </w:r>
    </w:p>
    <w:p w14:paraId="7D89D684">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11.可存储最近2分钟12导联波形。</w:t>
      </w:r>
    </w:p>
    <w:p w14:paraId="466B7DA8">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12.可存储回放300例病人数据，数据可通过SD卡、USB口导入导出，并可通过U盘,扩展内存容量。</w:t>
      </w:r>
    </w:p>
    <w:p w14:paraId="3DD78C69">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13.具有导联连接示意图,能准确判定接触不良的电极，提示各个导联脱落的信息。</w:t>
      </w:r>
    </w:p>
    <w:p w14:paraId="5226E321">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14.具有隐藏式提手，美观大方。</w:t>
      </w:r>
    </w:p>
    <w:p w14:paraId="0FBE6680">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15.通过CFDA、CE认证。</w:t>
      </w:r>
    </w:p>
    <w:p w14:paraId="0A8348F4">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16.为保证售后服务的及时有效性，要求提供厂家驻本省的办事处证明文件。</w:t>
      </w:r>
    </w:p>
    <w:p w14:paraId="3452E26C">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17.整机质保3年</w:t>
      </w:r>
    </w:p>
    <w:p w14:paraId="32BB765A">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r>
        <w:rPr>
          <w:rFonts w:hint="eastAsia" w:ascii="仿宋" w:hAnsi="仿宋" w:eastAsia="仿宋" w:cs="仿宋"/>
          <w:color w:val="000000" w:themeColor="text1"/>
          <w:sz w:val="24"/>
          <w:szCs w:val="24"/>
          <w:lang w:val="en-US" w:eastAsia="zh-CN"/>
          <w14:textFill>
            <w14:solidFill>
              <w14:schemeClr w14:val="tx1"/>
            </w14:solidFill>
          </w14:textFill>
        </w:rPr>
        <w:t>18.配20本心电图纸。</w:t>
      </w:r>
    </w:p>
    <w:p w14:paraId="427B6C85">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p>
    <w:p w14:paraId="452CFC49">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p>
    <w:p w14:paraId="4ECD203B">
      <w:pPr>
        <w:keepNext w:val="0"/>
        <w:keepLines w:val="0"/>
        <w:pageBreakBefore w:val="0"/>
        <w:widowControl w:val="0"/>
        <w:kinsoku/>
        <w:wordWrap/>
        <w:overflowPunct/>
        <w:topLinePunct w:val="0"/>
        <w:autoSpaceDE/>
        <w:autoSpaceDN/>
        <w:bidi w:val="0"/>
        <w:adjustRightInd/>
        <w:snapToGrid/>
        <w:spacing w:line="240" w:lineRule="auto"/>
        <w:ind w:firstLine="240" w:firstLineChars="100"/>
        <w:textAlignment w:val="auto"/>
        <w:rPr>
          <w:rFonts w:hint="eastAsia" w:ascii="仿宋" w:hAnsi="仿宋" w:eastAsia="仿宋" w:cs="仿宋"/>
          <w:color w:val="000000" w:themeColor="text1"/>
          <w:sz w:val="24"/>
          <w:szCs w:val="24"/>
          <w:lang w:val="en-US" w:eastAsia="zh-CN"/>
          <w14:textFill>
            <w14:solidFill>
              <w14:schemeClr w14:val="tx1"/>
            </w14:solidFill>
          </w14:textFill>
        </w:rPr>
      </w:pPr>
    </w:p>
    <w:p w14:paraId="7E591371">
      <w:pPr>
        <w:spacing w:line="530" w:lineRule="exact"/>
        <w:rPr>
          <w:rFonts w:hint="eastAsia" w:ascii="宋体" w:hAnsi="宋体"/>
          <w:b/>
          <w:color w:val="000000"/>
          <w:sz w:val="32"/>
          <w:szCs w:val="32"/>
          <w:shd w:val="clear" w:color="auto" w:fill="FFFFFF"/>
          <w:lang w:val="en-US" w:eastAsia="zh-CN"/>
        </w:rPr>
      </w:pPr>
    </w:p>
    <w:p w14:paraId="5043AFD0">
      <w:pPr>
        <w:pStyle w:val="3"/>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仿宋_GB2312">
    <w:altName w:val="仿宋"/>
    <w:panose1 w:val="02010609030101010101"/>
    <w:charset w:val="86"/>
    <w:family w:val="auto"/>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Arial Unicode MS">
    <w:altName w:val="宋体"/>
    <w:panose1 w:val="020B0604020202020204"/>
    <w:charset w:val="86"/>
    <w:family w:val="swiss"/>
    <w:pitch w:val="default"/>
    <w:sig w:usb0="00000000" w:usb1="00000000" w:usb2="0000003F" w:usb3="00000000" w:csb0="003F01FF" w:csb1="00000000"/>
  </w:font>
  <w:font w:name="方正小标宋简体">
    <w:altName w:val="黑体"/>
    <w:panose1 w:val="02000000000000000000"/>
    <w:charset w:val="86"/>
    <w:family w:val="auto"/>
    <w:pitch w:val="default"/>
    <w:sig w:usb0="00000000" w:usb1="0000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7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kzYzQ5MjQ4YzliOTNkYmE0ODM3ZTA0NTc2NTYxZDMifQ=="/>
  </w:docVars>
  <w:rsids>
    <w:rsidRoot w:val="746661FD"/>
    <w:rsid w:val="00014F6E"/>
    <w:rsid w:val="00016876"/>
    <w:rsid w:val="00082017"/>
    <w:rsid w:val="000C3B70"/>
    <w:rsid w:val="000E6026"/>
    <w:rsid w:val="001A36E3"/>
    <w:rsid w:val="002D2663"/>
    <w:rsid w:val="002E4CFF"/>
    <w:rsid w:val="00324B36"/>
    <w:rsid w:val="0045526F"/>
    <w:rsid w:val="004F1CB1"/>
    <w:rsid w:val="00513DD7"/>
    <w:rsid w:val="005270A0"/>
    <w:rsid w:val="00666F08"/>
    <w:rsid w:val="006833ED"/>
    <w:rsid w:val="006B31C3"/>
    <w:rsid w:val="007F1B34"/>
    <w:rsid w:val="0080127E"/>
    <w:rsid w:val="00845BED"/>
    <w:rsid w:val="00860D3E"/>
    <w:rsid w:val="009F1F9A"/>
    <w:rsid w:val="00B03DBD"/>
    <w:rsid w:val="00B35521"/>
    <w:rsid w:val="00C02526"/>
    <w:rsid w:val="00C84170"/>
    <w:rsid w:val="00C90552"/>
    <w:rsid w:val="00D27BF9"/>
    <w:rsid w:val="00DA3745"/>
    <w:rsid w:val="00E60B8D"/>
    <w:rsid w:val="00EA7FE5"/>
    <w:rsid w:val="00F31DAD"/>
    <w:rsid w:val="016245C6"/>
    <w:rsid w:val="016E2F6B"/>
    <w:rsid w:val="0264611C"/>
    <w:rsid w:val="0288005D"/>
    <w:rsid w:val="029307AF"/>
    <w:rsid w:val="03023E18"/>
    <w:rsid w:val="03060F81"/>
    <w:rsid w:val="0328714A"/>
    <w:rsid w:val="03B15391"/>
    <w:rsid w:val="040556DD"/>
    <w:rsid w:val="045B52FD"/>
    <w:rsid w:val="045F303F"/>
    <w:rsid w:val="049525BD"/>
    <w:rsid w:val="04B941A7"/>
    <w:rsid w:val="05C375FE"/>
    <w:rsid w:val="05F94DCD"/>
    <w:rsid w:val="062C6F51"/>
    <w:rsid w:val="072E0AA7"/>
    <w:rsid w:val="08002443"/>
    <w:rsid w:val="082F4AD6"/>
    <w:rsid w:val="0A9652E1"/>
    <w:rsid w:val="0B2D79F3"/>
    <w:rsid w:val="0B584344"/>
    <w:rsid w:val="0BEF6A57"/>
    <w:rsid w:val="0C083FBC"/>
    <w:rsid w:val="0C1E5C60"/>
    <w:rsid w:val="0C7B76B0"/>
    <w:rsid w:val="0D132C19"/>
    <w:rsid w:val="0D2210AE"/>
    <w:rsid w:val="0D3A01A5"/>
    <w:rsid w:val="0DED61F3"/>
    <w:rsid w:val="10F26778"/>
    <w:rsid w:val="10FE598E"/>
    <w:rsid w:val="11A26319"/>
    <w:rsid w:val="11D54318"/>
    <w:rsid w:val="11E3705D"/>
    <w:rsid w:val="12072620"/>
    <w:rsid w:val="12C329EB"/>
    <w:rsid w:val="12D90460"/>
    <w:rsid w:val="133D279D"/>
    <w:rsid w:val="13743CE5"/>
    <w:rsid w:val="13B16CE7"/>
    <w:rsid w:val="13F37300"/>
    <w:rsid w:val="13F866C4"/>
    <w:rsid w:val="140212F1"/>
    <w:rsid w:val="15127C5A"/>
    <w:rsid w:val="151B5035"/>
    <w:rsid w:val="15DA2525"/>
    <w:rsid w:val="16184DFC"/>
    <w:rsid w:val="16A13043"/>
    <w:rsid w:val="16F05D79"/>
    <w:rsid w:val="16F47617"/>
    <w:rsid w:val="1769674F"/>
    <w:rsid w:val="176A1687"/>
    <w:rsid w:val="179E3A27"/>
    <w:rsid w:val="17D905BB"/>
    <w:rsid w:val="18477C1A"/>
    <w:rsid w:val="18C059DC"/>
    <w:rsid w:val="194128BC"/>
    <w:rsid w:val="19B72B7E"/>
    <w:rsid w:val="1A5E6A5E"/>
    <w:rsid w:val="1AF04599"/>
    <w:rsid w:val="1B23671D"/>
    <w:rsid w:val="1B356450"/>
    <w:rsid w:val="1BC872C4"/>
    <w:rsid w:val="1BD85B42"/>
    <w:rsid w:val="1C387FA6"/>
    <w:rsid w:val="1C626DD1"/>
    <w:rsid w:val="1D28001A"/>
    <w:rsid w:val="1E197963"/>
    <w:rsid w:val="1E3119A7"/>
    <w:rsid w:val="1ECC5D67"/>
    <w:rsid w:val="1EFD1033"/>
    <w:rsid w:val="20967991"/>
    <w:rsid w:val="20D364EF"/>
    <w:rsid w:val="216D06F2"/>
    <w:rsid w:val="21C916A0"/>
    <w:rsid w:val="22916B2A"/>
    <w:rsid w:val="22943A5C"/>
    <w:rsid w:val="233174FD"/>
    <w:rsid w:val="23B1063E"/>
    <w:rsid w:val="243472A5"/>
    <w:rsid w:val="24EC7B7F"/>
    <w:rsid w:val="250A6C2E"/>
    <w:rsid w:val="250D7AF6"/>
    <w:rsid w:val="255D2F54"/>
    <w:rsid w:val="25D16D75"/>
    <w:rsid w:val="2613738E"/>
    <w:rsid w:val="26647BE9"/>
    <w:rsid w:val="26964247"/>
    <w:rsid w:val="26971D6D"/>
    <w:rsid w:val="26A85D28"/>
    <w:rsid w:val="26E256DE"/>
    <w:rsid w:val="27147861"/>
    <w:rsid w:val="27A26C1B"/>
    <w:rsid w:val="27AB1F74"/>
    <w:rsid w:val="27B626C7"/>
    <w:rsid w:val="28341F69"/>
    <w:rsid w:val="28AF339E"/>
    <w:rsid w:val="28E514B5"/>
    <w:rsid w:val="292E4C0A"/>
    <w:rsid w:val="294855A0"/>
    <w:rsid w:val="2A306760"/>
    <w:rsid w:val="2A5C1303"/>
    <w:rsid w:val="2A6D3510"/>
    <w:rsid w:val="2A7F3244"/>
    <w:rsid w:val="2B2D0EF2"/>
    <w:rsid w:val="2B715282"/>
    <w:rsid w:val="2BAC0068"/>
    <w:rsid w:val="2C091017"/>
    <w:rsid w:val="2C6253F9"/>
    <w:rsid w:val="2CB05936"/>
    <w:rsid w:val="2CCB6C14"/>
    <w:rsid w:val="2CDC672B"/>
    <w:rsid w:val="2D502C75"/>
    <w:rsid w:val="2D8A43D9"/>
    <w:rsid w:val="2F464330"/>
    <w:rsid w:val="2FCA6D0F"/>
    <w:rsid w:val="2FF3270A"/>
    <w:rsid w:val="30564A47"/>
    <w:rsid w:val="306453B6"/>
    <w:rsid w:val="306F78B6"/>
    <w:rsid w:val="307A24E3"/>
    <w:rsid w:val="312A38FC"/>
    <w:rsid w:val="314B3E80"/>
    <w:rsid w:val="31EA1623"/>
    <w:rsid w:val="31F462C5"/>
    <w:rsid w:val="321C75CA"/>
    <w:rsid w:val="32E93950"/>
    <w:rsid w:val="33482D6D"/>
    <w:rsid w:val="334D2131"/>
    <w:rsid w:val="33863895"/>
    <w:rsid w:val="34394463"/>
    <w:rsid w:val="34BF2BBB"/>
    <w:rsid w:val="34EF0FC6"/>
    <w:rsid w:val="35FC1BEC"/>
    <w:rsid w:val="36251708"/>
    <w:rsid w:val="36CA3A99"/>
    <w:rsid w:val="375021F0"/>
    <w:rsid w:val="37826121"/>
    <w:rsid w:val="38903F7C"/>
    <w:rsid w:val="38CC7F9C"/>
    <w:rsid w:val="39785A2E"/>
    <w:rsid w:val="39C26CA9"/>
    <w:rsid w:val="39C96289"/>
    <w:rsid w:val="3A2636DC"/>
    <w:rsid w:val="3A347BA7"/>
    <w:rsid w:val="3A8B1791"/>
    <w:rsid w:val="3ACC6031"/>
    <w:rsid w:val="3BA66882"/>
    <w:rsid w:val="3BB16FD5"/>
    <w:rsid w:val="3C073006"/>
    <w:rsid w:val="3C095063"/>
    <w:rsid w:val="3C1D466B"/>
    <w:rsid w:val="3C277297"/>
    <w:rsid w:val="3C282600"/>
    <w:rsid w:val="3C2E05A3"/>
    <w:rsid w:val="3C3A6FCB"/>
    <w:rsid w:val="3C4D13F4"/>
    <w:rsid w:val="3C830972"/>
    <w:rsid w:val="3C8438BE"/>
    <w:rsid w:val="3D7824A0"/>
    <w:rsid w:val="3DCE5EAD"/>
    <w:rsid w:val="3E432AAE"/>
    <w:rsid w:val="3E495BEB"/>
    <w:rsid w:val="3E6622F9"/>
    <w:rsid w:val="3E6B790F"/>
    <w:rsid w:val="3EAA6689"/>
    <w:rsid w:val="3F8073EA"/>
    <w:rsid w:val="3FB86B84"/>
    <w:rsid w:val="40436D96"/>
    <w:rsid w:val="40E165AE"/>
    <w:rsid w:val="413D1A37"/>
    <w:rsid w:val="418A27A2"/>
    <w:rsid w:val="41C04416"/>
    <w:rsid w:val="41E73751"/>
    <w:rsid w:val="421F7E6A"/>
    <w:rsid w:val="424B7A51"/>
    <w:rsid w:val="42B555FD"/>
    <w:rsid w:val="430976F7"/>
    <w:rsid w:val="43FD36FF"/>
    <w:rsid w:val="44330ECF"/>
    <w:rsid w:val="4473751E"/>
    <w:rsid w:val="44894F93"/>
    <w:rsid w:val="45F75F2C"/>
    <w:rsid w:val="46205483"/>
    <w:rsid w:val="465810C1"/>
    <w:rsid w:val="467B090B"/>
    <w:rsid w:val="469A6FE4"/>
    <w:rsid w:val="471054F8"/>
    <w:rsid w:val="473E2065"/>
    <w:rsid w:val="483B2A48"/>
    <w:rsid w:val="4A78588E"/>
    <w:rsid w:val="4AFD2237"/>
    <w:rsid w:val="4B7342A7"/>
    <w:rsid w:val="4C2B677E"/>
    <w:rsid w:val="4C4B74C0"/>
    <w:rsid w:val="4CB42DC9"/>
    <w:rsid w:val="4D381304"/>
    <w:rsid w:val="4DC64B62"/>
    <w:rsid w:val="4E65437B"/>
    <w:rsid w:val="4E694BB7"/>
    <w:rsid w:val="4EAA4484"/>
    <w:rsid w:val="4F17481C"/>
    <w:rsid w:val="4F195165"/>
    <w:rsid w:val="4F50502B"/>
    <w:rsid w:val="50F32112"/>
    <w:rsid w:val="51B13133"/>
    <w:rsid w:val="51B353FD"/>
    <w:rsid w:val="51F41920"/>
    <w:rsid w:val="525E7A5F"/>
    <w:rsid w:val="529318DB"/>
    <w:rsid w:val="53607807"/>
    <w:rsid w:val="53B536AF"/>
    <w:rsid w:val="53F70AD0"/>
    <w:rsid w:val="54554E92"/>
    <w:rsid w:val="54F527D2"/>
    <w:rsid w:val="55012924"/>
    <w:rsid w:val="55346855"/>
    <w:rsid w:val="556233C2"/>
    <w:rsid w:val="55A56BF2"/>
    <w:rsid w:val="55AA2FBB"/>
    <w:rsid w:val="56837A94"/>
    <w:rsid w:val="56D025AE"/>
    <w:rsid w:val="57435475"/>
    <w:rsid w:val="5789732C"/>
    <w:rsid w:val="57B81206"/>
    <w:rsid w:val="57F86260"/>
    <w:rsid w:val="584A4D9D"/>
    <w:rsid w:val="58845D45"/>
    <w:rsid w:val="58CD6519"/>
    <w:rsid w:val="5A4A2677"/>
    <w:rsid w:val="5AF820D3"/>
    <w:rsid w:val="5B01542B"/>
    <w:rsid w:val="5C606182"/>
    <w:rsid w:val="5CD526CC"/>
    <w:rsid w:val="5D5061F6"/>
    <w:rsid w:val="5D6D0B56"/>
    <w:rsid w:val="5DE52DE2"/>
    <w:rsid w:val="5EDD7F5D"/>
    <w:rsid w:val="5FFE018B"/>
    <w:rsid w:val="60932FCA"/>
    <w:rsid w:val="60C413D5"/>
    <w:rsid w:val="61914BE1"/>
    <w:rsid w:val="629C2750"/>
    <w:rsid w:val="62B15989"/>
    <w:rsid w:val="62C21944"/>
    <w:rsid w:val="62C3746A"/>
    <w:rsid w:val="635B76A3"/>
    <w:rsid w:val="637013A0"/>
    <w:rsid w:val="638921AF"/>
    <w:rsid w:val="63E43B3C"/>
    <w:rsid w:val="646A4041"/>
    <w:rsid w:val="648D7D30"/>
    <w:rsid w:val="64F61D79"/>
    <w:rsid w:val="65143FAD"/>
    <w:rsid w:val="6549634D"/>
    <w:rsid w:val="65DF0A5F"/>
    <w:rsid w:val="6635242D"/>
    <w:rsid w:val="66410DD2"/>
    <w:rsid w:val="66522FDF"/>
    <w:rsid w:val="66AF3F8D"/>
    <w:rsid w:val="671464E6"/>
    <w:rsid w:val="67C223E6"/>
    <w:rsid w:val="682D3D04"/>
    <w:rsid w:val="695E1C9B"/>
    <w:rsid w:val="69937B96"/>
    <w:rsid w:val="69A00505"/>
    <w:rsid w:val="6A9E4A45"/>
    <w:rsid w:val="6AED1528"/>
    <w:rsid w:val="6C467142"/>
    <w:rsid w:val="6C975BF0"/>
    <w:rsid w:val="6D602485"/>
    <w:rsid w:val="6D741A8D"/>
    <w:rsid w:val="6DC76061"/>
    <w:rsid w:val="6E1E5E33"/>
    <w:rsid w:val="6F525DFE"/>
    <w:rsid w:val="704E2A69"/>
    <w:rsid w:val="7064403B"/>
    <w:rsid w:val="709C1A26"/>
    <w:rsid w:val="713C4FB8"/>
    <w:rsid w:val="717958C4"/>
    <w:rsid w:val="717C7162"/>
    <w:rsid w:val="71B27028"/>
    <w:rsid w:val="71E01DE7"/>
    <w:rsid w:val="724A3704"/>
    <w:rsid w:val="72CE1FD6"/>
    <w:rsid w:val="72DA419A"/>
    <w:rsid w:val="7329331A"/>
    <w:rsid w:val="73770529"/>
    <w:rsid w:val="73BA21C4"/>
    <w:rsid w:val="73C13552"/>
    <w:rsid w:val="74035919"/>
    <w:rsid w:val="74373814"/>
    <w:rsid w:val="746661FD"/>
    <w:rsid w:val="74B9247B"/>
    <w:rsid w:val="75812F99"/>
    <w:rsid w:val="75D73501"/>
    <w:rsid w:val="75D752AF"/>
    <w:rsid w:val="75F145C2"/>
    <w:rsid w:val="76C375E1"/>
    <w:rsid w:val="76CA0970"/>
    <w:rsid w:val="776E1416"/>
    <w:rsid w:val="779A6594"/>
    <w:rsid w:val="78484242"/>
    <w:rsid w:val="789B25C4"/>
    <w:rsid w:val="78EA70A7"/>
    <w:rsid w:val="79142376"/>
    <w:rsid w:val="79444A09"/>
    <w:rsid w:val="7993773F"/>
    <w:rsid w:val="7A4B1DC7"/>
    <w:rsid w:val="7A7B08FF"/>
    <w:rsid w:val="7AD65B35"/>
    <w:rsid w:val="7B694BFB"/>
    <w:rsid w:val="7B6A44CF"/>
    <w:rsid w:val="7BFC781D"/>
    <w:rsid w:val="7C0D37D8"/>
    <w:rsid w:val="7C667DC9"/>
    <w:rsid w:val="7CB974BC"/>
    <w:rsid w:val="7CC55E61"/>
    <w:rsid w:val="7E097FCF"/>
    <w:rsid w:val="7E2D63B4"/>
    <w:rsid w:val="7E4E00D8"/>
    <w:rsid w:val="7EC34622"/>
    <w:rsid w:val="7F205AEE"/>
    <w:rsid w:val="7FDD67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99"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2"/>
    <w:basedOn w:val="1"/>
    <w:next w:val="1"/>
    <w:semiHidden/>
    <w:unhideWhenUsed/>
    <w:qFormat/>
    <w:uiPriority w:val="9"/>
    <w:pPr>
      <w:keepNext/>
      <w:keepLines/>
      <w:spacing w:before="160" w:after="80"/>
      <w:jc w:val="left"/>
      <w:outlineLvl w:val="1"/>
    </w:pPr>
    <w:rPr>
      <w:rFonts w:asciiTheme="majorHAnsi" w:hAnsiTheme="majorHAnsi" w:eastAsiaTheme="majorEastAsia" w:cstheme="majorBidi"/>
      <w:color w:val="2E75B6" w:themeColor="accent1" w:themeShade="BF"/>
      <w:sz w:val="40"/>
      <w:szCs w:val="40"/>
      <w14:ligatures w14:val="standardContextual"/>
    </w:rPr>
  </w:style>
  <w:style w:type="character" w:default="1" w:styleId="14">
    <w:name w:val="Default Paragraph Font"/>
    <w:semiHidden/>
    <w:unhideWhenUsed/>
    <w:qFormat/>
    <w:uiPriority w:val="1"/>
  </w:style>
  <w:style w:type="table" w:default="1" w:styleId="12">
    <w:name w:val="Normal Table"/>
    <w:semiHidden/>
    <w:unhideWhenUsed/>
    <w:qFormat/>
    <w:uiPriority w:val="99"/>
    <w:tblPr>
      <w:tblCellMar>
        <w:top w:w="0" w:type="dxa"/>
        <w:left w:w="108" w:type="dxa"/>
        <w:bottom w:w="0" w:type="dxa"/>
        <w:right w:w="108" w:type="dxa"/>
      </w:tblCellMar>
    </w:tblPr>
  </w:style>
  <w:style w:type="paragraph" w:styleId="3">
    <w:name w:val="Body Text"/>
    <w:basedOn w:val="1"/>
    <w:qFormat/>
    <w:uiPriority w:val="0"/>
    <w:pPr>
      <w:spacing w:after="120"/>
    </w:pPr>
    <w:rPr>
      <w:rFonts w:ascii="Calibri" w:hAnsi="Calibri" w:eastAsia="宋体" w:cs="宋体"/>
      <w:szCs w:val="22"/>
    </w:rPr>
  </w:style>
  <w:style w:type="paragraph" w:styleId="4">
    <w:name w:val="Body Text Indent"/>
    <w:basedOn w:val="1"/>
    <w:next w:val="5"/>
    <w:unhideWhenUsed/>
    <w:qFormat/>
    <w:uiPriority w:val="0"/>
    <w:pPr>
      <w:spacing w:after="120"/>
      <w:ind w:left="420" w:leftChars="200"/>
    </w:pPr>
  </w:style>
  <w:style w:type="paragraph" w:customStyle="1" w:styleId="5">
    <w:name w:val="Default"/>
    <w:autoRedefine/>
    <w:qFormat/>
    <w:uiPriority w:val="0"/>
    <w:pPr>
      <w:widowControl w:val="0"/>
      <w:autoSpaceDE w:val="0"/>
      <w:autoSpaceDN w:val="0"/>
      <w:adjustRightInd w:val="0"/>
    </w:pPr>
    <w:rPr>
      <w:rFonts w:ascii="仿宋_GB2312" w:hAnsi="Calibri" w:eastAsia="仿宋_GB2312" w:cs="仿宋_GB2312"/>
      <w:color w:val="000000"/>
      <w:sz w:val="24"/>
      <w:szCs w:val="24"/>
      <w:lang w:val="en-US" w:eastAsia="zh-CN" w:bidi="ar-SA"/>
    </w:rPr>
  </w:style>
  <w:style w:type="paragraph" w:styleId="6">
    <w:name w:val="footer"/>
    <w:basedOn w:val="1"/>
    <w:link w:val="18"/>
    <w:autoRedefine/>
    <w:qFormat/>
    <w:uiPriority w:val="0"/>
    <w:pPr>
      <w:tabs>
        <w:tab w:val="center" w:pos="4153"/>
        <w:tab w:val="right" w:pos="8306"/>
      </w:tabs>
      <w:snapToGrid w:val="0"/>
      <w:jc w:val="left"/>
    </w:pPr>
    <w:rPr>
      <w:sz w:val="18"/>
      <w:szCs w:val="18"/>
    </w:rPr>
  </w:style>
  <w:style w:type="paragraph" w:styleId="7">
    <w:name w:val="header"/>
    <w:basedOn w:val="1"/>
    <w:link w:val="17"/>
    <w:autoRedefine/>
    <w:qFormat/>
    <w:uiPriority w:val="0"/>
    <w:pPr>
      <w:pBdr>
        <w:bottom w:val="single" w:color="auto" w:sz="6" w:space="1"/>
      </w:pBdr>
      <w:tabs>
        <w:tab w:val="center" w:pos="4153"/>
        <w:tab w:val="right" w:pos="8306"/>
      </w:tabs>
      <w:snapToGrid w:val="0"/>
      <w:jc w:val="center"/>
    </w:pPr>
    <w:rPr>
      <w:sz w:val="18"/>
      <w:szCs w:val="18"/>
    </w:rPr>
  </w:style>
  <w:style w:type="paragraph" w:styleId="8">
    <w:name w:val="footnote text"/>
    <w:basedOn w:val="1"/>
    <w:qFormat/>
    <w:uiPriority w:val="99"/>
    <w:pPr>
      <w:snapToGrid w:val="0"/>
      <w:jc w:val="left"/>
    </w:pPr>
    <w:rPr>
      <w:sz w:val="18"/>
    </w:rPr>
  </w:style>
  <w:style w:type="paragraph" w:styleId="9">
    <w:name w:val="Normal (Web)"/>
    <w:basedOn w:val="1"/>
    <w:autoRedefine/>
    <w:unhideWhenUsed/>
    <w:qFormat/>
    <w:uiPriority w:val="99"/>
    <w:pPr>
      <w:widowControl/>
      <w:spacing w:before="100" w:beforeAutospacing="1" w:after="100" w:afterAutospacing="1"/>
      <w:jc w:val="left"/>
    </w:pPr>
    <w:rPr>
      <w:rFonts w:ascii="宋体" w:hAnsi="宋体" w:eastAsia="宋体" w:cs="宋体"/>
      <w:kern w:val="0"/>
      <w:sz w:val="24"/>
      <w:szCs w:val="24"/>
    </w:rPr>
  </w:style>
  <w:style w:type="paragraph" w:styleId="10">
    <w:name w:val="Title"/>
    <w:basedOn w:val="1"/>
    <w:autoRedefine/>
    <w:qFormat/>
    <w:uiPriority w:val="10"/>
    <w:pPr>
      <w:spacing w:before="240" w:beforeLines="0" w:beforeAutospacing="0" w:after="60" w:afterLines="0" w:afterAutospacing="0"/>
      <w:jc w:val="center"/>
      <w:outlineLvl w:val="0"/>
    </w:pPr>
    <w:rPr>
      <w:rFonts w:ascii="Arial" w:hAnsi="Arial"/>
      <w:b/>
      <w:sz w:val="32"/>
    </w:rPr>
  </w:style>
  <w:style w:type="paragraph" w:styleId="11">
    <w:name w:val="Body Text First Indent 2"/>
    <w:basedOn w:val="4"/>
    <w:next w:val="1"/>
    <w:qFormat/>
    <w:uiPriority w:val="0"/>
    <w:pPr>
      <w:ind w:firstLine="420" w:firstLineChars="200"/>
    </w:pPr>
    <w:rPr>
      <w:rFonts w:ascii="宋体" w:hAnsi="宋体" w:eastAsia="宋体"/>
      <w:sz w:val="28"/>
      <w:szCs w:val="28"/>
    </w:rPr>
  </w:style>
  <w:style w:type="table" w:styleId="13">
    <w:name w:val="Table Grid"/>
    <w:basedOn w:val="1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5">
    <w:name w:val="Strong"/>
    <w:basedOn w:val="14"/>
    <w:qFormat/>
    <w:uiPriority w:val="22"/>
    <w:rPr>
      <w:b/>
    </w:rPr>
  </w:style>
  <w:style w:type="paragraph" w:customStyle="1" w:styleId="16">
    <w:name w:val="大标题"/>
    <w:basedOn w:val="1"/>
    <w:next w:val="11"/>
    <w:autoRedefine/>
    <w:qFormat/>
    <w:uiPriority w:val="0"/>
    <w:pPr>
      <w:jc w:val="center"/>
    </w:pPr>
    <w:rPr>
      <w:rFonts w:ascii="Arial" w:hAnsi="Arial" w:eastAsia="宋体"/>
      <w:b/>
      <w:sz w:val="28"/>
    </w:rPr>
  </w:style>
  <w:style w:type="character" w:customStyle="1" w:styleId="17">
    <w:name w:val="页眉 Char"/>
    <w:basedOn w:val="14"/>
    <w:link w:val="7"/>
    <w:autoRedefine/>
    <w:qFormat/>
    <w:uiPriority w:val="0"/>
    <w:rPr>
      <w:kern w:val="2"/>
      <w:sz w:val="18"/>
      <w:szCs w:val="18"/>
    </w:rPr>
  </w:style>
  <w:style w:type="character" w:customStyle="1" w:styleId="18">
    <w:name w:val="页脚 Char"/>
    <w:basedOn w:val="14"/>
    <w:link w:val="6"/>
    <w:autoRedefine/>
    <w:qFormat/>
    <w:uiPriority w:val="0"/>
    <w:rPr>
      <w:kern w:val="2"/>
      <w:sz w:val="18"/>
      <w:szCs w:val="18"/>
    </w:rPr>
  </w:style>
  <w:style w:type="paragraph" w:styleId="19">
    <w:name w:val="List Paragraph"/>
    <w:basedOn w:val="1"/>
    <w:unhideWhenUsed/>
    <w:qFormat/>
    <w:uiPriority w:val="99"/>
    <w:pPr>
      <w:ind w:firstLine="420" w:firstLineChars="200"/>
    </w:pPr>
  </w:style>
  <w:style w:type="character" w:customStyle="1" w:styleId="20">
    <w:name w:val="font31"/>
    <w:basedOn w:val="14"/>
    <w:autoRedefine/>
    <w:qFormat/>
    <w:uiPriority w:val="0"/>
    <w:rPr>
      <w:rFonts w:hint="eastAsia" w:ascii="微软雅黑" w:hAnsi="微软雅黑" w:eastAsia="微软雅黑" w:cs="微软雅黑"/>
      <w:color w:val="000000"/>
      <w:sz w:val="22"/>
      <w:szCs w:val="22"/>
      <w:u w:val="none"/>
    </w:rPr>
  </w:style>
  <w:style w:type="character" w:customStyle="1" w:styleId="21">
    <w:name w:val="font61"/>
    <w:basedOn w:val="14"/>
    <w:qFormat/>
    <w:uiPriority w:val="0"/>
    <w:rPr>
      <w:rFonts w:hint="eastAsia" w:ascii="宋体" w:hAnsi="宋体" w:eastAsia="宋体" w:cs="宋体"/>
      <w:color w:val="000000"/>
      <w:sz w:val="28"/>
      <w:szCs w:val="28"/>
      <w:u w:val="none"/>
    </w:rPr>
  </w:style>
  <w:style w:type="character" w:customStyle="1" w:styleId="22">
    <w:name w:val="font101"/>
    <w:basedOn w:val="14"/>
    <w:qFormat/>
    <w:uiPriority w:val="0"/>
    <w:rPr>
      <w:rFonts w:hint="eastAsia" w:ascii="宋体" w:hAnsi="宋体" w:eastAsia="宋体" w:cs="宋体"/>
      <w:b/>
      <w:bCs/>
      <w:color w:val="000000"/>
      <w:sz w:val="18"/>
      <w:szCs w:val="18"/>
      <w:u w:val="none"/>
    </w:rPr>
  </w:style>
  <w:style w:type="character" w:customStyle="1" w:styleId="23">
    <w:name w:val="font81"/>
    <w:basedOn w:val="14"/>
    <w:qFormat/>
    <w:uiPriority w:val="0"/>
    <w:rPr>
      <w:rFonts w:hint="eastAsia" w:ascii="宋体" w:hAnsi="宋体" w:eastAsia="宋体" w:cs="宋体"/>
      <w:color w:val="000000"/>
      <w:sz w:val="18"/>
      <w:szCs w:val="18"/>
      <w:u w:val="none"/>
    </w:rPr>
  </w:style>
  <w:style w:type="character" w:customStyle="1" w:styleId="24">
    <w:name w:val="font91"/>
    <w:basedOn w:val="14"/>
    <w:qFormat/>
    <w:uiPriority w:val="0"/>
    <w:rPr>
      <w:rFonts w:hint="default" w:ascii="Calibri" w:hAnsi="Calibri" w:cs="Calibri"/>
      <w:color w:val="000000"/>
      <w:sz w:val="20"/>
      <w:szCs w:val="20"/>
      <w:u w:val="none"/>
    </w:rPr>
  </w:style>
  <w:style w:type="paragraph" w:customStyle="1" w:styleId="25">
    <w:name w:val="列表段落1"/>
    <w:basedOn w:val="1"/>
    <w:qFormat/>
    <w:uiPriority w:val="34"/>
    <w:pPr>
      <w:ind w:firstLine="420" w:firstLineChars="200"/>
    </w:pPr>
  </w:style>
  <w:style w:type="paragraph" w:customStyle="1" w:styleId="26">
    <w:name w:val="p15"/>
    <w:basedOn w:val="1"/>
    <w:autoRedefine/>
    <w:qFormat/>
    <w:uiPriority w:val="0"/>
    <w:pPr>
      <w:snapToGrid/>
      <w:spacing w:after="0"/>
    </w:pPr>
    <w:rPr>
      <w:rFonts w:ascii="Arial Unicode MS" w:hAnsi="Arial Unicode MS" w:eastAsia="宋体" w:cs="宋体"/>
      <w:color w:val="000000"/>
      <w:sz w:val="24"/>
      <w:szCs w:val="24"/>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6</Pages>
  <Words>3192</Words>
  <Characters>3391</Characters>
  <Lines>13</Lines>
  <Paragraphs>3</Paragraphs>
  <TotalTime>6</TotalTime>
  <ScaleCrop>false</ScaleCrop>
  <LinksUpToDate>false</LinksUpToDate>
  <CharactersWithSpaces>3399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2023-05-04T11:09:00Z</dcterms:created>
  <dc:creator>DL</dc:creator>
  <cp:lastModifiedBy>@一汀烟雨泪倾城&amp;</cp:lastModifiedBy>
  <dcterms:modified xsi:type="dcterms:W3CDTF">2025-04-10T02:32:37Z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4AD6F5B2E5F642319A7F05E0E7723D67_13</vt:lpwstr>
  </property>
  <property fmtid="{D5CDD505-2E9C-101B-9397-08002B2CF9AE}" pid="4" name="KSOTemplateDocerSaveRecord">
    <vt:lpwstr>eyJoZGlkIjoiOTkzYzQ5MjQ4YzliOTNkYmE0ODM3ZTA0NTc2NTYxZDMiLCJ1c2VySWQiOiI0NTM3NDA2MjkifQ==</vt:lpwstr>
  </property>
</Properties>
</file>