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电梯维保采购要求</w:t>
      </w:r>
    </w:p>
    <w:p>
      <w:pPr>
        <w:numPr>
          <w:ilvl w:val="0"/>
          <w:numId w:val="0"/>
        </w:numPr>
        <w:tabs>
          <w:tab w:val="left" w:pos="0"/>
        </w:tabs>
        <w:snapToGrid w:val="0"/>
        <w:spacing w:line="440" w:lineRule="exact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维护内容及周期</w:t>
      </w:r>
    </w:p>
    <w:tbl>
      <w:tblPr>
        <w:tblStyle w:val="8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735"/>
        <w:gridCol w:w="1590"/>
        <w:gridCol w:w="1361"/>
        <w:gridCol w:w="2614"/>
        <w:gridCol w:w="2325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32" w:line="242" w:lineRule="auto"/>
              <w:ind w:left="79" w:right="71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88"/>
              <w:ind w:left="125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梯型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88"/>
              <w:ind w:left="72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品牌产品型号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88"/>
              <w:ind w:left="5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层站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88"/>
              <w:ind w:left="86" w:right="77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使用登记证号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88"/>
              <w:ind w:left="93" w:right="84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" w:line="320" w:lineRule="atLeast"/>
              <w:ind w:left="225" w:right="217" w:firstLine="62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spacing w:before="6"/>
              <w:jc w:val="left"/>
              <w:rPr>
                <w:rFonts w:hint="eastAsia" w:ascii="新宋体" w:eastAsia="新宋体" w:cs="新宋体"/>
                <w:b/>
                <w:sz w:val="28"/>
                <w:szCs w:val="28"/>
              </w:rPr>
            </w:pPr>
          </w:p>
          <w:p>
            <w:pPr>
              <w:pStyle w:val="14"/>
              <w:kinsoku w:val="0"/>
              <w:overflowPunct w:val="0"/>
              <w:spacing w:line="242" w:lineRule="auto"/>
              <w:ind w:left="125" w:right="117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室内自动扶梯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spacing w:before="6"/>
              <w:jc w:val="left"/>
              <w:rPr>
                <w:rFonts w:hint="eastAsia" w:ascii="新宋体" w:eastAsia="新宋体" w:cs="新宋体"/>
                <w:b/>
                <w:sz w:val="28"/>
                <w:szCs w:val="28"/>
              </w:rPr>
            </w:pPr>
          </w:p>
          <w:p>
            <w:pPr>
              <w:pStyle w:val="14"/>
              <w:kinsoku w:val="0"/>
              <w:overflowPunct w:val="0"/>
              <w:spacing w:line="242" w:lineRule="auto"/>
              <w:ind w:left="314" w:right="303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深圳国奥G0TF30° 1000/0.5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门诊楼一楼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门诊楼一楼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8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门诊楼二楼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门诊楼二楼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8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门诊楼三楼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9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5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门诊楼三楼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3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门诊楼四楼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8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35006531002015060001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04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门诊楼五楼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right="13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"/>
              <w:jc w:val="left"/>
              <w:rPr>
                <w:rFonts w:hint="eastAsia" w:ascii="新宋体" w:eastAsia="新宋体" w:cs="新宋体"/>
                <w:b/>
                <w:sz w:val="17"/>
                <w:szCs w:val="17"/>
              </w:rPr>
            </w:pPr>
          </w:p>
          <w:p>
            <w:pPr>
              <w:pStyle w:val="14"/>
              <w:kinsoku w:val="0"/>
              <w:overflowPunct w:val="0"/>
              <w:spacing w:line="242" w:lineRule="auto"/>
              <w:ind w:left="125" w:right="117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病床电梯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"/>
              <w:jc w:val="left"/>
              <w:rPr>
                <w:rFonts w:hint="eastAsia" w:ascii="新宋体" w:eastAsia="新宋体" w:cs="新宋体"/>
                <w:b/>
                <w:sz w:val="17"/>
                <w:szCs w:val="17"/>
              </w:rPr>
            </w:pPr>
          </w:p>
          <w:p>
            <w:pPr>
              <w:pStyle w:val="14"/>
              <w:kinsoku w:val="0"/>
              <w:overflowPunct w:val="0"/>
              <w:spacing w:line="242" w:lineRule="auto"/>
              <w:ind w:left="434" w:right="303" w:hanging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上海永大Posh-B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 层 12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31106531002010050006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right="71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after="7" w:line="355" w:lineRule="exact"/>
              <w:ind w:left="691"/>
              <w:rPr>
                <w:rFonts w:hint="eastAsia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 层 12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31106531002010050007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6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0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3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jc w:val="left"/>
              <w:rPr>
                <w:rFonts w:hint="default" w:asci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jc w:val="left"/>
              <w:rPr>
                <w:rFonts w:hint="default" w:asci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0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 层 12 站</w:t>
            </w:r>
          </w:p>
        </w:tc>
        <w:tc>
          <w:tcPr>
            <w:tcW w:w="26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0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31106531002010050008</w:t>
            </w:r>
          </w:p>
        </w:tc>
        <w:tc>
          <w:tcPr>
            <w:tcW w:w="23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0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5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 层 12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31106531002010050009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6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9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9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 层 12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9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31106531002010050010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20" w:line="310" w:lineRule="atLeast"/>
              <w:ind w:left="593" w:right="102" w:hanging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综合楼手术梯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91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7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7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 层 12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7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31106531002010050011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8" w:line="310" w:lineRule="atLeast"/>
              <w:ind w:left="593" w:right="102" w:hanging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综合楼职工梯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92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jc w:val="left"/>
              <w:rPr>
                <w:rFonts w:hint="eastAsia" w:ascii="新宋体" w:eastAsia="新宋体" w:cs="新宋体"/>
                <w:b/>
                <w:sz w:val="24"/>
                <w:szCs w:val="24"/>
              </w:rPr>
            </w:pPr>
          </w:p>
          <w:p>
            <w:pPr>
              <w:pStyle w:val="14"/>
              <w:kinsoku w:val="0"/>
              <w:overflowPunct w:val="0"/>
              <w:spacing w:before="5"/>
              <w:jc w:val="left"/>
              <w:rPr>
                <w:rFonts w:hint="eastAsia" w:ascii="新宋体" w:eastAsia="新宋体" w:cs="新宋体"/>
                <w:b/>
                <w:sz w:val="21"/>
                <w:szCs w:val="21"/>
              </w:rPr>
            </w:pPr>
          </w:p>
          <w:p>
            <w:pPr>
              <w:pStyle w:val="14"/>
              <w:kinsoku w:val="0"/>
              <w:overflowPunct w:val="0"/>
              <w:spacing w:before="1" w:line="242" w:lineRule="auto"/>
              <w:ind w:left="14" w:right="3" w:firstLine="5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莱茵GRBS20-Ⅲ(160</w:t>
            </w:r>
          </w:p>
          <w:p>
            <w:pPr>
              <w:pStyle w:val="14"/>
              <w:kinsoku w:val="0"/>
              <w:overflowPunct w:val="0"/>
              <w:ind w:left="434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0/1.0)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 层 5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31706531002010030002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 层 9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31706531002010030001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91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 号楼右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6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 层 8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31706531002012020003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91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 号楼左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 层 5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31706531002012020002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 5 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8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8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8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 层 2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8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31706531002012020001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9" w:line="310" w:lineRule="atLeast"/>
              <w:ind w:left="593" w:right="102" w:hanging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综合楼手术梯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91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 层 4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31706531002010030003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6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21"/>
              <w:ind w:left="125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无机</w:t>
            </w:r>
          </w:p>
          <w:p>
            <w:pPr>
              <w:pStyle w:val="14"/>
              <w:kinsoku w:val="0"/>
              <w:overflowPunct w:val="0"/>
              <w:spacing w:before="2" w:line="310" w:lineRule="atLeast"/>
              <w:ind w:left="245" w:right="117" w:hanging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房货梯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21"/>
              <w:ind w:left="14" w:firstLine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恒达富士</w:t>
            </w:r>
          </w:p>
          <w:p>
            <w:pPr>
              <w:pStyle w:val="14"/>
              <w:kinsoku w:val="0"/>
              <w:overflowPunct w:val="0"/>
              <w:spacing w:before="2" w:line="310" w:lineRule="atLeast"/>
              <w:ind w:left="14" w:right="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THJW1000/0.5- JXWVVF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 层 2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32306531002013110001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综合楼货梯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6"/>
                <w:szCs w:val="26"/>
              </w:rPr>
            </w:pPr>
          </w:p>
          <w:p>
            <w:pPr>
              <w:pStyle w:val="14"/>
              <w:kinsoku w:val="0"/>
              <w:overflowPunct w:val="0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20"/>
              <w:ind w:left="125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曳引</w:t>
            </w:r>
          </w:p>
          <w:p>
            <w:pPr>
              <w:pStyle w:val="14"/>
              <w:kinsoku w:val="0"/>
              <w:overflowPunct w:val="0"/>
              <w:spacing w:before="2" w:line="310" w:lineRule="atLeast"/>
              <w:ind w:left="245" w:right="117" w:hanging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式客梯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20"/>
              <w:ind w:left="14" w:firstLine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广东西江</w:t>
            </w:r>
          </w:p>
          <w:p>
            <w:pPr>
              <w:pStyle w:val="14"/>
              <w:kinsoku w:val="0"/>
              <w:overflowPunct w:val="0"/>
              <w:spacing w:before="2" w:line="310" w:lineRule="atLeast"/>
              <w:ind w:left="14" w:right="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TWJ630/1.0-JX WVVVF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 层 3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31106531002015110074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六建分院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"/>
              <w:jc w:val="left"/>
              <w:rPr>
                <w:rFonts w:hint="eastAsia" w:ascii="新宋体" w:eastAsia="新宋体" w:cs="新宋体"/>
                <w:b/>
                <w:sz w:val="26"/>
                <w:szCs w:val="26"/>
              </w:rPr>
            </w:pPr>
          </w:p>
          <w:p>
            <w:pPr>
              <w:pStyle w:val="14"/>
              <w:kinsoku w:val="0"/>
              <w:overflowPunct w:val="0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spacing w:before="1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6" w:line="242" w:lineRule="auto"/>
              <w:ind w:left="125" w:right="117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病床电梯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20" w:line="242" w:lineRule="auto"/>
              <w:ind w:left="14" w:right="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莱茵贝格TKJ/LME3100</w:t>
            </w:r>
          </w:p>
          <w:p>
            <w:pPr>
              <w:pStyle w:val="14"/>
              <w:kinsoku w:val="0"/>
              <w:overflowPunct w:val="0"/>
              <w:spacing w:before="3" w:line="296" w:lineRule="exact"/>
              <w:ind w:left="12" w:right="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（C）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spacing w:before="1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 层 9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spacing w:before="1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31706531002013110001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"/>
              <w:jc w:val="left"/>
              <w:rPr>
                <w:rFonts w:hint="eastAsia" w:ascii="新宋体" w:eastAsia="新宋体" w:cs="新宋体"/>
                <w:b/>
                <w:sz w:val="25"/>
                <w:szCs w:val="25"/>
              </w:rPr>
            </w:pPr>
          </w:p>
          <w:p>
            <w:pPr>
              <w:pStyle w:val="14"/>
              <w:kinsoku w:val="0"/>
              <w:overflowPunct w:val="0"/>
              <w:spacing w:before="1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 8 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"/>
              <w:jc w:val="left"/>
              <w:rPr>
                <w:rFonts w:hint="eastAsia" w:ascii="新宋体" w:eastAsia="新宋体" w:cs="新宋体"/>
                <w:b/>
                <w:sz w:val="26"/>
                <w:szCs w:val="26"/>
              </w:rPr>
            </w:pPr>
          </w:p>
          <w:p>
            <w:pPr>
              <w:pStyle w:val="14"/>
              <w:kinsoku w:val="0"/>
              <w:overflowPunct w:val="0"/>
              <w:spacing w:before="1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jc w:val="left"/>
              <w:rPr>
                <w:rFonts w:hint="default" w:asci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jc w:val="left"/>
              <w:rPr>
                <w:rFonts w:hint="default" w:asci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 层 18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31706531002014070133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6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9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9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 层 16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9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31106531002014070135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20" w:line="310" w:lineRule="atLeast"/>
              <w:ind w:left="353" w:right="102" w:hanging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门诊楼院部专用梯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92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7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7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 层 18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77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31106531002014070132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8" w:line="310" w:lineRule="atLeast"/>
              <w:ind w:left="593" w:right="102" w:hanging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门诊楼职工梯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92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 层 6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31706531002014070131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2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8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 层 15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31706531002014070136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3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6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 层 9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31706531002014070130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4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 8 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27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5"/>
              <w:ind w:left="79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b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5"/>
              <w:ind w:left="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 层 17 站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5"/>
              <w:ind w:left="86" w:right="7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31706531002014070134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5"/>
              <w:ind w:left="93" w:right="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30"/>
              <w:ind w:right="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tabs>
                <w:tab w:val="left" w:pos="4968"/>
              </w:tabs>
              <w:kinsoku w:val="0"/>
              <w:overflowPunct w:val="0"/>
              <w:spacing w:before="121"/>
              <w:ind w:left="214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合计：524400.00</w:t>
            </w:r>
            <w:r>
              <w:rPr>
                <w:rFonts w:hint="eastAsia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元整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大写：伍拾贰万肆仟肆佰元整</w:t>
            </w:r>
          </w:p>
        </w:tc>
      </w:tr>
    </w:tbl>
    <w:p>
      <w:pPr>
        <w:snapToGrid w:val="0"/>
        <w:spacing w:line="440" w:lineRule="exact"/>
        <w:ind w:firstLine="600"/>
        <w:rPr>
          <w:rFonts w:ascii="新宋体" w:hAnsi="新宋体" w:eastAsia="新宋体" w:cs="新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工作范围</w:t>
      </w:r>
    </w:p>
    <w:p>
      <w:pPr>
        <w:numPr>
          <w:ilvl w:val="0"/>
          <w:numId w:val="2"/>
        </w:numPr>
        <w:snapToGrid w:val="0"/>
        <w:spacing w:line="440" w:lineRule="exact"/>
        <w:ind w:firstLine="600"/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投标方至少有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名持证上岗人员（5年以上工作经验，业绩和证书体现）保证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名持证人员在我院24小时常驻，并确保通讯畅通。维保人员每日对所有电梯进行巡查及跟梯检查（填写巡检记录留取带时间水印照片，做为结算依据）、（提供有效的特种设备作业人员资格证书扫描件（须加盖聘用单位印章））。维护保养标准：日常维护保养后的电梯应当符合《电梯维修规范》、《电梯制造与安装安全规范》的相关规定。</w:t>
      </w:r>
    </w:p>
    <w:p>
      <w:pPr>
        <w:snapToGrid w:val="0"/>
        <w:spacing w:line="440" w:lineRule="exact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 xml:space="preserve">    2、承担全部电梯部件的损坏更换，含主机、曳引绳、控制系统等，保证电梯安全、可靠运行，功能匹配，从而为客户最大限度地节省时间和资金。</w:t>
      </w:r>
    </w:p>
    <w:p>
      <w:pPr>
        <w:snapToGrid w:val="0"/>
        <w:spacing w:line="440" w:lineRule="exact"/>
        <w:ind w:firstLine="6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3、遵守法规政令，民族习惯和甲方规章制度。</w:t>
      </w:r>
    </w:p>
    <w:p>
      <w:pPr>
        <w:snapToGrid w:val="0"/>
        <w:spacing w:line="440" w:lineRule="exact"/>
        <w:ind w:firstLine="600"/>
        <w:rPr>
          <w:rFonts w:ascii="新宋体" w:hAnsi="新宋体" w:eastAsia="新宋体" w:cs="新宋体"/>
          <w:color w:val="000000"/>
          <w:sz w:val="28"/>
          <w:szCs w:val="28"/>
          <w:u w:val="none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4、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</w:rPr>
        <w:t>严格按照电梯维保内容，每月2次定期进行保养工作。</w:t>
      </w:r>
    </w:p>
    <w:p>
      <w:pPr>
        <w:snapToGrid w:val="0"/>
        <w:spacing w:line="440" w:lineRule="exact"/>
        <w:ind w:firstLine="600"/>
        <w:rPr>
          <w:rFonts w:ascii="新宋体" w:hAnsi="新宋体" w:eastAsia="新宋体" w:cs="新宋体"/>
          <w:color w:val="000000"/>
          <w:sz w:val="28"/>
          <w:szCs w:val="28"/>
          <w:u w:val="none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</w:rPr>
        <w:t>5、临时故障的应急维修，接到电话后10分钟内到达现场，一般问题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sz w:val="28"/>
          <w:szCs w:val="28"/>
          <w:u w:val="none"/>
        </w:rPr>
        <w:t>小时恢复，大故障当日内修复。</w:t>
      </w:r>
    </w:p>
    <w:p>
      <w:pPr>
        <w:snapToGrid w:val="0"/>
        <w:spacing w:line="440" w:lineRule="exact"/>
        <w:ind w:firstLine="6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6、电梯维保期间造成的各种安全事故均由中标人承担全部责任，和招标单位无关；维保单位维保不当造成的停梯，若在三日内未能恢复运行的， 甲方将免付该台设备一个月的保养费，在七日内未能恢复运行的，甲方将免付该台设备服务期限内的保养费。</w:t>
      </w:r>
    </w:p>
    <w:p>
      <w:pPr>
        <w:snapToGrid w:val="0"/>
        <w:spacing w:line="440" w:lineRule="exact"/>
        <w:ind w:firstLine="6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7、维保人员的人身安全由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投标人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负责。</w:t>
      </w:r>
    </w:p>
    <w:p>
      <w:pPr>
        <w:snapToGrid w:val="0"/>
        <w:spacing w:line="440" w:lineRule="exact"/>
        <w:ind w:firstLine="6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8、确保使用管理中的电梯设备安全运行，符合国家相关技术标准，负责维保设备的年检工作，配合政府部门对服务期内的设备实施并通过年检，如政策性原因未能通过定期检测或年检的，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>检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检费用由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投标人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负责。</w:t>
      </w:r>
    </w:p>
    <w:p>
      <w:pPr>
        <w:snapToGrid w:val="0"/>
        <w:spacing w:line="440" w:lineRule="exact"/>
        <w:ind w:firstLine="6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9、因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投标人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保养不当（经检测机构认定）造成电梯运转故障或事故，造成人员伤亡，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投标人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应承担赔偿责任。</w:t>
      </w:r>
    </w:p>
    <w:p>
      <w:pPr>
        <w:snapToGrid w:val="0"/>
        <w:spacing w:line="440" w:lineRule="exact"/>
        <w:ind w:firstLine="560" w:firstLineChars="2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10、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投标人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应按照《电梯日常维修保养规则》完成日、月、季度、半年、年保养项目，并做好维修保养记录，甲方签字确认。</w:t>
      </w:r>
    </w:p>
    <w:p>
      <w:pPr>
        <w:snapToGrid w:val="0"/>
        <w:spacing w:line="440" w:lineRule="exact"/>
        <w:ind w:firstLine="560" w:firstLineChars="2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11、具有特种设备安全监督管理部门换发的相应许可，资质。每台电梯应有独立的维护保养记录。甲、乙双方各存一份。普通维修，重大维修，改造协议与抢修记录应当与维护保养记录一并保存。</w:t>
      </w:r>
    </w:p>
    <w:p>
      <w:pPr>
        <w:snapToGrid w:val="0"/>
        <w:spacing w:line="440" w:lineRule="exact"/>
        <w:ind w:firstLine="560" w:firstLineChars="200"/>
        <w:rPr>
          <w:rFonts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12、配合电梯检验检测机构对电梯定期检验，达到电梯定期检验标准。参与电梯安全管理。</w:t>
      </w:r>
    </w:p>
    <w:p>
      <w:pPr>
        <w:snapToGrid w:val="0"/>
        <w:spacing w:line="440" w:lineRule="exact"/>
        <w:ind w:firstLine="560" w:firstLineChars="200"/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13、24小时维护保养电梯，夜间值班应急服务。</w:t>
      </w:r>
    </w:p>
    <w:p>
      <w:pPr>
        <w:numPr>
          <w:ilvl w:val="0"/>
          <w:numId w:val="3"/>
        </w:numPr>
        <w:snapToGrid w:val="0"/>
        <w:spacing w:line="440" w:lineRule="exact"/>
        <w:ind w:firstLine="560" w:firstLineChars="200"/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其余未尽事宜在合同中约定。</w:t>
      </w:r>
    </w:p>
    <w:p>
      <w:pPr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 w:ascii="新宋体" w:hAnsi="新宋体" w:eastAsia="新宋体" w:cs="新宋体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lang w:val="en-US" w:eastAsia="zh-CN"/>
        </w:rPr>
        <w:t>维保单位资质要求：</w:t>
      </w:r>
    </w:p>
    <w:p>
      <w:pPr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满足《中华人民共和国政府采购法》第二十二条规定；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具有有效的独立法人营业执照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法人代表资格证明书及授权书、被授权人身份证(法人投标需提供法人身份证及法人代表资格证明书)；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依法缴纳近12个月内社会保险的凭据；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税务部门出具的近12个月的完税证明；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2022年的财务审计报告，新成立的公司提供近三个月内任意一个月的银行资信证明；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提供针对本次项目《反商业贿赂承诺书》；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参与政府采购活动前3年内未被列入失信、重大税收违法案件、财政部门禁止参加政府采购活动的承诺书；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是制造厂商的须具有《中华人民共和国特种设备制造许可证》或《中华人民共和国特种设备生产许可证》B级及以上资质；投标人是经销商的须具备《中华人民共和国特种设备安装改造维修许可证》（电梯）B级或《中华人民共和国特种设备生产许可证》。并提供生产厂家的《中华人民共和国特种设备生产许可证》</w:t>
      </w:r>
    </w:p>
    <w:p>
      <w:pPr>
        <w:widowControl w:val="0"/>
        <w:numPr>
          <w:ilvl w:val="0"/>
          <w:numId w:val="4"/>
        </w:numPr>
        <w:snapToGrid w:val="0"/>
        <w:spacing w:line="440" w:lineRule="exact"/>
        <w:ind w:left="425" w:leftChars="0" w:hanging="425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失信惩戒对象查询-搜索栏输入单位全称-截图)、中国政府采购网（http://www.ccgp.gov.cn/search/cr/）严重违法失信行为记录名单的（尚在处罚期内的），“国家企业信用信息公示系统（http://www.gsxt.gov.cn）”列入经营异常名录信息、列入行政处罚信息（尚在处罚期内的）、列入严重违法失信企业名单（黑名单）信息及企业信用信息公示报告，将拒绝其参加本次招标活动（以现场查询为准）。</w:t>
      </w:r>
    </w:p>
    <w:p>
      <w:pPr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default" w:ascii="新宋体" w:hAnsi="新宋体" w:eastAsia="新宋体" w:cs="新宋体"/>
          <w:b/>
          <w:bCs/>
          <w:color w:val="000000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10E9D"/>
    <w:multiLevelType w:val="singleLevel"/>
    <w:tmpl w:val="8B510E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3D1F23F"/>
    <w:multiLevelType w:val="singleLevel"/>
    <w:tmpl w:val="A3D1F23F"/>
    <w:lvl w:ilvl="0" w:tentative="0">
      <w:start w:val="14"/>
      <w:numFmt w:val="decimal"/>
      <w:suff w:val="nothing"/>
      <w:lvlText w:val="%1、"/>
      <w:lvlJc w:val="left"/>
    </w:lvl>
  </w:abstractNum>
  <w:abstractNum w:abstractNumId="2">
    <w:nsid w:val="293D814A"/>
    <w:multiLevelType w:val="multilevel"/>
    <w:tmpl w:val="293D814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5461AE52"/>
    <w:multiLevelType w:val="singleLevel"/>
    <w:tmpl w:val="5461AE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C52C94"/>
    <w:rsid w:val="00030C3B"/>
    <w:rsid w:val="005F1FFB"/>
    <w:rsid w:val="00680AB0"/>
    <w:rsid w:val="008F093C"/>
    <w:rsid w:val="00C52C94"/>
    <w:rsid w:val="00EB3AEC"/>
    <w:rsid w:val="1BA153B8"/>
    <w:rsid w:val="22BD4113"/>
    <w:rsid w:val="45BA0613"/>
    <w:rsid w:val="49984E47"/>
    <w:rsid w:val="7D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240" w:lineRule="auto"/>
      <w:ind w:left="720" w:hanging="720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71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4">
    <w:name w:val="Table Paragraph"/>
    <w:basedOn w:val="1"/>
    <w:autoRedefine/>
    <w:unhideWhenUsed/>
    <w:qFormat/>
    <w:uiPriority w:val="1"/>
    <w:pPr>
      <w:jc w:val="center"/>
    </w:pPr>
    <w:rPr>
      <w:rFonts w:hint="eastAsia" w:asci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1584</Words>
  <Characters>2367</Characters>
  <Lines>13</Lines>
  <Paragraphs>3</Paragraphs>
  <TotalTime>0</TotalTime>
  <ScaleCrop>false</ScaleCrop>
  <LinksUpToDate>false</LinksUpToDate>
  <CharactersWithSpaces>2374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2022-05-11T11:15:00Z</dcterms:created>
  <dc:creator>User</dc:creator>
  <cp:lastModifiedBy>陌生人   你好</cp:lastModifiedBy>
  <dcterms:modified xsi:type="dcterms:W3CDTF">2024-04-11T03:48:28Z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0E86F5D69DEF438E9BC003D0515228C1_13</vt:lpwstr>
  </property>
</Properties>
</file>