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业绩：提供近三年内同类项目业绩。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提供近三年内同类业绩供货合同或协议等其他佐证资料</w:t>
      </w:r>
    </w:p>
    <w:p>
      <w:pPr>
        <w:pStyle w:val="2"/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</w:rPr>
        <w:t>标书制作：投标文件目录清晰、页码连续、目录与页码对应准确</w:t>
      </w:r>
    </w:p>
    <w:p>
      <w:pP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设计方案总体理解及用户需求：总体方案设计目标清晰、规划到位，对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医院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整体广告、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定制品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作等有详细的设计方案及效果图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eastAsia="zh-CN"/>
        </w:rPr>
        <w:t>、有企业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AAA证书。</w:t>
      </w:r>
    </w:p>
    <w:p>
      <w:pP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项目人员配置：至少配备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名的工作人员，其中包含1名负责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项目，4名有证书的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设计师，且具备相关专业证明或者相关资格证书及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医院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相关的设计工作经验，并有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医院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广告服务相关经验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</w:rPr>
        <w:t>实施方案：根据供应商提供</w:t>
      </w:r>
      <w:r>
        <w:rPr>
          <w:rFonts w:hint="eastAsia" w:ascii="微软雅黑" w:hAnsi="微软雅黑" w:eastAsia="微软雅黑" w:cs="微软雅黑"/>
          <w:color w:val="auto"/>
          <w:kern w:val="2"/>
          <w:sz w:val="22"/>
          <w:szCs w:val="22"/>
          <w:highlight w:val="none"/>
          <w:lang w:val="en-US" w:eastAsia="zh-CN" w:bidi="ar-SA"/>
        </w:rPr>
        <w:t>的服务，送货、安装、调试、检测、验收及安全保障措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施，车辆运输，突发事件处理措施及项目实施过程各个环节的时间安排。</w:t>
      </w:r>
    </w:p>
    <w:p>
      <w:pPr>
        <w:pStyle w:val="2"/>
        <w:ind w:left="0" w:leftChars="0" w:firstLine="0" w:firstLineChars="0"/>
        <w:rPr>
          <w:rFonts w:hint="default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highlight w:val="none"/>
          <w:lang w:val="en-US" w:eastAsia="zh-CN"/>
        </w:rPr>
        <w:t>6、因考虑项目特殊性及紧急性需要喀什市的公司参与。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6F01E6"/>
    <w:multiLevelType w:val="singleLevel"/>
    <w:tmpl w:val="4F6F01E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YzljNmYzY2M1NGMwNDMzN2YwMDdlOWMwYWIwMzEifQ=="/>
  </w:docVars>
  <w:rsids>
    <w:rsidRoot w:val="14C507B0"/>
    <w:rsid w:val="0B952DB1"/>
    <w:rsid w:val="14C507B0"/>
    <w:rsid w:val="32D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/>
      <w:spacing w:before="120"/>
      <w:ind w:firstLine="3584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2024-03-21T02:33:00Z</dcterms:created>
  <dc:creator>金点图文广告</dc:creator>
  <cp:lastModifiedBy>小羊</cp:lastModifiedBy>
  <dcterms:modified xsi:type="dcterms:W3CDTF">2024-03-26T04:58:35Z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619421BAE44D477B8A8FF8829FBFD5FA_11</vt:lpwstr>
  </property>
</Properties>
</file>