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855"/>
        <w:gridCol w:w="615"/>
        <w:gridCol w:w="705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509" w:type="dxa"/>
            <w:vAlign w:val="center"/>
          </w:tcPr>
          <w:p>
            <w:pPr>
              <w:spacing w:line="400" w:lineRule="exact"/>
              <w:ind w:firstLine="28"/>
              <w:jc w:val="center"/>
              <w:rPr>
                <w:rFonts w:ascii="微软雅黑" w:hAnsi="微软雅黑" w:eastAsia="微软雅黑" w:cs="微软雅黑"/>
                <w:b/>
                <w:color w:val="auto"/>
                <w:sz w:val="22"/>
                <w:szCs w:val="22"/>
                <w:highlight w:val="none"/>
              </w:rPr>
            </w:pPr>
            <w:r>
              <w:rPr>
                <w:rFonts w:hint="eastAsia" w:ascii="微软雅黑" w:hAnsi="微软雅黑" w:eastAsia="微软雅黑" w:cs="微软雅黑"/>
                <w:b/>
                <w:color w:val="auto"/>
                <w:sz w:val="22"/>
                <w:szCs w:val="22"/>
                <w:highlight w:val="none"/>
              </w:rPr>
              <w:t>序号</w:t>
            </w:r>
          </w:p>
        </w:tc>
        <w:tc>
          <w:tcPr>
            <w:tcW w:w="855" w:type="dxa"/>
            <w:vAlign w:val="center"/>
          </w:tcPr>
          <w:p>
            <w:pPr>
              <w:spacing w:line="400" w:lineRule="exact"/>
              <w:ind w:firstLine="28"/>
              <w:jc w:val="center"/>
              <w:rPr>
                <w:rFonts w:ascii="微软雅黑" w:hAnsi="微软雅黑" w:eastAsia="微软雅黑" w:cs="微软雅黑"/>
                <w:b/>
                <w:color w:val="auto"/>
                <w:sz w:val="22"/>
                <w:szCs w:val="22"/>
                <w:highlight w:val="none"/>
              </w:rPr>
            </w:pPr>
            <w:r>
              <w:rPr>
                <w:rFonts w:hint="eastAsia" w:ascii="微软雅黑" w:hAnsi="微软雅黑" w:eastAsia="微软雅黑" w:cs="微软雅黑"/>
                <w:b/>
                <w:color w:val="auto"/>
                <w:sz w:val="22"/>
                <w:szCs w:val="22"/>
                <w:highlight w:val="none"/>
              </w:rPr>
              <w:t>评分因素</w:t>
            </w:r>
          </w:p>
        </w:tc>
        <w:tc>
          <w:tcPr>
            <w:tcW w:w="615" w:type="dxa"/>
            <w:vAlign w:val="center"/>
          </w:tcPr>
          <w:p>
            <w:pPr>
              <w:widowControl/>
              <w:spacing w:line="400" w:lineRule="exact"/>
              <w:jc w:val="center"/>
              <w:rPr>
                <w:rFonts w:ascii="微软雅黑" w:hAnsi="微软雅黑" w:eastAsia="微软雅黑" w:cs="微软雅黑"/>
                <w:b/>
                <w:color w:val="auto"/>
                <w:sz w:val="22"/>
                <w:szCs w:val="22"/>
                <w:highlight w:val="none"/>
              </w:rPr>
            </w:pPr>
            <w:r>
              <w:rPr>
                <w:rFonts w:hint="eastAsia" w:ascii="微软雅黑" w:hAnsi="微软雅黑" w:eastAsia="微软雅黑" w:cs="微软雅黑"/>
                <w:b/>
                <w:bCs/>
                <w:color w:val="auto"/>
                <w:kern w:val="0"/>
                <w:sz w:val="22"/>
                <w:szCs w:val="22"/>
                <w:highlight w:val="none"/>
              </w:rPr>
              <w:t>分值</w:t>
            </w:r>
          </w:p>
        </w:tc>
        <w:tc>
          <w:tcPr>
            <w:tcW w:w="7055" w:type="dxa"/>
            <w:vAlign w:val="center"/>
          </w:tcPr>
          <w:p>
            <w:pPr>
              <w:widowControl/>
              <w:spacing w:line="400" w:lineRule="exact"/>
              <w:jc w:val="center"/>
              <w:rPr>
                <w:rFonts w:ascii="微软雅黑" w:hAnsi="微软雅黑" w:eastAsia="微软雅黑" w:cs="微软雅黑"/>
                <w:b/>
                <w:bCs/>
                <w:color w:val="auto"/>
                <w:kern w:val="0"/>
                <w:sz w:val="22"/>
                <w:szCs w:val="22"/>
                <w:highlight w:val="none"/>
              </w:rPr>
            </w:pPr>
            <w:r>
              <w:rPr>
                <w:rFonts w:hint="eastAsia" w:ascii="微软雅黑" w:hAnsi="微软雅黑" w:eastAsia="微软雅黑" w:cs="微软雅黑"/>
                <w:b/>
                <w:bCs/>
                <w:color w:val="auto"/>
                <w:kern w:val="0"/>
                <w:sz w:val="22"/>
                <w:szCs w:val="22"/>
                <w:highlight w:val="none"/>
              </w:rPr>
              <w:t>评分因素及权重、评分标准</w:t>
            </w:r>
          </w:p>
          <w:p>
            <w:pPr>
              <w:widowControl/>
              <w:spacing w:line="400" w:lineRule="exact"/>
              <w:jc w:val="center"/>
              <w:rPr>
                <w:rFonts w:ascii="微软雅黑" w:hAnsi="微软雅黑" w:eastAsia="微软雅黑" w:cs="微软雅黑"/>
                <w:b/>
                <w:color w:val="auto"/>
                <w:sz w:val="22"/>
                <w:szCs w:val="22"/>
                <w:highlight w:val="none"/>
              </w:rPr>
            </w:pPr>
            <w:r>
              <w:rPr>
                <w:rFonts w:hint="eastAsia" w:ascii="微软雅黑" w:hAnsi="微软雅黑" w:eastAsia="微软雅黑" w:cs="微软雅黑"/>
                <w:b/>
                <w:bCs/>
                <w:color w:val="auto"/>
                <w:kern w:val="0"/>
                <w:sz w:val="22"/>
                <w:szCs w:val="22"/>
                <w:highlight w:val="none"/>
              </w:rPr>
              <w:t>价   格：30分  商   务：</w:t>
            </w:r>
            <w:r>
              <w:rPr>
                <w:rFonts w:hint="eastAsia" w:ascii="微软雅黑" w:hAnsi="微软雅黑" w:eastAsia="微软雅黑" w:cs="微软雅黑"/>
                <w:b/>
                <w:bCs/>
                <w:color w:val="auto"/>
                <w:kern w:val="0"/>
                <w:sz w:val="22"/>
                <w:szCs w:val="22"/>
                <w:highlight w:val="none"/>
                <w:lang w:val="en-US" w:eastAsia="zh-CN"/>
              </w:rPr>
              <w:t>7</w:t>
            </w:r>
            <w:r>
              <w:rPr>
                <w:rFonts w:hint="eastAsia" w:ascii="微软雅黑" w:hAnsi="微软雅黑" w:eastAsia="微软雅黑" w:cs="微软雅黑"/>
                <w:b/>
                <w:bCs/>
                <w:color w:val="auto"/>
                <w:kern w:val="0"/>
                <w:sz w:val="22"/>
                <w:szCs w:val="22"/>
                <w:highlight w:val="none"/>
              </w:rPr>
              <w:t>分   技   术：</w:t>
            </w:r>
            <w:r>
              <w:rPr>
                <w:rFonts w:hint="eastAsia" w:ascii="微软雅黑" w:hAnsi="微软雅黑" w:eastAsia="微软雅黑" w:cs="微软雅黑"/>
                <w:b/>
                <w:bCs/>
                <w:color w:val="auto"/>
                <w:kern w:val="0"/>
                <w:sz w:val="22"/>
                <w:szCs w:val="22"/>
                <w:highlight w:val="none"/>
                <w:lang w:val="en-US" w:eastAsia="zh-CN"/>
              </w:rPr>
              <w:t>63</w:t>
            </w:r>
            <w:r>
              <w:rPr>
                <w:rFonts w:hint="eastAsia" w:ascii="微软雅黑" w:hAnsi="微软雅黑" w:eastAsia="微软雅黑" w:cs="微软雅黑"/>
                <w:b/>
                <w:bCs/>
                <w:color w:val="auto"/>
                <w:kern w:val="0"/>
                <w:sz w:val="22"/>
                <w:szCs w:val="22"/>
                <w:highlight w:val="none"/>
              </w:rPr>
              <w:t xml:space="preserve">分              </w:t>
            </w:r>
          </w:p>
        </w:tc>
        <w:tc>
          <w:tcPr>
            <w:tcW w:w="1478" w:type="dxa"/>
            <w:vAlign w:val="center"/>
          </w:tcPr>
          <w:p>
            <w:pPr>
              <w:pStyle w:val="5"/>
              <w:spacing w:before="0" w:after="0"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jc w:val="center"/>
        </w:trPr>
        <w:tc>
          <w:tcPr>
            <w:tcW w:w="509" w:type="dxa"/>
            <w:vAlign w:val="center"/>
          </w:tcPr>
          <w:p>
            <w:pPr>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1</w:t>
            </w:r>
          </w:p>
        </w:tc>
        <w:tc>
          <w:tcPr>
            <w:tcW w:w="8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价格评分标</w:t>
            </w:r>
            <w:r>
              <w:rPr>
                <w:rFonts w:hint="eastAsia" w:ascii="微软雅黑" w:hAnsi="微软雅黑" w:eastAsia="微软雅黑" w:cs="微软雅黑"/>
                <w:color w:val="auto"/>
                <w:sz w:val="22"/>
                <w:szCs w:val="22"/>
                <w:highlight w:val="none"/>
                <w:lang w:val="en-US" w:eastAsia="zh-CN"/>
              </w:rPr>
              <w:t xml:space="preserve"> </w:t>
            </w:r>
            <w:r>
              <w:rPr>
                <w:rFonts w:hint="eastAsia" w:ascii="微软雅黑" w:hAnsi="微软雅黑" w:eastAsia="微软雅黑" w:cs="微软雅黑"/>
                <w:color w:val="auto"/>
                <w:sz w:val="22"/>
                <w:szCs w:val="22"/>
                <w:highlight w:val="none"/>
              </w:rPr>
              <w:t>准</w:t>
            </w:r>
          </w:p>
        </w:tc>
        <w:tc>
          <w:tcPr>
            <w:tcW w:w="615" w:type="dxa"/>
            <w:vAlign w:val="center"/>
          </w:tcPr>
          <w:p>
            <w:pPr>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30</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完全满足邀请招标文件参数的投标报价中的最低价为评标基准价，按照下列公式计算每个</w:t>
            </w:r>
            <w:r>
              <w:rPr>
                <w:rFonts w:hint="eastAsia" w:ascii="微软雅黑" w:hAnsi="微软雅黑" w:eastAsia="微软雅黑" w:cs="微软雅黑"/>
                <w:color w:val="auto"/>
                <w:sz w:val="22"/>
                <w:szCs w:val="22"/>
                <w:highlight w:val="none"/>
                <w:lang w:eastAsia="zh-CN"/>
              </w:rPr>
              <w:t>供应商</w:t>
            </w:r>
            <w:r>
              <w:rPr>
                <w:rFonts w:hint="eastAsia" w:ascii="微软雅黑" w:hAnsi="微软雅黑" w:eastAsia="微软雅黑" w:cs="微软雅黑"/>
                <w:color w:val="auto"/>
                <w:sz w:val="22"/>
                <w:szCs w:val="22"/>
                <w:highlight w:val="none"/>
              </w:rPr>
              <w:t>的价格得分。投标报价得分＝（基准价/投标报价）×价格权重×100。</w:t>
            </w:r>
          </w:p>
        </w:tc>
        <w:tc>
          <w:tcPr>
            <w:tcW w:w="1478"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b/>
                <w:bCs/>
                <w:color w:val="auto"/>
                <w:szCs w:val="21"/>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09" w:type="dxa"/>
            <w:vAlign w:val="center"/>
          </w:tcPr>
          <w:p>
            <w:pPr>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2</w:t>
            </w:r>
          </w:p>
        </w:tc>
        <w:tc>
          <w:tcPr>
            <w:tcW w:w="855" w:type="dxa"/>
            <w:vMerge w:val="restart"/>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商务评分标</w:t>
            </w:r>
            <w:r>
              <w:rPr>
                <w:rFonts w:hint="eastAsia" w:ascii="微软雅黑" w:hAnsi="微软雅黑" w:eastAsia="微软雅黑" w:cs="微软雅黑"/>
                <w:color w:val="auto"/>
                <w:sz w:val="22"/>
                <w:szCs w:val="22"/>
                <w:highlight w:val="none"/>
                <w:lang w:val="en-US" w:eastAsia="zh-CN"/>
              </w:rPr>
              <w:t xml:space="preserve"> </w:t>
            </w:r>
            <w:r>
              <w:rPr>
                <w:rFonts w:hint="eastAsia" w:ascii="微软雅黑" w:hAnsi="微软雅黑" w:eastAsia="微软雅黑" w:cs="微软雅黑"/>
                <w:color w:val="auto"/>
                <w:sz w:val="22"/>
                <w:szCs w:val="22"/>
                <w:highlight w:val="none"/>
              </w:rPr>
              <w:t>准</w:t>
            </w:r>
          </w:p>
        </w:tc>
        <w:tc>
          <w:tcPr>
            <w:tcW w:w="615"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8</w:t>
            </w:r>
          </w:p>
        </w:tc>
        <w:tc>
          <w:tcPr>
            <w:tcW w:w="7055" w:type="dxa"/>
            <w:vAlign w:val="center"/>
          </w:tcPr>
          <w:p>
            <w:pPr>
              <w:spacing w:line="400" w:lineRule="exac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业绩：提供近三年内同类项目业绩。</w:t>
            </w:r>
          </w:p>
          <w:p>
            <w:pPr>
              <w:spacing w:line="400" w:lineRule="exact"/>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eastAsia="zh-CN"/>
              </w:rPr>
              <w:t>（</w:t>
            </w:r>
            <w:r>
              <w:rPr>
                <w:rFonts w:hint="eastAsia" w:ascii="微软雅黑" w:hAnsi="微软雅黑" w:eastAsia="微软雅黑" w:cs="微软雅黑"/>
                <w:color w:val="auto"/>
                <w:sz w:val="22"/>
                <w:szCs w:val="22"/>
                <w:highlight w:val="none"/>
                <w:lang w:val="en-US" w:eastAsia="zh-CN"/>
              </w:rPr>
              <w:t>1</w:t>
            </w:r>
            <w:r>
              <w:rPr>
                <w:rFonts w:hint="eastAsia" w:ascii="微软雅黑" w:hAnsi="微软雅黑" w:eastAsia="微软雅黑" w:cs="微软雅黑"/>
                <w:color w:val="auto"/>
                <w:sz w:val="22"/>
                <w:szCs w:val="22"/>
                <w:highlight w:val="none"/>
                <w:lang w:eastAsia="zh-CN"/>
              </w:rPr>
              <w:t>）</w:t>
            </w:r>
            <w:r>
              <w:rPr>
                <w:rFonts w:hint="eastAsia" w:ascii="微软雅黑" w:hAnsi="微软雅黑" w:eastAsia="微软雅黑" w:cs="微软雅黑"/>
                <w:color w:val="auto"/>
                <w:sz w:val="22"/>
                <w:szCs w:val="22"/>
                <w:highlight w:val="none"/>
                <w:lang w:val="en-US" w:eastAsia="zh-CN"/>
              </w:rPr>
              <w:t>提供近三年内同类业绩供货合同或协议等其他佐证资料，</w:t>
            </w:r>
            <w:r>
              <w:rPr>
                <w:rFonts w:hint="eastAsia" w:ascii="微软雅黑" w:hAnsi="微软雅黑" w:eastAsia="微软雅黑" w:cs="微软雅黑"/>
                <w:color w:val="auto"/>
                <w:sz w:val="22"/>
                <w:szCs w:val="22"/>
                <w:highlight w:val="none"/>
              </w:rPr>
              <w:t>每提供一个得</w:t>
            </w:r>
            <w:r>
              <w:rPr>
                <w:rFonts w:ascii="微软雅黑" w:hAnsi="微软雅黑" w:eastAsia="微软雅黑" w:cs="微软雅黑"/>
                <w:color w:val="auto"/>
                <w:sz w:val="22"/>
                <w:szCs w:val="22"/>
                <w:highlight w:val="none"/>
              </w:rPr>
              <w:t>1</w:t>
            </w:r>
            <w:r>
              <w:rPr>
                <w:rFonts w:hint="eastAsia" w:ascii="微软雅黑" w:hAnsi="微软雅黑" w:eastAsia="微软雅黑" w:cs="微软雅黑"/>
                <w:color w:val="auto"/>
                <w:sz w:val="22"/>
                <w:szCs w:val="22"/>
                <w:highlight w:val="none"/>
              </w:rPr>
              <w:t>分，共</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w:t>
            </w:r>
            <w:r>
              <w:rPr>
                <w:rFonts w:hint="eastAsia" w:ascii="微软雅黑" w:hAnsi="微软雅黑" w:eastAsia="微软雅黑" w:cs="微软雅黑"/>
                <w:color w:val="auto"/>
                <w:sz w:val="22"/>
                <w:szCs w:val="22"/>
                <w:highlight w:val="none"/>
                <w:lang w:eastAsia="zh-CN"/>
              </w:rPr>
              <w:t>提供三年内医院相关的资料每个得</w:t>
            </w:r>
            <w:r>
              <w:rPr>
                <w:rFonts w:hint="eastAsia" w:ascii="微软雅黑" w:hAnsi="微软雅黑" w:eastAsia="微软雅黑" w:cs="微软雅黑"/>
                <w:color w:val="auto"/>
                <w:sz w:val="22"/>
                <w:szCs w:val="22"/>
                <w:highlight w:val="none"/>
                <w:lang w:val="en-US" w:eastAsia="zh-CN"/>
              </w:rPr>
              <w:t>1分，共5分。</w:t>
            </w:r>
          </w:p>
        </w:tc>
        <w:tc>
          <w:tcPr>
            <w:tcW w:w="1478" w:type="dxa"/>
            <w:vMerge w:val="restart"/>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b/>
                <w:bCs/>
                <w:color w:val="auto"/>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509"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3</w:t>
            </w:r>
          </w:p>
        </w:tc>
        <w:tc>
          <w:tcPr>
            <w:tcW w:w="855" w:type="dxa"/>
            <w:vMerge w:val="continue"/>
            <w:vAlign w:val="center"/>
          </w:tcPr>
          <w:p>
            <w:pPr>
              <w:spacing w:line="400" w:lineRule="exact"/>
              <w:rPr>
                <w:rFonts w:ascii="微软雅黑" w:hAnsi="微软雅黑" w:eastAsia="微软雅黑" w:cs="微软雅黑"/>
                <w:color w:val="auto"/>
                <w:sz w:val="22"/>
                <w:szCs w:val="22"/>
                <w:highlight w:val="none"/>
              </w:rPr>
            </w:pPr>
          </w:p>
        </w:tc>
        <w:tc>
          <w:tcPr>
            <w:tcW w:w="615" w:type="dxa"/>
            <w:vAlign w:val="center"/>
          </w:tcPr>
          <w:p>
            <w:pPr>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2</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kern w:val="0"/>
                <w:sz w:val="22"/>
                <w:szCs w:val="22"/>
                <w:highlight w:val="none"/>
              </w:rPr>
              <w:t>标书制作：投标文件目录清晰、页码连续、目录与页码对应准确，评审内容便于查找，正副本内容一样清晰可辨，没有与评审内容无关的资料及文件得2分，否则不得分。</w:t>
            </w:r>
          </w:p>
        </w:tc>
        <w:tc>
          <w:tcPr>
            <w:tcW w:w="1478" w:type="dxa"/>
            <w:vMerge w:val="continue"/>
            <w:vAlign w:val="center"/>
          </w:tcPr>
          <w:p>
            <w:pPr>
              <w:spacing w:line="400" w:lineRule="exact"/>
              <w:rPr>
                <w:rFonts w:ascii="微软雅黑" w:hAnsi="微软雅黑" w:eastAsia="微软雅黑" w:cs="微软雅黑"/>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09"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4</w:t>
            </w:r>
          </w:p>
        </w:tc>
        <w:tc>
          <w:tcPr>
            <w:tcW w:w="855" w:type="dxa"/>
            <w:vMerge w:val="restart"/>
            <w:vAlign w:val="center"/>
          </w:tcPr>
          <w:p>
            <w:pPr>
              <w:spacing w:line="400" w:lineRule="exact"/>
              <w:rPr>
                <w:rFonts w:ascii="微软雅黑" w:hAnsi="微软雅黑" w:eastAsia="微软雅黑" w:cs="微软雅黑"/>
                <w:color w:val="auto"/>
                <w:sz w:val="22"/>
                <w:szCs w:val="22"/>
                <w:highlight w:val="none"/>
              </w:rPr>
            </w:pPr>
          </w:p>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技术评分标</w:t>
            </w:r>
            <w:r>
              <w:rPr>
                <w:rFonts w:hint="eastAsia" w:ascii="微软雅黑" w:hAnsi="微软雅黑" w:eastAsia="微软雅黑" w:cs="微软雅黑"/>
                <w:color w:val="auto"/>
                <w:sz w:val="22"/>
                <w:szCs w:val="22"/>
                <w:highlight w:val="none"/>
                <w:lang w:val="en-US" w:eastAsia="zh-CN"/>
              </w:rPr>
              <w:t xml:space="preserve"> </w:t>
            </w:r>
            <w:r>
              <w:rPr>
                <w:rFonts w:hint="eastAsia" w:ascii="微软雅黑" w:hAnsi="微软雅黑" w:eastAsia="微软雅黑" w:cs="微软雅黑"/>
                <w:color w:val="auto"/>
                <w:sz w:val="22"/>
                <w:szCs w:val="22"/>
                <w:highlight w:val="none"/>
              </w:rPr>
              <w:t>准</w:t>
            </w:r>
          </w:p>
        </w:tc>
        <w:tc>
          <w:tcPr>
            <w:tcW w:w="615" w:type="dxa"/>
            <w:vAlign w:val="center"/>
          </w:tcPr>
          <w:p>
            <w:pPr>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10</w:t>
            </w:r>
          </w:p>
        </w:tc>
        <w:tc>
          <w:tcPr>
            <w:tcW w:w="7055" w:type="dxa"/>
            <w:vAlign w:val="center"/>
          </w:tcPr>
          <w:p>
            <w:pPr>
              <w:spacing w:line="400" w:lineRule="exact"/>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rPr>
              <w:t>技术参数：根据所投产品的技术参数的响应程度打分，全部响应邀请招标文件要求的得</w:t>
            </w:r>
            <w:r>
              <w:rPr>
                <w:rFonts w:hint="eastAsia" w:ascii="微软雅黑" w:hAnsi="微软雅黑" w:eastAsia="微软雅黑" w:cs="微软雅黑"/>
                <w:color w:val="auto"/>
                <w:sz w:val="22"/>
                <w:szCs w:val="22"/>
                <w:highlight w:val="none"/>
                <w:lang w:val="en-US" w:eastAsia="zh-CN"/>
              </w:rPr>
              <w:t>5</w:t>
            </w:r>
            <w:r>
              <w:rPr>
                <w:rFonts w:hint="eastAsia" w:ascii="微软雅黑" w:hAnsi="微软雅黑" w:eastAsia="微软雅黑" w:cs="微软雅黑"/>
                <w:color w:val="auto"/>
                <w:sz w:val="22"/>
                <w:szCs w:val="22"/>
                <w:highlight w:val="none"/>
              </w:rPr>
              <w:t>分。每有一项不满足邀请招标文件要求的扣1分，直至扣完。</w:t>
            </w:r>
            <w:r>
              <w:rPr>
                <w:rFonts w:hint="eastAsia" w:ascii="微软雅黑" w:hAnsi="微软雅黑" w:eastAsia="微软雅黑" w:cs="微软雅黑"/>
                <w:color w:val="auto"/>
                <w:sz w:val="22"/>
                <w:szCs w:val="22"/>
                <w:highlight w:val="none"/>
                <w:lang w:eastAsia="zh-CN"/>
              </w:rPr>
              <w:t>有企业</w:t>
            </w:r>
            <w:r>
              <w:rPr>
                <w:rFonts w:hint="eastAsia" w:ascii="微软雅黑" w:hAnsi="微软雅黑" w:eastAsia="微软雅黑" w:cs="微软雅黑"/>
                <w:color w:val="auto"/>
                <w:sz w:val="22"/>
                <w:szCs w:val="22"/>
                <w:highlight w:val="none"/>
                <w:lang w:val="en-US" w:eastAsia="zh-CN"/>
              </w:rPr>
              <w:t>AAA证书的可得5分。</w:t>
            </w:r>
          </w:p>
        </w:tc>
        <w:tc>
          <w:tcPr>
            <w:tcW w:w="1478" w:type="dxa"/>
            <w:vMerge w:val="restart"/>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b/>
                <w:bCs/>
                <w:color w:val="auto"/>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509"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5</w:t>
            </w:r>
          </w:p>
        </w:tc>
        <w:tc>
          <w:tcPr>
            <w:tcW w:w="855" w:type="dxa"/>
            <w:vMerge w:val="continue"/>
            <w:vAlign w:val="center"/>
          </w:tcPr>
          <w:p>
            <w:pPr>
              <w:spacing w:line="400" w:lineRule="exact"/>
              <w:rPr>
                <w:rFonts w:ascii="微软雅黑" w:hAnsi="微软雅黑" w:eastAsia="微软雅黑" w:cs="微软雅黑"/>
                <w:color w:val="auto"/>
                <w:sz w:val="22"/>
                <w:szCs w:val="22"/>
                <w:highlight w:val="none"/>
              </w:rPr>
            </w:pPr>
          </w:p>
        </w:tc>
        <w:tc>
          <w:tcPr>
            <w:tcW w:w="615"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8</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设计方案总体理解及用户需求：总体方案设计目标清晰、规划到位，对</w:t>
            </w:r>
            <w:r>
              <w:rPr>
                <w:rFonts w:hint="eastAsia" w:ascii="微软雅黑" w:hAnsi="微软雅黑" w:eastAsia="微软雅黑" w:cs="微软雅黑"/>
                <w:color w:val="auto"/>
                <w:sz w:val="22"/>
                <w:szCs w:val="22"/>
                <w:highlight w:val="none"/>
                <w:lang w:val="en-US" w:eastAsia="zh-CN"/>
              </w:rPr>
              <w:t>医院</w:t>
            </w:r>
            <w:r>
              <w:rPr>
                <w:rFonts w:hint="eastAsia" w:ascii="微软雅黑" w:hAnsi="微软雅黑" w:eastAsia="微软雅黑" w:cs="微软雅黑"/>
                <w:color w:val="auto"/>
                <w:sz w:val="22"/>
                <w:szCs w:val="22"/>
                <w:highlight w:val="none"/>
              </w:rPr>
              <w:t>整体广告、</w:t>
            </w:r>
            <w:r>
              <w:rPr>
                <w:rFonts w:hint="eastAsia" w:ascii="微软雅黑" w:hAnsi="微软雅黑" w:eastAsia="微软雅黑" w:cs="微软雅黑"/>
                <w:color w:val="auto"/>
                <w:sz w:val="22"/>
                <w:szCs w:val="22"/>
                <w:highlight w:val="none"/>
                <w:lang w:val="en-US" w:eastAsia="zh-CN"/>
              </w:rPr>
              <w:t>定制品</w:t>
            </w:r>
            <w:r>
              <w:rPr>
                <w:rFonts w:hint="eastAsia" w:ascii="微软雅黑" w:hAnsi="微软雅黑" w:eastAsia="微软雅黑" w:cs="微软雅黑"/>
                <w:color w:val="auto"/>
                <w:sz w:val="22"/>
                <w:szCs w:val="22"/>
                <w:highlight w:val="none"/>
              </w:rPr>
              <w:t>作等有详细</w:t>
            </w:r>
            <w:r>
              <w:rPr>
                <w:rFonts w:hint="eastAsia" w:ascii="微软雅黑" w:hAnsi="微软雅黑" w:eastAsia="微软雅黑" w:cs="微软雅黑"/>
                <w:b/>
                <w:bCs/>
                <w:color w:val="auto"/>
                <w:sz w:val="22"/>
                <w:szCs w:val="22"/>
                <w:highlight w:val="none"/>
              </w:rPr>
              <w:t>的设计方案及效果图，</w:t>
            </w:r>
            <w:r>
              <w:rPr>
                <w:rFonts w:hint="eastAsia" w:ascii="微软雅黑" w:hAnsi="微软雅黑" w:eastAsia="微软雅黑" w:cs="微软雅黑"/>
                <w:color w:val="auto"/>
                <w:sz w:val="22"/>
                <w:szCs w:val="22"/>
                <w:highlight w:val="none"/>
              </w:rPr>
              <w:t>完全符合项目实际情况的得</w:t>
            </w:r>
            <w:r>
              <w:rPr>
                <w:rFonts w:hint="eastAsia" w:ascii="微软雅黑" w:hAnsi="微软雅黑" w:eastAsia="微软雅黑" w:cs="微软雅黑"/>
                <w:color w:val="auto"/>
                <w:sz w:val="22"/>
                <w:szCs w:val="22"/>
                <w:highlight w:val="none"/>
                <w:lang w:val="en-US" w:eastAsia="zh-CN"/>
              </w:rPr>
              <w:t>8</w:t>
            </w:r>
            <w:r>
              <w:rPr>
                <w:rFonts w:hint="eastAsia" w:ascii="微软雅黑" w:hAnsi="微软雅黑" w:eastAsia="微软雅黑" w:cs="微软雅黑"/>
                <w:color w:val="auto"/>
                <w:sz w:val="22"/>
                <w:szCs w:val="22"/>
                <w:highlight w:val="none"/>
              </w:rPr>
              <w:t>分，方案描述不详细但没有缺失内容且基本符合项目实际情况得</w:t>
            </w:r>
            <w:r>
              <w:rPr>
                <w:rFonts w:hint="eastAsia" w:ascii="微软雅黑" w:hAnsi="微软雅黑" w:eastAsia="微软雅黑" w:cs="微软雅黑"/>
                <w:color w:val="auto"/>
                <w:sz w:val="22"/>
                <w:szCs w:val="22"/>
                <w:highlight w:val="none"/>
                <w:lang w:val="en-US" w:eastAsia="zh-CN"/>
              </w:rPr>
              <w:t>6</w:t>
            </w:r>
            <w:r>
              <w:rPr>
                <w:rFonts w:hint="eastAsia" w:ascii="微软雅黑" w:hAnsi="微软雅黑" w:eastAsia="微软雅黑" w:cs="微软雅黑"/>
                <w:color w:val="auto"/>
                <w:sz w:val="22"/>
                <w:szCs w:val="22"/>
                <w:highlight w:val="none"/>
              </w:rPr>
              <w:t>分，方案描述不详细但没有缺失内容且不太符合项目实际情况得</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分，方案描述内容有缺失不符合项目实际情况或不提供得0分。</w:t>
            </w:r>
          </w:p>
        </w:tc>
        <w:tc>
          <w:tcPr>
            <w:tcW w:w="1478" w:type="dxa"/>
            <w:vMerge w:val="continue"/>
            <w:vAlign w:val="center"/>
          </w:tcPr>
          <w:p>
            <w:pPr>
              <w:spacing w:line="400" w:lineRule="exact"/>
              <w:rPr>
                <w:rFonts w:ascii="微软雅黑" w:hAnsi="微软雅黑" w:eastAsia="微软雅黑" w:cs="微软雅黑"/>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6</w:t>
            </w:r>
          </w:p>
        </w:tc>
        <w:tc>
          <w:tcPr>
            <w:tcW w:w="855" w:type="dxa"/>
            <w:vMerge w:val="continue"/>
            <w:vAlign w:val="center"/>
          </w:tcPr>
          <w:p>
            <w:pPr>
              <w:spacing w:line="400" w:lineRule="exact"/>
              <w:rPr>
                <w:rFonts w:ascii="微软雅黑" w:hAnsi="微软雅黑" w:eastAsia="微软雅黑" w:cs="微软雅黑"/>
                <w:color w:val="auto"/>
                <w:sz w:val="22"/>
                <w:szCs w:val="22"/>
                <w:highlight w:val="none"/>
              </w:rPr>
            </w:pPr>
          </w:p>
        </w:tc>
        <w:tc>
          <w:tcPr>
            <w:tcW w:w="615" w:type="dxa"/>
            <w:vAlign w:val="center"/>
          </w:tcPr>
          <w:p>
            <w:pPr>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14</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项目人员配置：至少配备</w:t>
            </w:r>
            <w:r>
              <w:rPr>
                <w:rFonts w:hint="eastAsia" w:ascii="微软雅黑" w:hAnsi="微软雅黑" w:eastAsia="微软雅黑" w:cs="微软雅黑"/>
                <w:color w:val="auto"/>
                <w:sz w:val="22"/>
                <w:szCs w:val="22"/>
                <w:highlight w:val="none"/>
                <w:lang w:val="en-US" w:eastAsia="zh-CN"/>
              </w:rPr>
              <w:t>6</w:t>
            </w:r>
            <w:r>
              <w:rPr>
                <w:rFonts w:hint="eastAsia" w:ascii="微软雅黑" w:hAnsi="微软雅黑" w:eastAsia="微软雅黑" w:cs="微软雅黑"/>
                <w:color w:val="auto"/>
                <w:sz w:val="22"/>
                <w:szCs w:val="22"/>
                <w:highlight w:val="none"/>
              </w:rPr>
              <w:t>名的工作人员，其中包含1名负责</w:t>
            </w:r>
            <w:r>
              <w:rPr>
                <w:rFonts w:hint="eastAsia" w:ascii="微软雅黑" w:hAnsi="微软雅黑" w:eastAsia="微软雅黑" w:cs="微软雅黑"/>
                <w:color w:val="auto"/>
                <w:sz w:val="22"/>
                <w:szCs w:val="22"/>
                <w:highlight w:val="none"/>
                <w:lang w:val="en-US" w:eastAsia="zh-CN"/>
              </w:rPr>
              <w:t>项目</w:t>
            </w:r>
            <w:bookmarkStart w:id="0" w:name="_GoBack"/>
            <w:bookmarkEnd w:id="0"/>
            <w:r>
              <w:rPr>
                <w:rFonts w:hint="eastAsia" w:ascii="微软雅黑" w:hAnsi="微软雅黑" w:eastAsia="微软雅黑" w:cs="微软雅黑"/>
                <w:color w:val="auto"/>
                <w:sz w:val="22"/>
                <w:szCs w:val="22"/>
                <w:highlight w:val="none"/>
                <w:lang w:val="en-US" w:eastAsia="zh-CN"/>
              </w:rPr>
              <w:t>，4名有证书的</w:t>
            </w:r>
            <w:r>
              <w:rPr>
                <w:rFonts w:hint="eastAsia" w:ascii="微软雅黑" w:hAnsi="微软雅黑" w:eastAsia="微软雅黑" w:cs="微软雅黑"/>
                <w:color w:val="auto"/>
                <w:sz w:val="22"/>
                <w:szCs w:val="22"/>
                <w:highlight w:val="none"/>
              </w:rPr>
              <w:t>设计师，且具备相关专业证明或者相关资格证书及</w:t>
            </w:r>
            <w:r>
              <w:rPr>
                <w:rFonts w:hint="eastAsia" w:ascii="微软雅黑" w:hAnsi="微软雅黑" w:eastAsia="微软雅黑" w:cs="微软雅黑"/>
                <w:color w:val="auto"/>
                <w:sz w:val="22"/>
                <w:szCs w:val="22"/>
                <w:highlight w:val="none"/>
                <w:lang w:val="en-US" w:eastAsia="zh-CN"/>
              </w:rPr>
              <w:t>医院</w:t>
            </w:r>
            <w:r>
              <w:rPr>
                <w:rFonts w:hint="eastAsia" w:ascii="微软雅黑" w:hAnsi="微软雅黑" w:eastAsia="微软雅黑" w:cs="微软雅黑"/>
                <w:color w:val="auto"/>
                <w:sz w:val="22"/>
                <w:szCs w:val="22"/>
                <w:highlight w:val="none"/>
              </w:rPr>
              <w:t>相关的设计工作经验，并有</w:t>
            </w:r>
            <w:r>
              <w:rPr>
                <w:rFonts w:hint="eastAsia" w:ascii="微软雅黑" w:hAnsi="微软雅黑" w:eastAsia="微软雅黑" w:cs="微软雅黑"/>
                <w:color w:val="auto"/>
                <w:sz w:val="22"/>
                <w:szCs w:val="22"/>
                <w:highlight w:val="none"/>
                <w:lang w:val="en-US" w:eastAsia="zh-CN"/>
              </w:rPr>
              <w:t>医院</w:t>
            </w:r>
            <w:r>
              <w:rPr>
                <w:rFonts w:hint="eastAsia" w:ascii="微软雅黑" w:hAnsi="微软雅黑" w:eastAsia="微软雅黑" w:cs="微软雅黑"/>
                <w:color w:val="auto"/>
                <w:sz w:val="22"/>
                <w:szCs w:val="22"/>
                <w:highlight w:val="none"/>
              </w:rPr>
              <w:t>广告服务相关经验；得6分；</w:t>
            </w:r>
            <w:r>
              <w:rPr>
                <w:rFonts w:hint="eastAsia" w:ascii="微软雅黑" w:hAnsi="微软雅黑" w:eastAsia="微软雅黑" w:cs="微软雅黑"/>
                <w:color w:val="auto"/>
                <w:sz w:val="22"/>
                <w:szCs w:val="22"/>
                <w:highlight w:val="none"/>
                <w:lang w:eastAsia="zh-CN"/>
              </w:rPr>
              <w:t>持有设计师证的每个</w:t>
            </w:r>
            <w:r>
              <w:rPr>
                <w:rFonts w:hint="eastAsia" w:ascii="微软雅黑" w:hAnsi="微软雅黑" w:eastAsia="微软雅黑" w:cs="微软雅黑"/>
                <w:color w:val="auto"/>
                <w:sz w:val="22"/>
                <w:szCs w:val="22"/>
                <w:highlight w:val="none"/>
                <w:lang w:val="en-US" w:eastAsia="zh-CN"/>
              </w:rPr>
              <w:t>2分</w:t>
            </w:r>
            <w:r>
              <w:rPr>
                <w:rFonts w:hint="eastAsia" w:ascii="微软雅黑" w:hAnsi="微软雅黑" w:eastAsia="微软雅黑" w:cs="微软雅黑"/>
                <w:color w:val="auto"/>
                <w:sz w:val="22"/>
                <w:szCs w:val="22"/>
                <w:highlight w:val="none"/>
              </w:rPr>
              <w:t>，</w:t>
            </w:r>
            <w:r>
              <w:rPr>
                <w:rFonts w:hint="eastAsia" w:ascii="微软雅黑" w:hAnsi="微软雅黑" w:eastAsia="微软雅黑" w:cs="微软雅黑"/>
                <w:color w:val="auto"/>
                <w:sz w:val="22"/>
                <w:szCs w:val="22"/>
                <w:highlight w:val="none"/>
                <w:lang w:eastAsia="zh-CN"/>
              </w:rPr>
              <w:t>最多</w:t>
            </w:r>
            <w:r>
              <w:rPr>
                <w:rFonts w:hint="eastAsia" w:ascii="微软雅黑" w:hAnsi="微软雅黑" w:eastAsia="微软雅黑" w:cs="微软雅黑"/>
                <w:color w:val="auto"/>
                <w:sz w:val="22"/>
                <w:szCs w:val="22"/>
                <w:highlight w:val="none"/>
                <w:lang w:val="en-US" w:eastAsia="zh-CN"/>
              </w:rPr>
              <w:t>8</w:t>
            </w:r>
            <w:r>
              <w:rPr>
                <w:rFonts w:hint="eastAsia" w:ascii="微软雅黑" w:hAnsi="微软雅黑" w:eastAsia="微软雅黑" w:cs="微软雅黑"/>
                <w:color w:val="auto"/>
                <w:sz w:val="22"/>
                <w:szCs w:val="22"/>
                <w:highlight w:val="none"/>
              </w:rPr>
              <w:t>分。</w:t>
            </w:r>
          </w:p>
        </w:tc>
        <w:tc>
          <w:tcPr>
            <w:tcW w:w="1478" w:type="dxa"/>
            <w:vMerge w:val="continue"/>
            <w:vAlign w:val="center"/>
          </w:tcPr>
          <w:p>
            <w:pPr>
              <w:spacing w:line="400" w:lineRule="exact"/>
              <w:rPr>
                <w:rFonts w:ascii="微软雅黑" w:hAnsi="微软雅黑" w:eastAsia="微软雅黑" w:cs="微软雅黑"/>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509"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7</w:t>
            </w:r>
          </w:p>
        </w:tc>
        <w:tc>
          <w:tcPr>
            <w:tcW w:w="855" w:type="dxa"/>
            <w:vMerge w:val="continue"/>
            <w:vAlign w:val="center"/>
          </w:tcPr>
          <w:p>
            <w:pPr>
              <w:spacing w:line="400" w:lineRule="exact"/>
              <w:rPr>
                <w:rFonts w:ascii="微软雅黑" w:hAnsi="微软雅黑" w:eastAsia="微软雅黑" w:cs="微软雅黑"/>
                <w:color w:val="auto"/>
                <w:sz w:val="22"/>
                <w:szCs w:val="22"/>
                <w:highlight w:val="none"/>
              </w:rPr>
            </w:pPr>
          </w:p>
        </w:tc>
        <w:tc>
          <w:tcPr>
            <w:tcW w:w="615" w:type="dxa"/>
            <w:vAlign w:val="center"/>
          </w:tcPr>
          <w:p>
            <w:pPr>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4</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实施方案：根据供应商提供的</w:t>
            </w:r>
            <w:r>
              <w:rPr>
                <w:rFonts w:hint="eastAsia" w:ascii="微软雅黑" w:hAnsi="微软雅黑" w:eastAsia="微软雅黑" w:cs="微软雅黑"/>
                <w:b/>
                <w:bCs/>
                <w:color w:val="auto"/>
                <w:sz w:val="22"/>
                <w:szCs w:val="22"/>
                <w:highlight w:val="none"/>
              </w:rPr>
              <w:t>服务，送货、安装、调试、检测、验收及安全保障措施，车辆运输，突发事件处理措施及项目实施过程各个环节的时间安排</w:t>
            </w:r>
            <w:r>
              <w:rPr>
                <w:rFonts w:hint="eastAsia" w:ascii="微软雅黑" w:hAnsi="微软雅黑" w:eastAsia="微软雅黑" w:cs="微软雅黑"/>
                <w:color w:val="auto"/>
                <w:sz w:val="22"/>
                <w:szCs w:val="22"/>
                <w:highlight w:val="none"/>
              </w:rPr>
              <w:t>进行打分。完全符合项目实际情况的得</w:t>
            </w:r>
            <w:r>
              <w:rPr>
                <w:rFonts w:hint="eastAsia" w:ascii="微软雅黑" w:hAnsi="微软雅黑" w:eastAsia="微软雅黑" w:cs="微软雅黑"/>
                <w:color w:val="auto"/>
                <w:sz w:val="22"/>
                <w:szCs w:val="22"/>
                <w:highlight w:val="none"/>
                <w:lang w:val="en-US" w:eastAsia="zh-CN"/>
              </w:rPr>
              <w:t>4</w:t>
            </w:r>
            <w:r>
              <w:rPr>
                <w:rFonts w:hint="eastAsia" w:ascii="微软雅黑" w:hAnsi="微软雅黑" w:eastAsia="微软雅黑" w:cs="微软雅黑"/>
                <w:color w:val="auto"/>
                <w:sz w:val="22"/>
                <w:szCs w:val="22"/>
                <w:highlight w:val="none"/>
              </w:rPr>
              <w:t>分，方案描述不详细但没有缺失内容且基本符合项目实际情况得</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分，方案描述不详细但没有缺失内容且不太符合项目实际情况得</w:t>
            </w:r>
            <w:r>
              <w:rPr>
                <w:rFonts w:hint="eastAsia" w:ascii="微软雅黑" w:hAnsi="微软雅黑" w:eastAsia="微软雅黑" w:cs="微软雅黑"/>
                <w:color w:val="auto"/>
                <w:sz w:val="22"/>
                <w:szCs w:val="22"/>
                <w:highlight w:val="none"/>
                <w:lang w:val="en-US" w:eastAsia="zh-CN"/>
              </w:rPr>
              <w:t>0</w:t>
            </w:r>
            <w:r>
              <w:rPr>
                <w:rFonts w:hint="eastAsia" w:ascii="微软雅黑" w:hAnsi="微软雅黑" w:eastAsia="微软雅黑" w:cs="微软雅黑"/>
                <w:color w:val="auto"/>
                <w:sz w:val="22"/>
                <w:szCs w:val="22"/>
                <w:highlight w:val="none"/>
              </w:rPr>
              <w:t>分，方案描述内容有缺失不符合项目实际情况或不提供得0分。</w:t>
            </w:r>
          </w:p>
        </w:tc>
        <w:tc>
          <w:tcPr>
            <w:tcW w:w="1478" w:type="dxa"/>
            <w:vMerge w:val="continue"/>
            <w:vAlign w:val="center"/>
          </w:tcPr>
          <w:p>
            <w:pPr>
              <w:spacing w:line="400" w:lineRule="exact"/>
              <w:rPr>
                <w:rFonts w:ascii="微软雅黑" w:hAnsi="微软雅黑" w:eastAsia="微软雅黑" w:cs="微软雅黑"/>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509" w:type="dxa"/>
            <w:vAlign w:val="center"/>
          </w:tcPr>
          <w:p>
            <w:pPr>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8</w:t>
            </w:r>
          </w:p>
        </w:tc>
        <w:tc>
          <w:tcPr>
            <w:tcW w:w="855" w:type="dxa"/>
            <w:vMerge w:val="continue"/>
            <w:vAlign w:val="center"/>
          </w:tcPr>
          <w:p>
            <w:pPr>
              <w:spacing w:line="400" w:lineRule="exact"/>
              <w:rPr>
                <w:rFonts w:ascii="微软雅黑" w:hAnsi="微软雅黑" w:eastAsia="微软雅黑" w:cs="微软雅黑"/>
                <w:color w:val="auto"/>
                <w:sz w:val="22"/>
                <w:szCs w:val="22"/>
                <w:highlight w:val="none"/>
              </w:rPr>
            </w:pPr>
          </w:p>
        </w:tc>
        <w:tc>
          <w:tcPr>
            <w:tcW w:w="615" w:type="dxa"/>
            <w:vAlign w:val="center"/>
          </w:tcPr>
          <w:p>
            <w:pPr>
              <w:spacing w:line="400" w:lineRule="exact"/>
              <w:ind w:firstLine="28"/>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4</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质量保障：根据</w:t>
            </w:r>
            <w:r>
              <w:rPr>
                <w:rFonts w:hint="eastAsia" w:ascii="微软雅黑" w:hAnsi="微软雅黑" w:eastAsia="微软雅黑" w:cs="微软雅黑"/>
                <w:color w:val="auto"/>
                <w:sz w:val="22"/>
                <w:szCs w:val="22"/>
                <w:highlight w:val="none"/>
                <w:lang w:eastAsia="zh-CN"/>
              </w:rPr>
              <w:t>供应商</w:t>
            </w:r>
            <w:r>
              <w:rPr>
                <w:rFonts w:hint="eastAsia" w:ascii="微软雅黑" w:hAnsi="微软雅黑" w:eastAsia="微软雅黑" w:cs="微软雅黑"/>
                <w:color w:val="auto"/>
                <w:sz w:val="22"/>
                <w:szCs w:val="22"/>
                <w:highlight w:val="none"/>
              </w:rPr>
              <w:t>针对本项目提供的货物的如何进行质量保障：从质量保障方案、质量控制措施及质量事故的处理（产品检测不合格的应对措施和经济处罚</w:t>
            </w:r>
            <w:r>
              <w:rPr>
                <w:rFonts w:hint="eastAsia" w:ascii="微软雅黑" w:hAnsi="微软雅黑" w:eastAsia="微软雅黑" w:cs="微软雅黑"/>
                <w:color w:val="auto"/>
                <w:sz w:val="22"/>
                <w:szCs w:val="22"/>
                <w:highlight w:val="none"/>
                <w:lang w:val="en-US" w:eastAsia="zh-CN"/>
              </w:rPr>
              <w:t>作出</w:t>
            </w:r>
            <w:r>
              <w:rPr>
                <w:rFonts w:hint="eastAsia" w:ascii="微软雅黑" w:hAnsi="微软雅黑" w:eastAsia="微软雅黑" w:cs="微软雅黑"/>
                <w:color w:val="auto"/>
                <w:sz w:val="22"/>
                <w:szCs w:val="22"/>
                <w:highlight w:val="none"/>
              </w:rPr>
              <w:t>承诺），完整清晰明确且科学合理、可行性高具有针对性并满足采购需求的方面对各供应商的投标文件内容进行评价，方案完整，逻辑清晰，贴合采购需求，可行性高的得</w:t>
            </w:r>
            <w:r>
              <w:rPr>
                <w:rFonts w:hint="eastAsia" w:ascii="微软雅黑" w:hAnsi="微软雅黑" w:eastAsia="微软雅黑" w:cs="微软雅黑"/>
                <w:color w:val="auto"/>
                <w:sz w:val="22"/>
                <w:szCs w:val="22"/>
                <w:highlight w:val="none"/>
                <w:lang w:val="en-US" w:eastAsia="zh-CN"/>
              </w:rPr>
              <w:t>4</w:t>
            </w:r>
            <w:r>
              <w:rPr>
                <w:rFonts w:hint="eastAsia" w:ascii="微软雅黑" w:hAnsi="微软雅黑" w:eastAsia="微软雅黑" w:cs="微软雅黑"/>
                <w:color w:val="auto"/>
                <w:sz w:val="22"/>
                <w:szCs w:val="22"/>
                <w:highlight w:val="none"/>
              </w:rPr>
              <w:t>分；方案较为合理且可行性高的得</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分；方案不太合理，可行性不高的得</w:t>
            </w:r>
            <w:r>
              <w:rPr>
                <w:rFonts w:hint="eastAsia" w:ascii="微软雅黑" w:hAnsi="微软雅黑" w:eastAsia="微软雅黑" w:cs="微软雅黑"/>
                <w:color w:val="auto"/>
                <w:sz w:val="22"/>
                <w:szCs w:val="22"/>
                <w:highlight w:val="none"/>
                <w:lang w:val="en-US" w:eastAsia="zh-CN"/>
              </w:rPr>
              <w:t>0</w:t>
            </w:r>
            <w:r>
              <w:rPr>
                <w:rFonts w:hint="eastAsia" w:ascii="微软雅黑" w:hAnsi="微软雅黑" w:eastAsia="微软雅黑" w:cs="微软雅黑"/>
                <w:color w:val="auto"/>
                <w:sz w:val="22"/>
                <w:szCs w:val="22"/>
                <w:highlight w:val="none"/>
              </w:rPr>
              <w:t>分；方案结构混乱，不贴合本项目的采购需求得</w:t>
            </w:r>
            <w:r>
              <w:rPr>
                <w:rFonts w:hint="eastAsia" w:ascii="微软雅黑" w:hAnsi="微软雅黑" w:eastAsia="微软雅黑" w:cs="微软雅黑"/>
                <w:color w:val="auto"/>
                <w:sz w:val="22"/>
                <w:szCs w:val="22"/>
                <w:highlight w:val="none"/>
                <w:lang w:val="en-US" w:eastAsia="zh-CN"/>
              </w:rPr>
              <w:t>0</w:t>
            </w:r>
            <w:r>
              <w:rPr>
                <w:rFonts w:hint="eastAsia" w:ascii="微软雅黑" w:hAnsi="微软雅黑" w:eastAsia="微软雅黑" w:cs="微软雅黑"/>
                <w:color w:val="auto"/>
                <w:sz w:val="22"/>
                <w:szCs w:val="22"/>
                <w:highlight w:val="none"/>
              </w:rPr>
              <w:t>分。</w:t>
            </w:r>
          </w:p>
        </w:tc>
        <w:tc>
          <w:tcPr>
            <w:tcW w:w="1478" w:type="dxa"/>
            <w:vMerge w:val="continue"/>
            <w:vAlign w:val="center"/>
          </w:tcPr>
          <w:p>
            <w:pPr>
              <w:spacing w:line="400" w:lineRule="exact"/>
              <w:rPr>
                <w:rFonts w:ascii="微软雅黑" w:hAnsi="微软雅黑" w:eastAsia="微软雅黑" w:cs="微软雅黑"/>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509" w:type="dxa"/>
            <w:vAlign w:val="center"/>
          </w:tcPr>
          <w:p>
            <w:pPr>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9</w:t>
            </w:r>
          </w:p>
        </w:tc>
        <w:tc>
          <w:tcPr>
            <w:tcW w:w="855" w:type="dxa"/>
            <w:vMerge w:val="continue"/>
            <w:vAlign w:val="center"/>
          </w:tcPr>
          <w:p>
            <w:pPr>
              <w:spacing w:line="400" w:lineRule="exact"/>
              <w:rPr>
                <w:rFonts w:ascii="微软雅黑" w:hAnsi="微软雅黑" w:eastAsia="微软雅黑" w:cs="微软雅黑"/>
                <w:color w:val="auto"/>
                <w:sz w:val="22"/>
                <w:szCs w:val="22"/>
                <w:highlight w:val="none"/>
              </w:rPr>
            </w:pPr>
          </w:p>
        </w:tc>
        <w:tc>
          <w:tcPr>
            <w:tcW w:w="615" w:type="dxa"/>
            <w:vAlign w:val="center"/>
          </w:tcPr>
          <w:p>
            <w:pPr>
              <w:spacing w:line="400" w:lineRule="exact"/>
              <w:ind w:firstLine="28"/>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20</w:t>
            </w:r>
          </w:p>
        </w:tc>
        <w:tc>
          <w:tcPr>
            <w:tcW w:w="7055" w:type="dxa"/>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售后服务：（1）根据供应商提供的质保期内的售后服务方案，包含</w:t>
            </w:r>
            <w:r>
              <w:rPr>
                <w:rFonts w:hint="eastAsia" w:ascii="微软雅黑" w:hAnsi="微软雅黑" w:eastAsia="微软雅黑" w:cs="微软雅黑"/>
                <w:b/>
                <w:bCs/>
                <w:color w:val="auto"/>
                <w:sz w:val="22"/>
                <w:szCs w:val="22"/>
                <w:highlight w:val="none"/>
              </w:rPr>
              <w:t>发生配送超时或遇到突发情况时的应急解决方案和经济处罚作出承诺、服务响应时间、维修质量服务承诺书</w:t>
            </w:r>
            <w:r>
              <w:rPr>
                <w:rFonts w:hint="eastAsia" w:ascii="微软雅黑" w:hAnsi="微软雅黑" w:eastAsia="微软雅黑" w:cs="微软雅黑"/>
                <w:color w:val="auto"/>
                <w:sz w:val="22"/>
                <w:szCs w:val="22"/>
                <w:highlight w:val="none"/>
              </w:rPr>
              <w:t>等情况说明进行打分：方案完全符合项目特点，各项内容具体详细且实际可行得</w:t>
            </w:r>
            <w:r>
              <w:rPr>
                <w:rFonts w:hint="eastAsia" w:ascii="微软雅黑" w:hAnsi="微软雅黑" w:eastAsia="微软雅黑" w:cs="微软雅黑"/>
                <w:color w:val="auto"/>
                <w:sz w:val="22"/>
                <w:szCs w:val="22"/>
                <w:highlight w:val="none"/>
                <w:lang w:val="en-US" w:eastAsia="zh-CN"/>
              </w:rPr>
              <w:t>8</w:t>
            </w:r>
            <w:r>
              <w:rPr>
                <w:rFonts w:hint="eastAsia" w:ascii="微软雅黑" w:hAnsi="微软雅黑" w:eastAsia="微软雅黑" w:cs="微软雅黑"/>
                <w:color w:val="auto"/>
                <w:sz w:val="22"/>
                <w:szCs w:val="22"/>
                <w:highlight w:val="none"/>
              </w:rPr>
              <w:t>分，方案基本符合项目特点，各项内容不太具体详细较为可行得</w:t>
            </w:r>
            <w:r>
              <w:rPr>
                <w:rFonts w:hint="eastAsia" w:ascii="微软雅黑" w:hAnsi="微软雅黑" w:eastAsia="微软雅黑" w:cs="微软雅黑"/>
                <w:color w:val="auto"/>
                <w:sz w:val="22"/>
                <w:szCs w:val="22"/>
                <w:highlight w:val="none"/>
                <w:lang w:val="en-US" w:eastAsia="zh-CN"/>
              </w:rPr>
              <w:t>6</w:t>
            </w:r>
            <w:r>
              <w:rPr>
                <w:rFonts w:hint="eastAsia" w:ascii="微软雅黑" w:hAnsi="微软雅黑" w:eastAsia="微软雅黑" w:cs="微软雅黑"/>
                <w:color w:val="auto"/>
                <w:sz w:val="22"/>
                <w:szCs w:val="22"/>
                <w:highlight w:val="none"/>
              </w:rPr>
              <w:t>分，服务方案不全面、不具体、可行性低得</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分，无内容或极差不得分。</w:t>
            </w:r>
          </w:p>
          <w:p>
            <w:pPr>
              <w:numPr>
                <w:ilvl w:val="0"/>
                <w:numId w:val="1"/>
              </w:num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提供承诺书的得</w:t>
            </w:r>
            <w:r>
              <w:rPr>
                <w:rFonts w:hint="eastAsia" w:ascii="微软雅黑" w:hAnsi="微软雅黑" w:eastAsia="微软雅黑" w:cs="微软雅黑"/>
                <w:color w:val="auto"/>
                <w:sz w:val="22"/>
                <w:szCs w:val="22"/>
                <w:highlight w:val="none"/>
                <w:lang w:val="en-US" w:eastAsia="zh-CN"/>
              </w:rPr>
              <w:t>0-2</w:t>
            </w:r>
            <w:r>
              <w:rPr>
                <w:rFonts w:hint="eastAsia" w:ascii="微软雅黑" w:hAnsi="微软雅黑" w:eastAsia="微软雅黑" w:cs="微软雅黑"/>
                <w:color w:val="auto"/>
                <w:sz w:val="22"/>
                <w:szCs w:val="22"/>
                <w:highlight w:val="none"/>
              </w:rPr>
              <w:t>分，内容</w:t>
            </w:r>
            <w:r>
              <w:rPr>
                <w:rFonts w:hint="eastAsia" w:ascii="微软雅黑" w:hAnsi="微软雅黑" w:eastAsia="微软雅黑" w:cs="微软雅黑"/>
                <w:color w:val="auto"/>
                <w:sz w:val="22"/>
                <w:szCs w:val="22"/>
                <w:highlight w:val="none"/>
                <w:lang w:val="en-US" w:eastAsia="zh-CN"/>
              </w:rPr>
              <w:t>必须包含</w:t>
            </w:r>
            <w:r>
              <w:rPr>
                <w:rFonts w:hint="eastAsia" w:ascii="微软雅黑" w:hAnsi="微软雅黑" w:eastAsia="微软雅黑" w:cs="微软雅黑"/>
                <w:color w:val="auto"/>
                <w:sz w:val="22"/>
                <w:szCs w:val="22"/>
                <w:highlight w:val="none"/>
              </w:rPr>
              <w:t>“对</w:t>
            </w:r>
            <w:r>
              <w:rPr>
                <w:rFonts w:hint="eastAsia" w:ascii="微软雅黑" w:hAnsi="微软雅黑" w:eastAsia="微软雅黑" w:cs="微软雅黑"/>
                <w:color w:val="auto"/>
                <w:sz w:val="22"/>
                <w:szCs w:val="22"/>
                <w:highlight w:val="none"/>
                <w:lang w:val="en-US" w:eastAsia="zh-CN"/>
              </w:rPr>
              <w:t>医院</w:t>
            </w:r>
            <w:r>
              <w:rPr>
                <w:rFonts w:hint="eastAsia" w:ascii="微软雅黑" w:hAnsi="微软雅黑" w:eastAsia="微软雅黑" w:cs="微软雅黑"/>
                <w:color w:val="auto"/>
                <w:sz w:val="22"/>
                <w:szCs w:val="22"/>
                <w:highlight w:val="none"/>
              </w:rPr>
              <w:t>采购的广告</w:t>
            </w:r>
            <w:r>
              <w:rPr>
                <w:rFonts w:hint="eastAsia" w:ascii="微软雅黑" w:hAnsi="微软雅黑" w:eastAsia="微软雅黑" w:cs="微软雅黑"/>
                <w:color w:val="auto"/>
                <w:sz w:val="22"/>
                <w:szCs w:val="22"/>
                <w:highlight w:val="none"/>
                <w:lang w:val="en-US" w:eastAsia="zh-CN"/>
              </w:rPr>
              <w:t>制作</w:t>
            </w:r>
            <w:r>
              <w:rPr>
                <w:rFonts w:hint="eastAsia" w:ascii="微软雅黑" w:hAnsi="微软雅黑" w:eastAsia="微软雅黑" w:cs="微软雅黑"/>
                <w:color w:val="auto"/>
                <w:sz w:val="22"/>
                <w:szCs w:val="22"/>
                <w:highlight w:val="none"/>
              </w:rPr>
              <w:t>、</w:t>
            </w:r>
            <w:r>
              <w:rPr>
                <w:rFonts w:hint="eastAsia" w:ascii="微软雅黑" w:hAnsi="微软雅黑" w:eastAsia="微软雅黑" w:cs="微软雅黑"/>
                <w:color w:val="auto"/>
                <w:sz w:val="22"/>
                <w:szCs w:val="22"/>
                <w:highlight w:val="none"/>
                <w:lang w:val="en-US" w:eastAsia="zh-CN"/>
              </w:rPr>
              <w:t>定制品、</w:t>
            </w:r>
            <w:r>
              <w:rPr>
                <w:rFonts w:hint="eastAsia" w:ascii="微软雅黑" w:hAnsi="微软雅黑" w:eastAsia="微软雅黑" w:cs="微软雅黑"/>
                <w:color w:val="auto"/>
                <w:sz w:val="22"/>
                <w:szCs w:val="22"/>
                <w:highlight w:val="none"/>
              </w:rPr>
              <w:t>制作服务等（见第5章</w:t>
            </w:r>
            <w:r>
              <w:rPr>
                <w:rFonts w:hint="eastAsia" w:ascii="微软雅黑" w:hAnsi="微软雅黑" w:eastAsia="微软雅黑" w:cs="微软雅黑"/>
                <w:color w:val="auto"/>
                <w:sz w:val="22"/>
                <w:szCs w:val="22"/>
                <w:highlight w:val="none"/>
                <w:lang w:val="en-US" w:eastAsia="zh-CN"/>
              </w:rPr>
              <w:t>服务</w:t>
            </w:r>
            <w:r>
              <w:rPr>
                <w:rFonts w:hint="eastAsia" w:ascii="微软雅黑" w:hAnsi="微软雅黑" w:eastAsia="微软雅黑" w:cs="微软雅黑"/>
                <w:color w:val="auto"/>
                <w:sz w:val="22"/>
                <w:szCs w:val="22"/>
                <w:highlight w:val="none"/>
              </w:rPr>
              <w:t>需求一览表及技术规格，报价以清单单价合计报价）中服务期招标方需要的产品未在此次采购清单列表内，经双方协商价格后进行备案可纳入清单并供货，但投标方需作出承诺，备案价格不得虚报，一经发现，即可取消服务资格”。</w:t>
            </w:r>
          </w:p>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（3）提供承诺书的得</w:t>
            </w:r>
            <w:r>
              <w:rPr>
                <w:rFonts w:hint="eastAsia" w:ascii="微软雅黑" w:hAnsi="微软雅黑" w:eastAsia="微软雅黑" w:cs="微软雅黑"/>
                <w:color w:val="auto"/>
                <w:sz w:val="22"/>
                <w:szCs w:val="22"/>
                <w:highlight w:val="none"/>
                <w:lang w:val="en-US" w:eastAsia="zh-CN"/>
              </w:rPr>
              <w:t>0-4</w:t>
            </w:r>
            <w:r>
              <w:rPr>
                <w:rFonts w:hint="eastAsia" w:ascii="微软雅黑" w:hAnsi="微软雅黑" w:eastAsia="微软雅黑" w:cs="微软雅黑"/>
                <w:color w:val="auto"/>
                <w:sz w:val="22"/>
                <w:szCs w:val="22"/>
                <w:highlight w:val="none"/>
              </w:rPr>
              <w:t>分，内容</w:t>
            </w:r>
            <w:r>
              <w:rPr>
                <w:rFonts w:hint="eastAsia" w:ascii="微软雅黑" w:hAnsi="微软雅黑" w:eastAsia="微软雅黑" w:cs="微软雅黑"/>
                <w:color w:val="auto"/>
                <w:sz w:val="22"/>
                <w:szCs w:val="22"/>
                <w:highlight w:val="none"/>
                <w:lang w:val="en-US" w:eastAsia="zh-CN"/>
              </w:rPr>
              <w:t>必须包含</w:t>
            </w:r>
            <w:r>
              <w:rPr>
                <w:rFonts w:hint="eastAsia" w:ascii="微软雅黑" w:hAnsi="微软雅黑" w:eastAsia="微软雅黑" w:cs="微软雅黑"/>
                <w:color w:val="auto"/>
                <w:sz w:val="22"/>
                <w:szCs w:val="22"/>
                <w:highlight w:val="none"/>
              </w:rPr>
              <w:t>“任何设计、制作、安装在规定的加急时限中能够独立完成制作和安装任务的，且时限和价格无节假日区分。”</w:t>
            </w:r>
          </w:p>
          <w:p>
            <w:pPr>
              <w:rPr>
                <w:rFonts w:ascii="微软雅黑" w:hAnsi="微软雅黑" w:eastAsia="微软雅黑" w:cs="微软雅黑"/>
                <w:color w:val="auto"/>
                <w:sz w:val="24"/>
                <w:highlight w:val="none"/>
              </w:rPr>
            </w:pPr>
            <w:r>
              <w:rPr>
                <w:rFonts w:hint="eastAsia" w:ascii="微软雅黑" w:hAnsi="微软雅黑" w:eastAsia="微软雅黑" w:cs="微软雅黑"/>
                <w:color w:val="auto"/>
                <w:sz w:val="22"/>
                <w:szCs w:val="22"/>
                <w:highlight w:val="none"/>
              </w:rPr>
              <w:t>（4）提供承诺书的得</w:t>
            </w:r>
            <w:r>
              <w:rPr>
                <w:rFonts w:hint="eastAsia" w:ascii="微软雅黑" w:hAnsi="微软雅黑" w:eastAsia="微软雅黑" w:cs="微软雅黑"/>
                <w:color w:val="auto"/>
                <w:sz w:val="22"/>
                <w:szCs w:val="22"/>
                <w:highlight w:val="none"/>
                <w:lang w:val="en-US" w:eastAsia="zh-CN"/>
              </w:rPr>
              <w:t>0-2</w:t>
            </w:r>
            <w:r>
              <w:rPr>
                <w:rFonts w:hint="eastAsia" w:ascii="微软雅黑" w:hAnsi="微软雅黑" w:eastAsia="微软雅黑" w:cs="微软雅黑"/>
                <w:color w:val="auto"/>
                <w:sz w:val="22"/>
                <w:szCs w:val="22"/>
                <w:highlight w:val="none"/>
              </w:rPr>
              <w:t>分，内容</w:t>
            </w:r>
            <w:r>
              <w:rPr>
                <w:rFonts w:hint="eastAsia" w:ascii="微软雅黑" w:hAnsi="微软雅黑" w:eastAsia="微软雅黑" w:cs="微软雅黑"/>
                <w:color w:val="auto"/>
                <w:sz w:val="22"/>
                <w:szCs w:val="22"/>
                <w:highlight w:val="none"/>
                <w:lang w:val="en-US" w:eastAsia="zh-CN"/>
              </w:rPr>
              <w:t>必须包含</w:t>
            </w:r>
            <w:r>
              <w:rPr>
                <w:rFonts w:hint="eastAsia" w:ascii="微软雅黑" w:hAnsi="微软雅黑" w:eastAsia="微软雅黑" w:cs="微软雅黑"/>
                <w:color w:val="auto"/>
                <w:sz w:val="22"/>
                <w:szCs w:val="22"/>
                <w:highlight w:val="none"/>
              </w:rPr>
              <w:t>“企业必须有安全施工、组织设计能力，能够独立承担安全事故责任。</w:t>
            </w:r>
            <w:r>
              <w:rPr>
                <w:rFonts w:hint="eastAsia" w:ascii="微软雅黑" w:hAnsi="微软雅黑" w:eastAsia="微软雅黑" w:cs="微软雅黑"/>
                <w:color w:val="auto"/>
                <w:sz w:val="24"/>
                <w:highlight w:val="none"/>
              </w:rPr>
              <w:t>”</w:t>
            </w:r>
          </w:p>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（5）在项目实施地有固定的售后服务点（经营场所）得</w:t>
            </w:r>
            <w:r>
              <w:rPr>
                <w:rFonts w:hint="eastAsia" w:ascii="微软雅黑" w:hAnsi="微软雅黑" w:eastAsia="微软雅黑" w:cs="微软雅黑"/>
                <w:color w:val="auto"/>
                <w:sz w:val="22"/>
                <w:szCs w:val="22"/>
                <w:highlight w:val="none"/>
                <w:lang w:val="en-US" w:eastAsia="zh-CN"/>
              </w:rPr>
              <w:t>0-4</w:t>
            </w:r>
            <w:r>
              <w:rPr>
                <w:rFonts w:hint="eastAsia" w:ascii="微软雅黑" w:hAnsi="微软雅黑" w:eastAsia="微软雅黑" w:cs="微软雅黑"/>
                <w:color w:val="auto"/>
                <w:sz w:val="22"/>
                <w:szCs w:val="22"/>
                <w:highlight w:val="none"/>
              </w:rPr>
              <w:t>分</w:t>
            </w:r>
            <w:r>
              <w:rPr>
                <w:rFonts w:hint="eastAsia" w:ascii="微软雅黑" w:hAnsi="微软雅黑" w:eastAsia="微软雅黑" w:cs="微软雅黑"/>
                <w:color w:val="auto"/>
                <w:sz w:val="22"/>
                <w:szCs w:val="22"/>
                <w:highlight w:val="none"/>
                <w:lang w:eastAsia="zh-CN"/>
              </w:rPr>
              <w:t>，</w:t>
            </w:r>
            <w:r>
              <w:rPr>
                <w:rFonts w:hint="eastAsia" w:ascii="微软雅黑" w:hAnsi="微软雅黑" w:eastAsia="微软雅黑" w:cs="微软雅黑"/>
                <w:color w:val="auto"/>
                <w:sz w:val="22"/>
                <w:szCs w:val="22"/>
                <w:highlight w:val="none"/>
              </w:rPr>
              <w:t>提供证明材料</w:t>
            </w:r>
            <w:r>
              <w:rPr>
                <w:rFonts w:hint="eastAsia" w:ascii="微软雅黑" w:hAnsi="微软雅黑" w:eastAsia="微软雅黑" w:cs="微软雅黑"/>
                <w:color w:val="auto"/>
                <w:sz w:val="22"/>
                <w:szCs w:val="22"/>
                <w:highlight w:val="none"/>
                <w:lang w:eastAsia="zh-CN"/>
              </w:rPr>
              <w:t>，</w:t>
            </w:r>
            <w:r>
              <w:rPr>
                <w:rFonts w:hint="eastAsia" w:ascii="微软雅黑" w:hAnsi="微软雅黑" w:eastAsia="微软雅黑" w:cs="微软雅黑"/>
                <w:color w:val="auto"/>
                <w:sz w:val="22"/>
                <w:szCs w:val="22"/>
                <w:highlight w:val="none"/>
                <w:lang w:val="en-US" w:eastAsia="zh-CN"/>
              </w:rPr>
              <w:t>未提供</w:t>
            </w:r>
            <w:r>
              <w:rPr>
                <w:rFonts w:hint="eastAsia" w:ascii="微软雅黑" w:hAnsi="微软雅黑" w:eastAsia="微软雅黑" w:cs="微软雅黑"/>
                <w:color w:val="auto"/>
                <w:sz w:val="22"/>
                <w:szCs w:val="22"/>
                <w:highlight w:val="none"/>
              </w:rPr>
              <w:t>本项不得分。（</w:t>
            </w:r>
            <w:r>
              <w:rPr>
                <w:rFonts w:hint="eastAsia" w:ascii="微软雅黑" w:hAnsi="微软雅黑" w:eastAsia="微软雅黑" w:cs="微软雅黑"/>
                <w:b/>
                <w:bCs/>
                <w:color w:val="auto"/>
                <w:sz w:val="22"/>
                <w:szCs w:val="22"/>
                <w:highlight w:val="none"/>
              </w:rPr>
              <w:t>注：提供租赁合同复印件或房屋产权复印件，须加盖公章。</w:t>
            </w:r>
            <w:r>
              <w:rPr>
                <w:rFonts w:hint="eastAsia" w:ascii="微软雅黑" w:hAnsi="微软雅黑" w:eastAsia="微软雅黑" w:cs="微软雅黑"/>
                <w:color w:val="auto"/>
                <w:sz w:val="22"/>
                <w:szCs w:val="22"/>
                <w:highlight w:val="none"/>
              </w:rPr>
              <w:t>）</w:t>
            </w:r>
          </w:p>
        </w:tc>
        <w:tc>
          <w:tcPr>
            <w:tcW w:w="1478" w:type="dxa"/>
            <w:vMerge w:val="continue"/>
            <w:vAlign w:val="center"/>
          </w:tcPr>
          <w:p>
            <w:pPr>
              <w:spacing w:line="400" w:lineRule="exact"/>
              <w:rPr>
                <w:rFonts w:ascii="微软雅黑" w:hAnsi="微软雅黑" w:eastAsia="微软雅黑" w:cs="微软雅黑"/>
                <w:color w:val="auto"/>
                <w:sz w:val="22"/>
                <w:szCs w:val="22"/>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4F526"/>
    <w:multiLevelType w:val="singleLevel"/>
    <w:tmpl w:val="C5B4F52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OGM1NGMxODc3NjFmYTcwOWZjZTM5YmE5NzM0ODcifQ=="/>
  </w:docVars>
  <w:rsids>
    <w:rsidRoot w:val="2C634EA2"/>
    <w:rsid w:val="157853B2"/>
    <w:rsid w:val="2C634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widowControl/>
      <w:spacing w:before="120"/>
      <w:ind w:firstLine="3584"/>
    </w:pPr>
  </w:style>
  <w:style w:type="paragraph" w:customStyle="1" w:styleId="5">
    <w:name w:val="图例"/>
    <w:basedOn w:val="1"/>
    <w:autoRedefine/>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2024-03-20T11:49:00Z</dcterms:created>
  <dc:creator>金点图文广告</dc:creator>
  <cp:lastModifiedBy>金点图文广告</cp:lastModifiedBy>
  <dcterms:modified xsi:type="dcterms:W3CDTF">2024-03-21T02:38:26Z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AFE20FB518654211908CF01ED4E0370B_13</vt:lpwstr>
  </property>
</Properties>
</file>