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喀什地区第二人民医院医疗废水污染源自动监控 设备维护方案</w:t>
      </w:r>
    </w:p>
    <w:p>
      <w:pPr>
        <w:ind w:firstLine="3960" w:firstLineChars="9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bidi w:val="0"/>
        <w:spacing w:line="480" w:lineRule="auto"/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一、废水污染源自动监控设备维护工作要求</w:t>
      </w:r>
    </w:p>
    <w:p>
      <w:pPr>
        <w:pStyle w:val="3"/>
        <w:bidi w:val="0"/>
        <w:spacing w:line="48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(一）每日现场维护要求</w:t>
      </w:r>
    </w:p>
    <w:p>
      <w:pPr>
        <w:bidi w:val="0"/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每天通过远程方式查看数据及仪器运行状态、数据传输系统以及视频监控系统是否正常，并判断水污染源在线监测系统运行是否正常。如发现数据有持续异常等情况，应前往站点检查。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（二）每周现场维护要求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1、每7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天对水污染源在线监测系统至少进行1次现场维护。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480" w:lineRule="auto"/>
        <w:ind w:left="18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2、检查自来水供应、泵取水情况，检查内部管路是否通畅，仪器自动清洗装置是否运行正常，检查各仪器的进样水管和排水管是否清洁，必要时进行清洗。定期对水泵和过滤网进行清洗。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480" w:lineRule="auto"/>
        <w:ind w:left="2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3、检查监测站房内电路系统、通讯系统是否正常。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480" w:lineRule="auto"/>
        <w:ind w:left="2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4、对于用电极法测量的仪器，检查电极填充液是否正常，必要时对电极探头进行清洗。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480" w:lineRule="auto"/>
        <w:ind w:left="20" w:right="87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5、检查各水污染源在线监测仪器标准溶液和试剂是否在有效使用期内，保证按相关要求定期更换标准溶液和试剂。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480" w:lineRule="auto"/>
        <w:ind w:right="87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6、检查数据采集传输仪运行情况，并检查连接处有无损坏，对数据进行抽样检查，对比水污染源在线监测仪、数据采集传输仪及监控中心平台接收到的数据是否一致。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480" w:lineRule="auto"/>
        <w:ind w:right="13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7、检查水质自动采样系统管路是否清洁，采样泵、采样桶和留样系统是否正常工作，留样保存温度是否正常。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（三）每月现场维护要求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1、每月的现场维护应包括对水污染源在线监测仪器进行一次保养，对仪器分析系统进行维护；对数据存储或控制系统工作状态进行一次检查；检查监测仪器接地情况，检查监测站房防雷措施。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2" w:line="480" w:lineRule="auto"/>
        <w:ind w:left="2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2、水污染源在线监测仪器：根据相应仪器操作维护说明，检查和保养易损耗件，必要时更换；检查及清洗取样单元、消解单元、检测单元、计量单元等。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3、水质自动采样系统：根据情况更换蠕动泵管、清洗混合采样瓶等。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4、水质自动分析仪：检查 COD、氨氮试剂余量（由运维方添加或更换）。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5、pH 水质自动分析仪：用酸液清洗一次电极，检查 pH 电极是否钝化，必要时进行校准或更换。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6、温度计：每月至少进行一次现场水温比对试验，必要时进行校准或更换。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7、超声波明渠流量计：检查流量计液位传感器高度是否发生变化，检查超声波探头与水面之间是否有干扰测量的物体，对堰体内影响流量计测定的干扰物进行清理。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8、管道电磁流量计：检查管道电磁流量计的检定证书是否在有效期内。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（四）每季度现场维护要求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1、水污染源在线监测仪器：根据相应仪器操作维护说明，检查及更换易损耗件，检查 关键零部件可靠性，如计量单元准确性、反应室密封性等，必要时进行更换。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2、对于水污染源在线监测仪器所产生的废液应以专用容器予以回收，并按照 GB 18597的有关规定，交由有危险废物处理资质的单位处理，不得随意排放或回流入污水排放口。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（五）检查维护记录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运行人员在对水污染源在线监测系统进行故障排查与检查维护时，应作好记录。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（六）其他预防性维护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1、保证监测站房的安全性，进出监测站房应进行登记，包括出入时间、人员、出入站房原因等，应设置视频监控系统。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2、保持监测站房的清洁，保持设备的清洁，保证监测站房内的温度、湿度满足仪器正常运行的需求。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3、保持各仪器管路通畅，出水正常，无漏液。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4、对电源控制器、空调、排风扇、供暖、消防设备等辅助设备要进行经常性检查。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5、其它维护按相关仪器说明书的要求进行仪器维护保养、易耗品的定期更换工作。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right="68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（七）建立现场设备维护台帐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污染源自动监控设施现场端维护台帐主要包括：水污染源自动监控设备运行维护台帐(自动监测设备运行维护日常巡检表、水污染源自动监测设备故障维修记录表、水污染源自动监测仪校准记录表、水污染源自动监测仪校验记录表、易耗品更换记录表)、污染源自动监控设施现场端维护台帐应一式两份，一份存放在自动监控站房内备查，一份存放于社会化运行单位作为管理文档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480" w:lineRule="auto"/>
        <w:ind w:left="0" w:right="0" w:firstLine="72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91B1F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B1F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二、项目运营公司人员及设备配置要求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480" w:lineRule="auto"/>
        <w:ind w:left="20" w:right="68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1、公司及人员配置要求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运营公司在当地拥有至少4人以上的的专业技术人员，具有多年的现场工作实践管理经验，能正确、熟练地掌握有关设备的原理、操作和使用，符合相应技术规范。可利用成熟的技术和经验，在各方面保证污染源在线监测系统运行的稳定性。运营公司及技术人员须持有相应机构颁发的</w:t>
      </w:r>
      <w:r>
        <w:rPr>
          <w:rFonts w:hint="eastAsia" w:ascii="仿宋" w:hAnsi="仿宋" w:eastAsia="仿宋" w:cs="仿宋"/>
          <w:b w:val="0"/>
          <w:color w:val="FF0000"/>
          <w:kern w:val="2"/>
          <w:sz w:val="32"/>
          <w:szCs w:val="32"/>
          <w:lang w:val="en-US" w:eastAsia="zh-CN" w:bidi="ar-SA"/>
        </w:rPr>
        <w:t>《生态环境保护设施运营维护企业资质证书》、《在线环境监测工程师》证书。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48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设备配置要求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480" w:lineRule="auto"/>
        <w:ind w:right="0" w:rightChars="0" w:firstLine="320" w:firstLineChars="100"/>
        <w:jc w:val="left"/>
        <w:textAlignment w:val="auto"/>
        <w:outlineLvl w:val="1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(1)备有运行所需的计量仪器仪表、必要的外围设备和相应的实验室条件。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480" w:lineRule="auto"/>
        <w:ind w:right="0" w:rightChars="0" w:firstLine="320" w:firstLineChars="100"/>
        <w:jc w:val="left"/>
        <w:textAlignment w:val="auto"/>
        <w:outlineLvl w:val="1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(2)应配置足够的专用车辆，设立维修电话，安排值班人员；具备其他备品备件和必要的维修工具。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320" w:firstLineChars="1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(3)需要配备有足够的备用仪器，当现场仪器出现故障短时无法修复时，能够及时安装备用仪器进行测量。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(4)运营商需自备运营管理平台，用于随时查看数据，以便迅速处理异常数据情况。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320" w:firstLineChars="1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320" w:firstLineChars="1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FF0000"/>
          <w:kern w:val="2"/>
          <w:sz w:val="32"/>
          <w:szCs w:val="32"/>
          <w:lang w:val="en-US" w:eastAsia="zh-CN" w:bidi="ar-SA"/>
        </w:rPr>
        <w:t>备注：该项目包括喀什地区第二人民医院健康路中心院区、建设路院区污水在线监测设备运维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 w:bidi="ar-SA"/>
        </w:rPr>
        <w:t>管理、质量控制、应急响应、报告编制、提供仪器试剂、在线数据上传流量费用等服务。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spacing w:line="480" w:lineRule="auto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4"/>
      <w:rPr>
        <w:rFonts w:ascii="Times New Roman" w:hAnsi="Times New Roman" w:eastAsia="Times New Roman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34D"/>
    <w:multiLevelType w:val="singleLevel"/>
    <w:tmpl w:val="2C8243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1016"/>
    <w:rsid w:val="2C23576A"/>
    <w:rsid w:val="7A8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2024-02-02T10:30:00Z</dcterms:created>
  <dc:creator>Administrator</dc:creator>
  <cp:lastModifiedBy>Administrator</cp:lastModifiedBy>
  <dcterms:modified xsi:type="dcterms:W3CDTF">2024-02-04T04:44:53Z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