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99" w:line="285" w:lineRule="auto"/>
        <w:ind w:left="2673" w:leftChars="160" w:right="315" w:hanging="2337" w:hangingChars="746"/>
        <w:outlineLvl w:val="0"/>
        <w:rPr>
          <w:rFonts w:hint="eastAsia"/>
          <w:b/>
          <w:bCs/>
          <w:spacing w:val="-4"/>
          <w:sz w:val="32"/>
          <w:szCs w:val="32"/>
          <w:lang w:eastAsia="zh-CN"/>
        </w:rPr>
      </w:pPr>
      <w:r>
        <w:rPr>
          <w:b/>
          <w:bCs/>
          <w:spacing w:val="-4"/>
          <w:sz w:val="32"/>
          <w:szCs w:val="32"/>
        </w:rPr>
        <w:t>麦盖提县</w:t>
      </w:r>
      <w:r>
        <w:rPr>
          <w:rFonts w:hint="eastAsia"/>
          <w:b/>
          <w:bCs/>
          <w:spacing w:val="-4"/>
          <w:sz w:val="32"/>
          <w:szCs w:val="32"/>
          <w:lang w:eastAsia="zh-CN"/>
        </w:rPr>
        <w:t>妇幼保健院</w:t>
      </w:r>
      <w:bookmarkStart w:id="0" w:name="_GoBack"/>
      <w:bookmarkEnd w:id="0"/>
      <w:r>
        <w:rPr>
          <w:rFonts w:hint="eastAsia"/>
          <w:b/>
          <w:bCs/>
          <w:spacing w:val="-4"/>
          <w:sz w:val="32"/>
          <w:szCs w:val="32"/>
          <w:lang w:eastAsia="zh-CN"/>
        </w:rPr>
        <w:t>院国家传染病智能监测预警前置软件服务器软硬件技术参数</w:t>
      </w:r>
    </w:p>
    <w:p>
      <w:pPr>
        <w:pStyle w:val="2"/>
        <w:spacing w:before="199" w:line="285" w:lineRule="auto"/>
        <w:ind w:left="2673" w:leftChars="160" w:right="315" w:hanging="2337" w:hangingChars="746"/>
        <w:outlineLvl w:val="0"/>
        <w:rPr>
          <w:rFonts w:hint="eastAsia"/>
          <w:b/>
          <w:bCs/>
          <w:spacing w:val="-4"/>
          <w:sz w:val="32"/>
          <w:szCs w:val="32"/>
          <w:lang w:eastAsia="zh-CN"/>
        </w:rPr>
      </w:pPr>
      <w:r>
        <w:rPr>
          <w:rFonts w:hint="eastAsia"/>
          <w:b/>
          <w:bCs/>
          <w:spacing w:val="-4"/>
          <w:sz w:val="32"/>
          <w:szCs w:val="32"/>
          <w:lang w:eastAsia="zh-CN"/>
        </w:rPr>
        <w:t>一、接口服务</w:t>
      </w:r>
    </w:p>
    <w:p>
      <w:pPr>
        <w:pStyle w:val="2"/>
        <w:spacing w:before="250" w:line="392" w:lineRule="auto"/>
        <w:ind w:left="3" w:right="42" w:firstLine="540" w:firstLineChars="200"/>
        <w:jc w:val="both"/>
      </w:pPr>
      <w:r>
        <w:rPr>
          <w:rFonts w:hint="eastAsia"/>
          <w:spacing w:val="-5"/>
          <w:lang w:eastAsia="zh-CN"/>
        </w:rPr>
        <w:t>投标产品</w:t>
      </w:r>
      <w:r>
        <w:rPr>
          <w:spacing w:val="-5"/>
        </w:rPr>
        <w:t>与院内现有系统对接</w:t>
      </w:r>
      <w:r>
        <w:rPr>
          <w:rFonts w:hint="eastAsia"/>
          <w:spacing w:val="-5"/>
          <w:lang w:eastAsia="zh-CN"/>
        </w:rPr>
        <w:t>，中标单位</w:t>
      </w:r>
      <w:r>
        <w:rPr>
          <w:spacing w:val="-5"/>
        </w:rPr>
        <w:t>与本院现有</w:t>
      </w:r>
      <w:r>
        <w:rPr>
          <w:spacing w:val="7"/>
        </w:rPr>
        <w:t xml:space="preserve"> </w:t>
      </w:r>
      <w:r>
        <w:rPr>
          <w:rFonts w:hint="eastAsia"/>
          <w:spacing w:val="7"/>
          <w:lang w:val="en-US" w:eastAsia="zh-CN"/>
        </w:rPr>
        <w:t>H</w:t>
      </w:r>
      <w:r>
        <w:rPr>
          <w:rFonts w:ascii="宋体" w:hAnsi="宋体" w:eastAsia="宋体" w:cs="宋体"/>
        </w:rPr>
        <w:t>IS</w:t>
      </w:r>
      <w:r>
        <w:rPr>
          <w:spacing w:val="1"/>
        </w:rPr>
        <w:t>厂商确定技术路径，根据确定的技术路径做对应</w:t>
      </w:r>
      <w:r>
        <w:t xml:space="preserve">系统改造，完成 </w:t>
      </w:r>
      <w:r>
        <w:rPr>
          <w:rFonts w:ascii="Times New Roman" w:hAnsi="Times New Roman" w:eastAsia="Times New Roman" w:cs="Times New Roman"/>
          <w:spacing w:val="-2"/>
        </w:rPr>
        <w:t>FBD</w:t>
      </w:r>
      <w:r>
        <w:rPr>
          <w:spacing w:val="-2"/>
        </w:rPr>
        <w:t>表单与医院</w:t>
      </w:r>
      <w:r>
        <w:rPr>
          <w:rFonts w:ascii="Times New Roman" w:hAnsi="Times New Roman" w:eastAsia="Times New Roman" w:cs="Times New Roman"/>
          <w:spacing w:val="-2"/>
        </w:rPr>
        <w:t xml:space="preserve">HIS </w:t>
      </w:r>
      <w:r>
        <w:rPr>
          <w:spacing w:val="-2"/>
        </w:rPr>
        <w:t>系统</w:t>
      </w:r>
      <w:r>
        <w:rPr>
          <w:rFonts w:hint="eastAsia"/>
          <w:spacing w:val="-2"/>
          <w:lang w:eastAsia="zh-CN"/>
        </w:rPr>
        <w:t>完成对接</w:t>
      </w:r>
      <w:r>
        <w:rPr>
          <w:spacing w:val="-2"/>
        </w:rPr>
        <w:t>，</w:t>
      </w:r>
      <w:r>
        <w:rPr>
          <w:rFonts w:hint="eastAsia"/>
          <w:spacing w:val="-2"/>
          <w:lang w:eastAsia="zh-CN"/>
        </w:rPr>
        <w:t>并对</w:t>
      </w:r>
      <w:r>
        <w:rPr>
          <w:rFonts w:hint="eastAsia"/>
          <w:spacing w:val="-2"/>
        </w:rPr>
        <w:t>国家传染病智能监测预警前置软件与院内信息系统数据智能交互接口开发及维护工作</w:t>
      </w:r>
      <w:r>
        <w:rPr>
          <w:rFonts w:hint="eastAsia"/>
          <w:spacing w:val="-2"/>
          <w:lang w:eastAsia="zh-CN"/>
        </w:rPr>
        <w:t>。</w:t>
      </w:r>
    </w:p>
    <w:p>
      <w:pPr>
        <w:pStyle w:val="2"/>
        <w:spacing w:before="46" w:line="221" w:lineRule="auto"/>
        <w:ind w:left="3"/>
        <w:rPr>
          <w:b/>
          <w:bCs/>
        </w:rPr>
      </w:pPr>
      <w:r>
        <w:rPr>
          <w:b/>
          <w:bCs/>
          <w:spacing w:val="5"/>
        </w:rPr>
        <w:t>二、</w:t>
      </w:r>
      <w:r>
        <w:rPr>
          <w:rFonts w:hint="eastAsia"/>
          <w:b/>
          <w:bCs/>
          <w:spacing w:val="-4"/>
          <w:sz w:val="32"/>
          <w:szCs w:val="32"/>
          <w:lang w:eastAsia="zh-CN"/>
        </w:rPr>
        <w:t>国家传染病智能监测预警前置软件服务器软硬件</w:t>
      </w:r>
      <w:r>
        <w:rPr>
          <w:b/>
          <w:bCs/>
          <w:spacing w:val="5"/>
        </w:rPr>
        <w:t>一套</w:t>
      </w:r>
    </w:p>
    <w:p>
      <w:pPr>
        <w:pStyle w:val="2"/>
        <w:spacing w:before="267" w:line="312" w:lineRule="auto"/>
        <w:ind w:left="3" w:right="82"/>
      </w:pPr>
      <w:r>
        <w:rPr>
          <w:rFonts w:ascii="Times New Roman" w:hAnsi="Times New Roman" w:eastAsia="Times New Roman" w:cs="Times New Roman"/>
        </w:rPr>
        <w:t>1</w:t>
      </w:r>
      <w:r>
        <w:rPr>
          <w:rFonts w:ascii="宋体" w:hAnsi="宋体" w:eastAsia="宋体" w:cs="宋体"/>
        </w:rPr>
        <w:t>、</w:t>
      </w:r>
      <w:r>
        <w:t>机架式服务器，2</w:t>
      </w:r>
      <w:r>
        <w:rPr>
          <w:rFonts w:ascii="Times New Roman" w:hAnsi="Times New Roman" w:eastAsia="Times New Roman" w:cs="Times New Roman"/>
        </w:rPr>
        <w:t>U</w:t>
      </w:r>
      <w:r>
        <w:t>高度，配置安装导轨和安全面板，支持</w:t>
      </w:r>
      <w:r>
        <w:rPr>
          <w:rFonts w:ascii="Times New Roman" w:hAnsi="Times New Roman" w:eastAsia="Times New Roman" w:cs="Times New Roman"/>
        </w:rPr>
        <w:t>X86</w:t>
      </w:r>
      <w:r>
        <w:t>架</w:t>
      </w:r>
      <w:r>
        <w:rPr>
          <w:spacing w:val="5"/>
        </w:rPr>
        <w:t xml:space="preserve"> </w:t>
      </w:r>
      <w:r>
        <w:rPr>
          <w:spacing w:val="7"/>
        </w:rPr>
        <w:t>构，支持双系统；</w:t>
      </w:r>
    </w:p>
    <w:p>
      <w:pPr>
        <w:pStyle w:val="2"/>
        <w:spacing w:before="270" w:line="278" w:lineRule="auto"/>
        <w:ind w:left="3" w:right="46"/>
        <w:rPr>
          <w:rFonts w:ascii="Times New Roman" w:hAnsi="Times New Roman" w:eastAsia="Times New Roman" w:cs="Times New Roman"/>
          <w:sz w:val="32"/>
          <w:szCs w:val="32"/>
        </w:rPr>
      </w:pPr>
      <w:r>
        <w:rPr>
          <w:rFonts w:ascii="宋体" w:hAnsi="宋体" w:eastAsia="宋体" w:cs="宋体"/>
          <w:spacing w:val="11"/>
        </w:rPr>
        <w:t xml:space="preserve">2、 </w:t>
      </w:r>
      <w:r>
        <w:rPr>
          <w:spacing w:val="11"/>
        </w:rPr>
        <w:t>配置海光5380处理器≥2颗，主频≥2.5</w:t>
      </w:r>
      <w:r>
        <w:rPr>
          <w:rFonts w:ascii="宋体" w:hAnsi="宋体" w:eastAsia="宋体" w:cs="宋体"/>
        </w:rPr>
        <w:t>GHz</w:t>
      </w:r>
      <w:r>
        <w:rPr>
          <w:rFonts w:ascii="宋体" w:hAnsi="宋体" w:eastAsia="宋体" w:cs="宋体"/>
          <w:spacing w:val="11"/>
        </w:rPr>
        <w:t>,</w:t>
      </w:r>
      <w:r>
        <w:rPr>
          <w:spacing w:val="11"/>
        </w:rPr>
        <w:t>单 颗</w:t>
      </w:r>
      <w:r>
        <w:rPr>
          <w:rFonts w:ascii="宋体" w:hAnsi="宋体" w:eastAsia="宋体" w:cs="宋体"/>
        </w:rPr>
        <w:t>CPU</w:t>
      </w:r>
      <w:r>
        <w:rPr>
          <w:rFonts w:ascii="宋体" w:hAnsi="宋体" w:eastAsia="宋体" w:cs="宋体"/>
          <w:spacing w:val="-35"/>
        </w:rPr>
        <w:t xml:space="preserve"> </w:t>
      </w:r>
      <w:r>
        <w:rPr>
          <w:spacing w:val="11"/>
        </w:rPr>
        <w:t>物理核</w:t>
      </w:r>
      <w:r>
        <w:t xml:space="preserve"> </w:t>
      </w:r>
      <w:r>
        <w:rPr>
          <w:spacing w:val="-36"/>
          <w:sz w:val="32"/>
          <w:szCs w:val="32"/>
        </w:rPr>
        <w:t>数≥16核，缓存≥32</w:t>
      </w:r>
      <w:r>
        <w:rPr>
          <w:rFonts w:ascii="Times New Roman" w:hAnsi="Times New Roman" w:eastAsia="Times New Roman" w:cs="Times New Roman"/>
          <w:spacing w:val="-36"/>
          <w:sz w:val="32"/>
          <w:szCs w:val="32"/>
        </w:rPr>
        <w:t>MB;</w:t>
      </w:r>
    </w:p>
    <w:p>
      <w:pPr>
        <w:pStyle w:val="2"/>
        <w:spacing w:before="276" w:line="219" w:lineRule="auto"/>
        <w:ind w:left="3"/>
      </w:pPr>
      <w:r>
        <w:rPr>
          <w:rFonts w:ascii="Times New Roman" w:hAnsi="Times New Roman" w:eastAsia="Times New Roman" w:cs="Times New Roman"/>
          <w:spacing w:val="5"/>
        </w:rPr>
        <w:t>3</w:t>
      </w:r>
      <w:r>
        <w:rPr>
          <w:rFonts w:ascii="Times New Roman" w:hAnsi="Times New Roman" w:eastAsia="Times New Roman" w:cs="Times New Roman"/>
          <w:spacing w:val="-27"/>
        </w:rPr>
        <w:t xml:space="preserve"> </w:t>
      </w:r>
      <w:r>
        <w:rPr>
          <w:rFonts w:ascii="宋体" w:hAnsi="宋体" w:eastAsia="宋体" w:cs="宋体"/>
          <w:spacing w:val="5"/>
        </w:rPr>
        <w:t>、</w:t>
      </w:r>
      <w:r>
        <w:rPr>
          <w:spacing w:val="5"/>
        </w:rPr>
        <w:t>配置32</w:t>
      </w:r>
      <w:r>
        <w:rPr>
          <w:rFonts w:ascii="Times New Roman" w:hAnsi="Times New Roman" w:eastAsia="Times New Roman" w:cs="Times New Roman"/>
        </w:rPr>
        <w:t>GB</w:t>
      </w:r>
      <w:r>
        <w:rPr>
          <w:rFonts w:ascii="Times New Roman" w:hAnsi="Times New Roman" w:eastAsia="Times New Roman" w:cs="Times New Roman"/>
          <w:spacing w:val="5"/>
        </w:rPr>
        <w:t xml:space="preserve"> 2</w:t>
      </w:r>
      <w:r>
        <w:rPr>
          <w:rFonts w:ascii="Times New Roman" w:hAnsi="Times New Roman" w:eastAsia="Times New Roman" w:cs="Times New Roman"/>
        </w:rPr>
        <w:t>Rx</w:t>
      </w:r>
      <w:r>
        <w:rPr>
          <w:rFonts w:ascii="Times New Roman" w:hAnsi="Times New Roman" w:eastAsia="Times New Roman" w:cs="Times New Roman"/>
          <w:spacing w:val="5"/>
        </w:rPr>
        <w:t xml:space="preserve">4 </w:t>
      </w:r>
      <w:r>
        <w:rPr>
          <w:rFonts w:ascii="Times New Roman" w:hAnsi="Times New Roman" w:eastAsia="Times New Roman" w:cs="Times New Roman"/>
        </w:rPr>
        <w:t>DDR</w:t>
      </w:r>
      <w:r>
        <w:rPr>
          <w:rFonts w:ascii="Times New Roman" w:hAnsi="Times New Roman" w:eastAsia="Times New Roman" w:cs="Times New Roman"/>
          <w:spacing w:val="5"/>
        </w:rPr>
        <w:t>4-3200</w:t>
      </w:r>
      <w:r>
        <w:rPr>
          <w:spacing w:val="5"/>
        </w:rPr>
        <w:t>内存≥4根，配置内存槽位≥32个；</w:t>
      </w:r>
    </w:p>
    <w:p>
      <w:pPr>
        <w:pStyle w:val="2"/>
        <w:spacing w:before="272" w:line="222" w:lineRule="auto"/>
        <w:ind w:left="3"/>
      </w:pPr>
      <w:r>
        <w:rPr>
          <w:rFonts w:ascii="Times New Roman" w:hAnsi="Times New Roman" w:eastAsia="Times New Roman" w:cs="Times New Roman"/>
          <w:spacing w:val="7"/>
        </w:rPr>
        <w:t>4</w:t>
      </w:r>
      <w:r>
        <w:rPr>
          <w:rFonts w:ascii="宋体" w:hAnsi="宋体" w:eastAsia="宋体" w:cs="宋体"/>
          <w:spacing w:val="7"/>
        </w:rPr>
        <w:t>、</w:t>
      </w:r>
      <w:r>
        <w:rPr>
          <w:spacing w:val="7"/>
        </w:rPr>
        <w:t>支持3.5寸硬盘，配置960</w:t>
      </w:r>
      <w:r>
        <w:rPr>
          <w:rFonts w:ascii="Times New Roman" w:hAnsi="Times New Roman" w:eastAsia="Times New Roman" w:cs="Times New Roman"/>
        </w:rPr>
        <w:t>GB</w:t>
      </w:r>
      <w:r>
        <w:rPr>
          <w:rFonts w:ascii="Times New Roman" w:hAnsi="Times New Roman" w:eastAsia="Times New Roman" w:cs="Times New Roman"/>
          <w:spacing w:val="33"/>
        </w:rPr>
        <w:t xml:space="preserve"> </w:t>
      </w:r>
      <w:r>
        <w:rPr>
          <w:rFonts w:ascii="Times New Roman" w:hAnsi="Times New Roman" w:eastAsia="Times New Roman" w:cs="Times New Roman"/>
          <w:spacing w:val="7"/>
        </w:rPr>
        <w:t>6</w:t>
      </w:r>
      <w:r>
        <w:rPr>
          <w:rFonts w:ascii="Times New Roman" w:hAnsi="Times New Roman" w:eastAsia="Times New Roman" w:cs="Times New Roman"/>
        </w:rPr>
        <w:t>G</w:t>
      </w:r>
      <w:r>
        <w:rPr>
          <w:rFonts w:ascii="Times New Roman" w:hAnsi="Times New Roman" w:eastAsia="Times New Roman" w:cs="Times New Roman"/>
          <w:spacing w:val="39"/>
        </w:rPr>
        <w:t xml:space="preserve"> </w:t>
      </w:r>
      <w:r>
        <w:rPr>
          <w:rFonts w:ascii="Times New Roman" w:hAnsi="Times New Roman" w:eastAsia="Times New Roman" w:cs="Times New Roman"/>
        </w:rPr>
        <w:t>SSD</w:t>
      </w:r>
      <w:r>
        <w:rPr>
          <w:rFonts w:ascii="Times New Roman" w:hAnsi="Times New Roman" w:eastAsia="Times New Roman" w:cs="Times New Roman"/>
          <w:spacing w:val="33"/>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6"/>
        </w:rPr>
        <w:t>5</w:t>
      </w:r>
      <w:r>
        <w:rPr>
          <w:spacing w:val="6"/>
        </w:rPr>
        <w:t>寸热插拔硬盘≥2块；</w:t>
      </w:r>
    </w:p>
    <w:p>
      <w:pPr>
        <w:pStyle w:val="2"/>
        <w:spacing w:before="273" w:line="222" w:lineRule="auto"/>
        <w:ind w:left="3"/>
      </w:pPr>
      <w:r>
        <w:rPr>
          <w:rFonts w:ascii="Times New Roman" w:hAnsi="Times New Roman" w:eastAsia="Times New Roman" w:cs="Times New Roman"/>
          <w:spacing w:val="14"/>
        </w:rPr>
        <w:t>5</w:t>
      </w:r>
      <w:r>
        <w:rPr>
          <w:rFonts w:ascii="宋体" w:hAnsi="宋体" w:eastAsia="宋体" w:cs="宋体"/>
          <w:spacing w:val="14"/>
        </w:rPr>
        <w:t>、</w:t>
      </w:r>
      <w:r>
        <w:rPr>
          <w:spacing w:val="14"/>
        </w:rPr>
        <w:t>配置12</w:t>
      </w:r>
      <w:r>
        <w:rPr>
          <w:rFonts w:ascii="Times New Roman" w:hAnsi="Times New Roman" w:eastAsia="Times New Roman" w:cs="Times New Roman"/>
        </w:rPr>
        <w:t>Gb</w:t>
      </w:r>
      <w:r>
        <w:rPr>
          <w:rFonts w:ascii="Times New Roman" w:hAnsi="Times New Roman" w:eastAsia="Times New Roman" w:cs="Times New Roman"/>
          <w:spacing w:val="75"/>
        </w:rPr>
        <w:t xml:space="preserve"> </w:t>
      </w:r>
      <w:r>
        <w:rPr>
          <w:rFonts w:ascii="Times New Roman" w:hAnsi="Times New Roman" w:eastAsia="Times New Roman" w:cs="Times New Roman"/>
          <w:spacing w:val="14"/>
        </w:rPr>
        <w:t>2</w:t>
      </w:r>
      <w:r>
        <w:rPr>
          <w:spacing w:val="14"/>
        </w:rPr>
        <w:t>端口</w:t>
      </w:r>
      <w:r>
        <w:rPr>
          <w:rFonts w:ascii="Times New Roman" w:hAnsi="Times New Roman" w:eastAsia="Times New Roman" w:cs="Times New Roman"/>
        </w:rPr>
        <w:t>SASHBA</w:t>
      </w:r>
      <w:r>
        <w:rPr>
          <w:spacing w:val="14"/>
        </w:rPr>
        <w:t>卡≥1块，支持8个</w:t>
      </w:r>
      <w:r>
        <w:rPr>
          <w:rFonts w:ascii="Times New Roman" w:hAnsi="Times New Roman" w:eastAsia="Times New Roman" w:cs="Times New Roman"/>
        </w:rPr>
        <w:t>SAS</w:t>
      </w:r>
      <w:r>
        <w:rPr>
          <w:spacing w:val="14"/>
        </w:rPr>
        <w:t>口；</w:t>
      </w:r>
    </w:p>
    <w:p>
      <w:pPr>
        <w:pStyle w:val="2"/>
        <w:spacing w:before="253" w:line="309" w:lineRule="auto"/>
        <w:ind w:left="3" w:right="39"/>
      </w:pPr>
      <w:r>
        <w:rPr>
          <w:rFonts w:ascii="宋体" w:hAnsi="宋体" w:eastAsia="宋体" w:cs="宋体"/>
          <w:spacing w:val="7"/>
        </w:rPr>
        <w:t>6、</w:t>
      </w:r>
      <w:r>
        <w:rPr>
          <w:spacing w:val="7"/>
        </w:rPr>
        <w:t>配置千兆电口≥4个，配置万兆光口≥4个，配置800</w:t>
      </w:r>
      <w:r>
        <w:rPr>
          <w:rFonts w:ascii="宋体" w:hAnsi="宋体" w:eastAsia="宋体" w:cs="宋体"/>
          <w:spacing w:val="7"/>
        </w:rPr>
        <w:t>w</w:t>
      </w:r>
      <w:r>
        <w:rPr>
          <w:rFonts w:ascii="宋体" w:hAnsi="宋体" w:eastAsia="宋体" w:cs="宋体"/>
          <w:spacing w:val="-51"/>
        </w:rPr>
        <w:t xml:space="preserve"> </w:t>
      </w:r>
      <w:r>
        <w:rPr>
          <w:spacing w:val="7"/>
        </w:rPr>
        <w:t>热插拔交</w:t>
      </w:r>
      <w:r>
        <w:t xml:space="preserve"> </w:t>
      </w:r>
      <w:r>
        <w:rPr>
          <w:spacing w:val="3"/>
        </w:rPr>
        <w:t>流电源≥2块，配置热插拔风扇模块≥6块；</w:t>
      </w:r>
    </w:p>
    <w:p>
      <w:pPr>
        <w:pStyle w:val="2"/>
        <w:spacing w:before="263" w:line="222" w:lineRule="auto"/>
        <w:ind w:left="3"/>
      </w:pPr>
      <w:r>
        <w:rPr>
          <w:rFonts w:ascii="Times New Roman" w:hAnsi="Times New Roman" w:eastAsia="Times New Roman" w:cs="Times New Roman"/>
          <w:spacing w:val="7"/>
        </w:rPr>
        <w:t>7</w:t>
      </w:r>
      <w:r>
        <w:rPr>
          <w:rFonts w:ascii="宋体" w:hAnsi="宋体" w:eastAsia="宋体" w:cs="宋体"/>
          <w:spacing w:val="7"/>
        </w:rPr>
        <w:t>、</w:t>
      </w:r>
      <w:r>
        <w:rPr>
          <w:spacing w:val="7"/>
        </w:rPr>
        <w:t>配置</w:t>
      </w:r>
      <w:r>
        <w:rPr>
          <w:rFonts w:ascii="Times New Roman" w:hAnsi="Times New Roman" w:eastAsia="Times New Roman" w:cs="Times New Roman"/>
        </w:rPr>
        <w:t>USB</w:t>
      </w:r>
      <w:r>
        <w:rPr>
          <w:rFonts w:ascii="Times New Roman" w:hAnsi="Times New Roman" w:eastAsia="Times New Roman" w:cs="Times New Roman"/>
          <w:spacing w:val="7"/>
        </w:rPr>
        <w:t xml:space="preserve">  3.0</w:t>
      </w:r>
      <w:r>
        <w:rPr>
          <w:rFonts w:ascii="Times New Roman" w:hAnsi="Times New Roman" w:eastAsia="Times New Roman" w:cs="Times New Roman"/>
          <w:spacing w:val="33"/>
          <w:w w:val="101"/>
        </w:rPr>
        <w:t xml:space="preserve"> </w:t>
      </w:r>
      <w:r>
        <w:rPr>
          <w:spacing w:val="7"/>
        </w:rPr>
        <w:t>接口≥5个，配置</w:t>
      </w:r>
      <w:r>
        <w:rPr>
          <w:rFonts w:ascii="Times New Roman" w:hAnsi="Times New Roman" w:eastAsia="Times New Roman" w:cs="Times New Roman"/>
        </w:rPr>
        <w:t>USB</w:t>
      </w:r>
      <w:r>
        <w:rPr>
          <w:rFonts w:ascii="Times New Roman" w:hAnsi="Times New Roman" w:eastAsia="Times New Roman" w:cs="Times New Roman"/>
          <w:spacing w:val="7"/>
        </w:rPr>
        <w:t xml:space="preserve">  2.0</w:t>
      </w:r>
      <w:r>
        <w:rPr>
          <w:spacing w:val="7"/>
        </w:rPr>
        <w:t>接口≥1个；</w:t>
      </w:r>
    </w:p>
    <w:p>
      <w:pPr>
        <w:pStyle w:val="2"/>
        <w:spacing w:before="269" w:line="219" w:lineRule="auto"/>
        <w:ind w:left="3"/>
      </w:pPr>
      <w:r>
        <w:rPr>
          <w:rFonts w:ascii="宋体" w:hAnsi="宋体" w:eastAsia="宋体" w:cs="宋体"/>
          <w:spacing w:val="-3"/>
        </w:rPr>
        <w:t>8、</w:t>
      </w:r>
      <w:r>
        <w:rPr>
          <w:spacing w:val="-3"/>
        </w:rPr>
        <w:t>支持硬件加密，支持加密虚拟机和内存，支持国密算法；</w:t>
      </w:r>
    </w:p>
    <w:p>
      <w:pPr>
        <w:spacing w:line="219" w:lineRule="auto"/>
        <w:sectPr>
          <w:pgSz w:w="11910" w:h="16840"/>
          <w:pgMar w:top="1431" w:right="1786" w:bottom="0" w:left="1786" w:header="0" w:footer="0" w:gutter="0"/>
          <w:cols w:space="720" w:num="1"/>
        </w:sectPr>
      </w:pPr>
    </w:p>
    <w:p>
      <w:pPr>
        <w:pStyle w:val="2"/>
        <w:spacing w:before="234" w:line="219" w:lineRule="auto"/>
        <w:ind w:left="13"/>
        <w:rPr>
          <w:sz w:val="29"/>
          <w:szCs w:val="29"/>
        </w:rPr>
      </w:pPr>
      <w:r>
        <w:rPr>
          <w:rFonts w:ascii="宋体" w:hAnsi="宋体" w:eastAsia="宋体" w:cs="宋体"/>
          <w:spacing w:val="-13"/>
          <w:sz w:val="29"/>
          <w:szCs w:val="29"/>
        </w:rPr>
        <w:t>9、</w:t>
      </w:r>
      <w:r>
        <w:rPr>
          <w:spacing w:val="-13"/>
          <w:sz w:val="29"/>
          <w:szCs w:val="29"/>
        </w:rPr>
        <w:t>配置机箱入侵侦测，在外部打开机箱时提供报警功能；</w:t>
      </w:r>
    </w:p>
    <w:p>
      <w:pPr>
        <w:pStyle w:val="2"/>
        <w:spacing w:before="257" w:line="303" w:lineRule="auto"/>
        <w:ind w:left="13" w:right="56"/>
        <w:rPr>
          <w:sz w:val="29"/>
          <w:szCs w:val="29"/>
        </w:rPr>
      </w:pPr>
      <w:r>
        <w:rPr>
          <w:rFonts w:ascii="Times New Roman" w:hAnsi="Times New Roman" w:eastAsia="Times New Roman" w:cs="Times New Roman"/>
          <w:spacing w:val="-18"/>
          <w:sz w:val="29"/>
          <w:szCs w:val="29"/>
        </w:rPr>
        <w:t>10</w:t>
      </w:r>
      <w:r>
        <w:rPr>
          <w:rFonts w:ascii="宋体" w:hAnsi="宋体" w:eastAsia="宋体" w:cs="宋体"/>
          <w:spacing w:val="-18"/>
          <w:sz w:val="29"/>
          <w:szCs w:val="29"/>
        </w:rPr>
        <w:t>、</w:t>
      </w:r>
      <w:r>
        <w:rPr>
          <w:spacing w:val="-18"/>
          <w:sz w:val="29"/>
          <w:szCs w:val="29"/>
        </w:rPr>
        <w:t>支持带外升级</w:t>
      </w:r>
      <w:r>
        <w:rPr>
          <w:rFonts w:ascii="Times New Roman" w:hAnsi="Times New Roman" w:eastAsia="Times New Roman" w:cs="Times New Roman"/>
          <w:spacing w:val="-18"/>
          <w:sz w:val="29"/>
          <w:szCs w:val="29"/>
        </w:rPr>
        <w:t>BIOS</w:t>
      </w:r>
      <w:r>
        <w:rPr>
          <w:rFonts w:ascii="宋体" w:hAnsi="宋体" w:eastAsia="宋体" w:cs="宋体"/>
          <w:spacing w:val="-18"/>
          <w:sz w:val="29"/>
          <w:szCs w:val="29"/>
        </w:rPr>
        <w:t>、</w:t>
      </w:r>
      <w:r>
        <w:rPr>
          <w:rFonts w:ascii="Times New Roman" w:hAnsi="Times New Roman" w:eastAsia="Times New Roman" w:cs="Times New Roman"/>
          <w:spacing w:val="-18"/>
          <w:sz w:val="29"/>
          <w:szCs w:val="29"/>
        </w:rPr>
        <w:t>BMC</w:t>
      </w:r>
      <w:r>
        <w:rPr>
          <w:spacing w:val="-18"/>
          <w:sz w:val="29"/>
          <w:szCs w:val="29"/>
        </w:rPr>
        <w:t>版本，</w:t>
      </w:r>
      <w:r>
        <w:rPr>
          <w:spacing w:val="-19"/>
          <w:sz w:val="29"/>
          <w:szCs w:val="29"/>
        </w:rPr>
        <w:t>可通过</w:t>
      </w:r>
      <w:r>
        <w:rPr>
          <w:rFonts w:ascii="Times New Roman" w:hAnsi="Times New Roman" w:eastAsia="Times New Roman" w:cs="Times New Roman"/>
          <w:spacing w:val="-19"/>
          <w:sz w:val="29"/>
          <w:szCs w:val="29"/>
        </w:rPr>
        <w:t>BMC</w:t>
      </w:r>
      <w:r>
        <w:rPr>
          <w:spacing w:val="-19"/>
          <w:sz w:val="29"/>
          <w:szCs w:val="29"/>
        </w:rPr>
        <w:t>界面带外一次升级多</w:t>
      </w:r>
      <w:r>
        <w:rPr>
          <w:sz w:val="29"/>
          <w:szCs w:val="29"/>
        </w:rPr>
        <w:t xml:space="preserve"> </w:t>
      </w:r>
      <w:r>
        <w:rPr>
          <w:spacing w:val="-11"/>
          <w:sz w:val="29"/>
          <w:szCs w:val="29"/>
        </w:rPr>
        <w:t>个部件的固件；提供截图证明</w:t>
      </w:r>
    </w:p>
    <w:p>
      <w:pPr>
        <w:pStyle w:val="2"/>
        <w:spacing w:before="238" w:line="306" w:lineRule="auto"/>
        <w:ind w:left="13" w:right="52"/>
        <w:rPr>
          <w:sz w:val="29"/>
          <w:szCs w:val="29"/>
        </w:rPr>
      </w:pPr>
      <w:r>
        <w:rPr>
          <w:rFonts w:ascii="Times New Roman" w:hAnsi="Times New Roman" w:eastAsia="Times New Roman" w:cs="Times New Roman"/>
          <w:spacing w:val="-7"/>
          <w:sz w:val="29"/>
          <w:szCs w:val="29"/>
        </w:rPr>
        <w:t>11</w:t>
      </w:r>
      <w:r>
        <w:rPr>
          <w:rFonts w:ascii="宋体" w:hAnsi="宋体" w:eastAsia="宋体" w:cs="宋体"/>
          <w:spacing w:val="-7"/>
          <w:sz w:val="29"/>
          <w:szCs w:val="29"/>
        </w:rPr>
        <w:t>、</w:t>
      </w:r>
      <w:r>
        <w:rPr>
          <w:spacing w:val="-7"/>
          <w:sz w:val="29"/>
          <w:szCs w:val="29"/>
        </w:rPr>
        <w:t>支持3</w:t>
      </w:r>
      <w:r>
        <w:rPr>
          <w:rFonts w:ascii="Times New Roman" w:hAnsi="Times New Roman" w:eastAsia="Times New Roman" w:cs="Times New Roman"/>
          <w:spacing w:val="-7"/>
          <w:sz w:val="29"/>
          <w:szCs w:val="29"/>
        </w:rPr>
        <w:t>D</w:t>
      </w:r>
      <w:r>
        <w:rPr>
          <w:spacing w:val="-7"/>
          <w:sz w:val="29"/>
          <w:szCs w:val="29"/>
        </w:rPr>
        <w:t>温度海洋形式展示各组件温度传感器的分布图，可让用</w:t>
      </w:r>
      <w:r>
        <w:rPr>
          <w:spacing w:val="12"/>
          <w:sz w:val="29"/>
          <w:szCs w:val="29"/>
        </w:rPr>
        <w:t xml:space="preserve"> </w:t>
      </w:r>
      <w:r>
        <w:rPr>
          <w:spacing w:val="-11"/>
          <w:sz w:val="29"/>
          <w:szCs w:val="29"/>
        </w:rPr>
        <w:t>户直观感知服务器整体温感状态；提供截图</w:t>
      </w:r>
      <w:r>
        <w:rPr>
          <w:spacing w:val="-12"/>
          <w:sz w:val="29"/>
          <w:szCs w:val="29"/>
        </w:rPr>
        <w:t>证明</w:t>
      </w:r>
    </w:p>
    <w:p>
      <w:pPr>
        <w:pStyle w:val="2"/>
        <w:spacing w:before="239" w:line="302" w:lineRule="auto"/>
        <w:ind w:left="13" w:right="82"/>
        <w:rPr>
          <w:sz w:val="29"/>
          <w:szCs w:val="29"/>
        </w:rPr>
      </w:pPr>
      <w:r>
        <w:rPr>
          <w:spacing w:val="-5"/>
          <w:sz w:val="29"/>
          <w:szCs w:val="29"/>
        </w:rPr>
        <w:t>12、要求产品制造商通过个人信息安全管理体系</w:t>
      </w:r>
      <w:r>
        <w:rPr>
          <w:spacing w:val="-43"/>
          <w:sz w:val="29"/>
          <w:szCs w:val="29"/>
        </w:rPr>
        <w:t xml:space="preserve"> </w:t>
      </w:r>
      <w:r>
        <w:rPr>
          <w:rFonts w:ascii="Times New Roman" w:hAnsi="Times New Roman" w:eastAsia="Times New Roman" w:cs="Times New Roman"/>
          <w:spacing w:val="-5"/>
          <w:sz w:val="29"/>
          <w:szCs w:val="29"/>
        </w:rPr>
        <w:t>BS</w:t>
      </w:r>
      <w:r>
        <w:rPr>
          <w:rFonts w:ascii="Times New Roman" w:hAnsi="Times New Roman" w:eastAsia="Times New Roman" w:cs="Times New Roman"/>
          <w:spacing w:val="23"/>
          <w:w w:val="101"/>
          <w:sz w:val="29"/>
          <w:szCs w:val="29"/>
        </w:rPr>
        <w:t xml:space="preserve">  </w:t>
      </w:r>
      <w:r>
        <w:rPr>
          <w:rFonts w:ascii="Times New Roman" w:hAnsi="Times New Roman" w:eastAsia="Times New Roman" w:cs="Times New Roman"/>
          <w:spacing w:val="-5"/>
          <w:sz w:val="29"/>
          <w:szCs w:val="29"/>
        </w:rPr>
        <w:t>10012:2017</w:t>
      </w:r>
      <w:r>
        <w:rPr>
          <w:spacing w:val="-5"/>
          <w:sz w:val="29"/>
          <w:szCs w:val="29"/>
        </w:rPr>
        <w:t>和</w:t>
      </w:r>
      <w:r>
        <w:rPr>
          <w:sz w:val="29"/>
          <w:szCs w:val="29"/>
        </w:rPr>
        <w:t xml:space="preserve"> </w:t>
      </w:r>
      <w:r>
        <w:rPr>
          <w:rFonts w:ascii="宋体" w:hAnsi="宋体" w:eastAsia="宋体" w:cs="宋体"/>
          <w:spacing w:val="-8"/>
          <w:sz w:val="29"/>
          <w:szCs w:val="29"/>
        </w:rPr>
        <w:t xml:space="preserve">IS022320 </w:t>
      </w:r>
      <w:r>
        <w:rPr>
          <w:spacing w:val="-8"/>
          <w:sz w:val="29"/>
          <w:szCs w:val="29"/>
        </w:rPr>
        <w:t>应急管理体系认证，提供证书复印</w:t>
      </w:r>
      <w:r>
        <w:rPr>
          <w:spacing w:val="-9"/>
          <w:sz w:val="29"/>
          <w:szCs w:val="29"/>
        </w:rPr>
        <w:t>件；</w:t>
      </w:r>
    </w:p>
    <w:p>
      <w:pPr>
        <w:pStyle w:val="2"/>
        <w:spacing w:before="271" w:line="294" w:lineRule="auto"/>
        <w:ind w:left="13" w:right="58"/>
        <w:rPr>
          <w:sz w:val="29"/>
          <w:szCs w:val="29"/>
        </w:rPr>
      </w:pPr>
      <w:r>
        <w:rPr>
          <w:rFonts w:ascii="宋体" w:hAnsi="宋体" w:eastAsia="宋体" w:cs="宋体"/>
          <w:spacing w:val="-14"/>
          <w:sz w:val="29"/>
          <w:szCs w:val="29"/>
        </w:rPr>
        <w:t>13、</w:t>
      </w:r>
      <w:r>
        <w:rPr>
          <w:spacing w:val="-14"/>
          <w:sz w:val="29"/>
          <w:szCs w:val="29"/>
        </w:rPr>
        <w:t>适配国家传染病智能监测预警前置软件，提供与国家传染病</w:t>
      </w:r>
      <w:r>
        <w:rPr>
          <w:spacing w:val="-15"/>
          <w:sz w:val="29"/>
          <w:szCs w:val="29"/>
        </w:rPr>
        <w:t>智能</w:t>
      </w:r>
      <w:r>
        <w:rPr>
          <w:sz w:val="29"/>
          <w:szCs w:val="29"/>
        </w:rPr>
        <w:t xml:space="preserve"> </w:t>
      </w:r>
      <w:r>
        <w:rPr>
          <w:spacing w:val="-16"/>
          <w:sz w:val="29"/>
          <w:szCs w:val="29"/>
        </w:rPr>
        <w:t>监测预警软件兼容性证书；</w:t>
      </w:r>
    </w:p>
    <w:p>
      <w:pPr>
        <w:pStyle w:val="2"/>
        <w:spacing w:before="254" w:line="296" w:lineRule="auto"/>
        <w:ind w:left="13" w:right="50"/>
        <w:rPr>
          <w:sz w:val="29"/>
          <w:szCs w:val="29"/>
        </w:rPr>
      </w:pPr>
      <w:r>
        <w:rPr>
          <w:rFonts w:ascii="宋体" w:hAnsi="宋体" w:eastAsia="宋体" w:cs="宋体"/>
          <w:sz w:val="29"/>
          <w:szCs w:val="29"/>
        </w:rPr>
        <w:t>14、</w:t>
      </w:r>
      <w:r>
        <w:rPr>
          <w:sz w:val="29"/>
          <w:szCs w:val="29"/>
        </w:rPr>
        <w:t>操作系统：支持欧拉、麒麟、统信等国产操作系统和</w:t>
      </w:r>
      <w:r>
        <w:rPr>
          <w:rFonts w:ascii="宋体" w:hAnsi="宋体" w:eastAsia="宋体" w:cs="宋体"/>
          <w:sz w:val="29"/>
          <w:szCs w:val="29"/>
        </w:rPr>
        <w:t>Windows</w:t>
      </w:r>
      <w:r>
        <w:rPr>
          <w:rFonts w:ascii="宋体" w:hAnsi="宋体" w:eastAsia="宋体" w:cs="宋体"/>
          <w:spacing w:val="6"/>
          <w:sz w:val="29"/>
          <w:szCs w:val="29"/>
        </w:rPr>
        <w:t xml:space="preserve"> </w:t>
      </w:r>
      <w:r>
        <w:rPr>
          <w:rFonts w:ascii="Times New Roman" w:hAnsi="Times New Roman" w:eastAsia="Times New Roman" w:cs="Times New Roman"/>
          <w:spacing w:val="-7"/>
          <w:sz w:val="29"/>
          <w:szCs w:val="29"/>
        </w:rPr>
        <w:t>Server,</w:t>
      </w:r>
      <w:r>
        <w:rPr>
          <w:rFonts w:ascii="Times New Roman" w:hAnsi="Times New Roman" w:eastAsia="Times New Roman" w:cs="Times New Roman"/>
          <w:spacing w:val="19"/>
          <w:w w:val="101"/>
          <w:sz w:val="29"/>
          <w:szCs w:val="29"/>
        </w:rPr>
        <w:t xml:space="preserve">   </w:t>
      </w:r>
      <w:r>
        <w:rPr>
          <w:spacing w:val="-7"/>
          <w:sz w:val="29"/>
          <w:szCs w:val="29"/>
        </w:rPr>
        <w:t>支持出厂预装；</w:t>
      </w:r>
    </w:p>
    <w:p>
      <w:pPr>
        <w:pStyle w:val="2"/>
        <w:spacing w:before="297" w:line="219" w:lineRule="auto"/>
        <w:ind w:left="13"/>
        <w:rPr>
          <w:sz w:val="29"/>
          <w:szCs w:val="29"/>
        </w:rPr>
      </w:pPr>
      <w:r>
        <w:rPr>
          <w:rFonts w:ascii="宋体" w:hAnsi="宋体" w:eastAsia="宋体" w:cs="宋体"/>
          <w:spacing w:val="-6"/>
          <w:sz w:val="29"/>
          <w:szCs w:val="29"/>
        </w:rPr>
        <w:t>15、</w:t>
      </w:r>
      <w:r>
        <w:rPr>
          <w:spacing w:val="-6"/>
          <w:sz w:val="29"/>
          <w:szCs w:val="29"/>
        </w:rPr>
        <w:t>数据库：支持运行</w:t>
      </w:r>
      <w:r>
        <w:rPr>
          <w:rFonts w:ascii="宋体" w:hAnsi="宋体" w:eastAsia="宋体" w:cs="宋体"/>
          <w:spacing w:val="-6"/>
          <w:sz w:val="29"/>
          <w:szCs w:val="29"/>
        </w:rPr>
        <w:t>CpenGauss</w:t>
      </w:r>
      <w:r>
        <w:rPr>
          <w:spacing w:val="-7"/>
          <w:sz w:val="29"/>
          <w:szCs w:val="29"/>
        </w:rPr>
        <w:t>或同等架构的数据库；</w:t>
      </w:r>
    </w:p>
    <w:p>
      <w:pPr>
        <w:pStyle w:val="2"/>
        <w:spacing w:before="248" w:line="297" w:lineRule="auto"/>
        <w:ind w:left="13" w:right="59"/>
        <w:rPr>
          <w:sz w:val="29"/>
          <w:szCs w:val="29"/>
        </w:rPr>
      </w:pPr>
      <w:r>
        <w:rPr>
          <w:rFonts w:ascii="宋体" w:hAnsi="宋体" w:eastAsia="宋体" w:cs="宋体"/>
          <w:spacing w:val="-12"/>
          <w:sz w:val="29"/>
          <w:szCs w:val="29"/>
        </w:rPr>
        <w:t>16、</w:t>
      </w:r>
      <w:r>
        <w:rPr>
          <w:spacing w:val="-12"/>
          <w:sz w:val="29"/>
          <w:szCs w:val="29"/>
        </w:rPr>
        <w:t>所采用</w:t>
      </w:r>
      <w:r>
        <w:rPr>
          <w:rFonts w:ascii="宋体" w:hAnsi="宋体" w:eastAsia="宋体" w:cs="宋体"/>
          <w:spacing w:val="-12"/>
          <w:sz w:val="29"/>
          <w:szCs w:val="29"/>
        </w:rPr>
        <w:t>CPU</w:t>
      </w:r>
      <w:r>
        <w:rPr>
          <w:rFonts w:ascii="宋体" w:hAnsi="宋体" w:eastAsia="宋体" w:cs="宋体"/>
          <w:spacing w:val="-51"/>
          <w:sz w:val="29"/>
          <w:szCs w:val="29"/>
        </w:rPr>
        <w:t xml:space="preserve"> </w:t>
      </w:r>
      <w:r>
        <w:rPr>
          <w:spacing w:val="-12"/>
          <w:sz w:val="29"/>
          <w:szCs w:val="29"/>
        </w:rPr>
        <w:t>获得国家密码管理局商用密码检测中心颁发的国</w:t>
      </w:r>
      <w:r>
        <w:rPr>
          <w:spacing w:val="-13"/>
          <w:sz w:val="29"/>
          <w:szCs w:val="29"/>
        </w:rPr>
        <w:t>密芯</w:t>
      </w:r>
      <w:r>
        <w:rPr>
          <w:sz w:val="29"/>
          <w:szCs w:val="29"/>
        </w:rPr>
        <w:t xml:space="preserve"> </w:t>
      </w:r>
      <w:r>
        <w:rPr>
          <w:spacing w:val="-21"/>
          <w:sz w:val="29"/>
          <w:szCs w:val="29"/>
        </w:rPr>
        <w:t>片认证证书；</w:t>
      </w:r>
    </w:p>
    <w:p>
      <w:pPr>
        <w:pStyle w:val="2"/>
        <w:spacing w:before="248" w:line="220" w:lineRule="auto"/>
        <w:ind w:left="13"/>
        <w:rPr>
          <w:sz w:val="29"/>
          <w:szCs w:val="29"/>
        </w:rPr>
      </w:pPr>
      <w:r>
        <w:rPr>
          <w:rFonts w:ascii="宋体" w:hAnsi="宋体" w:eastAsia="宋体" w:cs="宋体"/>
          <w:spacing w:val="-13"/>
          <w:sz w:val="29"/>
          <w:szCs w:val="29"/>
        </w:rPr>
        <w:t>17、</w:t>
      </w:r>
      <w:r>
        <w:rPr>
          <w:spacing w:val="-13"/>
          <w:sz w:val="29"/>
          <w:szCs w:val="29"/>
        </w:rPr>
        <w:t>与前置软件兼容，具有双方互认的兼容性测试认证证明；</w:t>
      </w:r>
    </w:p>
    <w:p>
      <w:pPr>
        <w:pStyle w:val="2"/>
        <w:spacing w:before="253" w:line="305" w:lineRule="auto"/>
        <w:ind w:left="13" w:right="62"/>
        <w:rPr>
          <w:sz w:val="29"/>
          <w:szCs w:val="29"/>
        </w:rPr>
      </w:pPr>
      <w:r>
        <w:rPr>
          <w:rFonts w:ascii="宋体" w:hAnsi="宋体" w:eastAsia="宋体" w:cs="宋体"/>
          <w:spacing w:val="-14"/>
          <w:sz w:val="29"/>
          <w:szCs w:val="29"/>
        </w:rPr>
        <w:t>18、</w:t>
      </w:r>
      <w:r>
        <w:rPr>
          <w:spacing w:val="-14"/>
          <w:sz w:val="29"/>
          <w:szCs w:val="29"/>
        </w:rPr>
        <w:t>提供前置机到医院前操作系统、数据库、前置软</w:t>
      </w:r>
      <w:r>
        <w:rPr>
          <w:spacing w:val="-15"/>
          <w:sz w:val="29"/>
          <w:szCs w:val="29"/>
        </w:rPr>
        <w:t>件上架前初始化</w:t>
      </w:r>
      <w:r>
        <w:rPr>
          <w:sz w:val="29"/>
          <w:szCs w:val="29"/>
        </w:rPr>
        <w:t xml:space="preserve"> </w:t>
      </w:r>
      <w:r>
        <w:rPr>
          <w:spacing w:val="-20"/>
          <w:sz w:val="29"/>
          <w:szCs w:val="29"/>
        </w:rPr>
        <w:t>安装：</w:t>
      </w:r>
    </w:p>
    <w:p>
      <w:pPr>
        <w:pStyle w:val="2"/>
        <w:spacing w:before="243" w:line="220" w:lineRule="auto"/>
        <w:ind w:left="13"/>
        <w:rPr>
          <w:sz w:val="29"/>
          <w:szCs w:val="29"/>
        </w:rPr>
      </w:pPr>
      <w:r>
        <w:rPr>
          <w:rFonts w:ascii="宋体" w:hAnsi="宋体" w:eastAsia="宋体" w:cs="宋体"/>
          <w:spacing w:val="-12"/>
          <w:sz w:val="29"/>
          <w:szCs w:val="29"/>
        </w:rPr>
        <w:t>19、</w:t>
      </w:r>
      <w:r>
        <w:rPr>
          <w:spacing w:val="-12"/>
          <w:sz w:val="29"/>
          <w:szCs w:val="29"/>
        </w:rPr>
        <w:t>设置服务器品牌型号及选择通过适配的对</w:t>
      </w:r>
      <w:r>
        <w:rPr>
          <w:spacing w:val="-13"/>
          <w:sz w:val="29"/>
          <w:szCs w:val="29"/>
        </w:rPr>
        <w:t>应前置软件版本；</w:t>
      </w:r>
    </w:p>
    <w:p>
      <w:pPr>
        <w:pStyle w:val="2"/>
        <w:spacing w:before="255" w:line="303" w:lineRule="auto"/>
        <w:ind w:left="13" w:right="65"/>
        <w:rPr>
          <w:sz w:val="29"/>
          <w:szCs w:val="29"/>
        </w:rPr>
      </w:pPr>
      <w:r>
        <w:rPr>
          <w:rFonts w:ascii="宋体" w:hAnsi="宋体" w:eastAsia="宋体" w:cs="宋体"/>
          <w:spacing w:val="-14"/>
          <w:sz w:val="29"/>
          <w:szCs w:val="29"/>
        </w:rPr>
        <w:t>20、</w:t>
      </w:r>
      <w:r>
        <w:rPr>
          <w:spacing w:val="-14"/>
          <w:sz w:val="29"/>
          <w:szCs w:val="29"/>
        </w:rPr>
        <w:t>提供欧拉操作系统最新版本安装、调整磁盘</w:t>
      </w:r>
      <w:r>
        <w:rPr>
          <w:spacing w:val="-15"/>
          <w:sz w:val="29"/>
          <w:szCs w:val="29"/>
        </w:rPr>
        <w:t>分配、端口分配及服</w:t>
      </w:r>
      <w:r>
        <w:rPr>
          <w:sz w:val="29"/>
          <w:szCs w:val="29"/>
        </w:rPr>
        <w:t xml:space="preserve"> </w:t>
      </w:r>
      <w:r>
        <w:rPr>
          <w:spacing w:val="-23"/>
          <w:sz w:val="29"/>
          <w:szCs w:val="29"/>
        </w:rPr>
        <w:t>务；</w:t>
      </w:r>
    </w:p>
    <w:p>
      <w:pPr>
        <w:pStyle w:val="2"/>
        <w:spacing w:before="228" w:line="331" w:lineRule="auto"/>
        <w:ind w:left="13" w:right="66"/>
        <w:rPr>
          <w:sz w:val="29"/>
          <w:szCs w:val="29"/>
        </w:rPr>
      </w:pPr>
      <w:r>
        <w:rPr>
          <w:rFonts w:ascii="Times New Roman" w:hAnsi="Times New Roman" w:eastAsia="Times New Roman" w:cs="Times New Roman"/>
          <w:spacing w:val="-8"/>
          <w:sz w:val="29"/>
          <w:szCs w:val="29"/>
        </w:rPr>
        <w:t>21</w:t>
      </w:r>
      <w:r>
        <w:rPr>
          <w:rFonts w:ascii="宋体" w:hAnsi="宋体" w:eastAsia="宋体" w:cs="宋体"/>
          <w:spacing w:val="-8"/>
          <w:sz w:val="29"/>
          <w:szCs w:val="29"/>
        </w:rPr>
        <w:t>、</w:t>
      </w:r>
      <w:r>
        <w:rPr>
          <w:spacing w:val="-8"/>
          <w:sz w:val="29"/>
          <w:szCs w:val="29"/>
        </w:rPr>
        <w:t>提供</w:t>
      </w:r>
      <w:r>
        <w:rPr>
          <w:spacing w:val="-34"/>
          <w:sz w:val="29"/>
          <w:szCs w:val="29"/>
        </w:rPr>
        <w:t xml:space="preserve"> </w:t>
      </w:r>
      <w:r>
        <w:rPr>
          <w:rFonts w:ascii="Times New Roman" w:hAnsi="Times New Roman" w:eastAsia="Times New Roman" w:cs="Times New Roman"/>
          <w:spacing w:val="-8"/>
          <w:sz w:val="29"/>
          <w:szCs w:val="29"/>
        </w:rPr>
        <w:t>openGauss5.0.1</w:t>
      </w:r>
      <w:r>
        <w:rPr>
          <w:rFonts w:ascii="Times New Roman" w:hAnsi="Times New Roman" w:eastAsia="Times New Roman" w:cs="Times New Roman"/>
          <w:spacing w:val="31"/>
          <w:w w:val="101"/>
          <w:sz w:val="29"/>
          <w:szCs w:val="29"/>
        </w:rPr>
        <w:t xml:space="preserve">  </w:t>
      </w:r>
      <w:r>
        <w:rPr>
          <w:spacing w:val="-8"/>
          <w:sz w:val="29"/>
          <w:szCs w:val="29"/>
        </w:rPr>
        <w:t>数据库软件安装、用户域安全角色创建、</w:t>
      </w:r>
      <w:r>
        <w:rPr>
          <w:sz w:val="29"/>
          <w:szCs w:val="29"/>
        </w:rPr>
        <w:t xml:space="preserve"> </w:t>
      </w:r>
      <w:r>
        <w:rPr>
          <w:spacing w:val="-15"/>
          <w:sz w:val="29"/>
          <w:szCs w:val="29"/>
        </w:rPr>
        <w:t>初始化电子病例镜像库预连接参数设置、合规表空间创建、疾控局标</w:t>
      </w:r>
      <w:r>
        <w:rPr>
          <w:spacing w:val="6"/>
          <w:sz w:val="29"/>
          <w:szCs w:val="29"/>
        </w:rPr>
        <w:t xml:space="preserve"> </w:t>
      </w:r>
      <w:r>
        <w:rPr>
          <w:spacing w:val="-10"/>
          <w:sz w:val="29"/>
          <w:szCs w:val="29"/>
        </w:rPr>
        <w:t>准</w:t>
      </w:r>
      <w:r>
        <w:rPr>
          <w:rFonts w:ascii="宋体" w:hAnsi="宋体" w:eastAsia="宋体" w:cs="宋体"/>
          <w:spacing w:val="-10"/>
          <w:sz w:val="29"/>
          <w:szCs w:val="29"/>
        </w:rPr>
        <w:t>EMR</w:t>
      </w:r>
      <w:r>
        <w:rPr>
          <w:rFonts w:ascii="宋体" w:hAnsi="宋体" w:eastAsia="宋体" w:cs="宋体"/>
          <w:spacing w:val="-64"/>
          <w:sz w:val="29"/>
          <w:szCs w:val="29"/>
        </w:rPr>
        <w:t xml:space="preserve"> </w:t>
      </w:r>
      <w:r>
        <w:rPr>
          <w:spacing w:val="-10"/>
          <w:sz w:val="29"/>
          <w:szCs w:val="29"/>
        </w:rPr>
        <w:t>库表与字典创建初始化、数据备份机制设置；</w:t>
      </w:r>
    </w:p>
    <w:p>
      <w:pPr>
        <w:spacing w:line="331" w:lineRule="auto"/>
        <w:rPr>
          <w:sz w:val="29"/>
          <w:szCs w:val="29"/>
        </w:rPr>
        <w:sectPr>
          <w:pgSz w:w="11910" w:h="16840"/>
          <w:pgMar w:top="1431" w:right="1786" w:bottom="0" w:left="1786" w:header="0" w:footer="0" w:gutter="0"/>
          <w:cols w:space="720" w:num="1"/>
        </w:sectPr>
      </w:pPr>
    </w:p>
    <w:p>
      <w:pPr>
        <w:pStyle w:val="2"/>
        <w:spacing w:before="244" w:line="337" w:lineRule="auto"/>
        <w:ind w:left="3"/>
      </w:pPr>
      <w:r>
        <w:rPr>
          <w:rFonts w:ascii="宋体" w:hAnsi="宋体" w:eastAsia="宋体" w:cs="宋体"/>
          <w:spacing w:val="-3"/>
        </w:rPr>
        <w:t>22、</w:t>
      </w:r>
      <w:r>
        <w:rPr>
          <w:spacing w:val="-3"/>
        </w:rPr>
        <w:t>提供前置软件安装、同步获取与应用目录配置、专题库创建与调</w:t>
      </w:r>
      <w:r>
        <w:rPr>
          <w:spacing w:val="1"/>
        </w:rPr>
        <w:t xml:space="preserve"> </w:t>
      </w:r>
      <w:r>
        <w:rPr>
          <w:spacing w:val="-3"/>
        </w:rPr>
        <w:t xml:space="preserve">参与本机可访问确认、执行初始化 </w:t>
      </w:r>
      <w:r>
        <w:rPr>
          <w:rFonts w:ascii="宋体" w:hAnsi="宋体" w:eastAsia="宋体" w:cs="宋体"/>
          <w:spacing w:val="-3"/>
        </w:rPr>
        <w:t>sql、</w:t>
      </w:r>
      <w:r>
        <w:rPr>
          <w:spacing w:val="-3"/>
        </w:rPr>
        <w:t>执行</w:t>
      </w:r>
      <w:r>
        <w:rPr>
          <w:rFonts w:ascii="宋体" w:hAnsi="宋体" w:eastAsia="宋体" w:cs="宋体"/>
          <w:spacing w:val="-3"/>
        </w:rPr>
        <w:t>EMR</w:t>
      </w:r>
      <w:r>
        <w:rPr>
          <w:rFonts w:ascii="宋体" w:hAnsi="宋体" w:eastAsia="宋体" w:cs="宋体"/>
          <w:spacing w:val="-41"/>
        </w:rPr>
        <w:t xml:space="preserve"> </w:t>
      </w:r>
      <w:r>
        <w:rPr>
          <w:spacing w:val="-3"/>
        </w:rPr>
        <w:t>库表脚本、执行传</w:t>
      </w:r>
      <w:r>
        <w:t xml:space="preserve"> </w:t>
      </w:r>
      <w:r>
        <w:rPr>
          <w:spacing w:val="-10"/>
        </w:rPr>
        <w:t>染病识别规则库脚本、执行值域代码脚本、启动运行、安装结果验证。</w:t>
      </w:r>
    </w:p>
    <w:p>
      <w:pPr>
        <w:pStyle w:val="2"/>
        <w:spacing w:before="270" w:line="334" w:lineRule="auto"/>
        <w:ind w:left="3" w:right="91"/>
      </w:pPr>
      <w:r>
        <w:rPr>
          <w:rFonts w:ascii="宋体" w:hAnsi="宋体" w:eastAsia="宋体" w:cs="宋体"/>
          <w:spacing w:val="-4"/>
        </w:rPr>
        <w:t>23、</w:t>
      </w:r>
      <w:r>
        <w:rPr>
          <w:spacing w:val="-4"/>
        </w:rPr>
        <w:t>提供由国家前置软件建设相关实施服务商团队针对前置软件数据</w:t>
      </w:r>
      <w:r>
        <w:rPr>
          <w:spacing w:val="11"/>
        </w:rPr>
        <w:t xml:space="preserve"> </w:t>
      </w:r>
      <w:r>
        <w:rPr>
          <w:spacing w:val="-13"/>
        </w:rPr>
        <w:t>采集内容、值域代码及数据采集频率根据医院</w:t>
      </w:r>
      <w:r>
        <w:rPr>
          <w:spacing w:val="-14"/>
        </w:rPr>
        <w:t>实际情况调研，形成《医</w:t>
      </w:r>
      <w:r>
        <w:t xml:space="preserve"> </w:t>
      </w:r>
      <w:r>
        <w:rPr>
          <w:spacing w:val="-10"/>
        </w:rPr>
        <w:t>院前置软件适配环境改造评估报告》;</w:t>
      </w:r>
    </w:p>
    <w:p>
      <w:pPr>
        <w:pStyle w:val="2"/>
        <w:spacing w:before="266" w:line="311" w:lineRule="auto"/>
        <w:ind w:left="3" w:right="79"/>
      </w:pPr>
      <w:r>
        <w:rPr>
          <w:rFonts w:ascii="宋体" w:hAnsi="宋体" w:eastAsia="宋体" w:cs="宋体"/>
          <w:spacing w:val="-3"/>
        </w:rPr>
        <w:t>24、</w:t>
      </w:r>
      <w:r>
        <w:rPr>
          <w:spacing w:val="-3"/>
        </w:rPr>
        <w:t>协调医院电子病历厂商根据《医院传染病前置</w:t>
      </w:r>
      <w:r>
        <w:rPr>
          <w:spacing w:val="-4"/>
        </w:rPr>
        <w:t>软件适配环境改造</w:t>
      </w:r>
      <w:r>
        <w:t xml:space="preserve"> </w:t>
      </w:r>
      <w:r>
        <w:rPr>
          <w:spacing w:val="-5"/>
        </w:rPr>
        <w:t>评估报告》,完成院内系统改造工作；</w:t>
      </w:r>
    </w:p>
    <w:p>
      <w:pPr>
        <w:pStyle w:val="2"/>
        <w:spacing w:before="256" w:line="311" w:lineRule="auto"/>
        <w:ind w:left="3" w:right="84"/>
      </w:pPr>
      <w:r>
        <w:rPr>
          <w:rFonts w:ascii="宋体" w:hAnsi="宋体" w:eastAsia="宋体" w:cs="宋体"/>
          <w:spacing w:val="-4"/>
        </w:rPr>
        <w:t>25、</w:t>
      </w:r>
      <w:r>
        <w:rPr>
          <w:spacing w:val="-4"/>
        </w:rPr>
        <w:t>提供由国家前置软件建设相关实施服务商团队确认医院符合部署</w:t>
      </w:r>
      <w:r>
        <w:rPr>
          <w:spacing w:val="18"/>
        </w:rPr>
        <w:t xml:space="preserve"> </w:t>
      </w:r>
      <w:r>
        <w:rPr>
          <w:spacing w:val="-7"/>
        </w:rPr>
        <w:t>联调基础后，出具《医院传染病前置软件部署环境符合性报告》。</w:t>
      </w:r>
    </w:p>
    <w:p>
      <w:pPr>
        <w:pStyle w:val="2"/>
        <w:spacing w:before="277" w:line="304" w:lineRule="auto"/>
        <w:ind w:left="3" w:right="90"/>
      </w:pPr>
      <w:r>
        <w:rPr>
          <w:rFonts w:ascii="宋体" w:hAnsi="宋体" w:eastAsia="宋体" w:cs="宋体"/>
          <w:spacing w:val="-4"/>
        </w:rPr>
        <w:t>26、</w:t>
      </w:r>
      <w:r>
        <w:rPr>
          <w:spacing w:val="-4"/>
        </w:rPr>
        <w:t>提供国家考核任务对应数据集调试、对接、测试运行、正式运行</w:t>
      </w:r>
      <w:r>
        <w:rPr>
          <w:spacing w:val="12"/>
        </w:rPr>
        <w:t xml:space="preserve"> </w:t>
      </w:r>
      <w:r>
        <w:rPr>
          <w:spacing w:val="-19"/>
        </w:rPr>
        <w:t>培训：</w:t>
      </w:r>
    </w:p>
    <w:p>
      <w:pPr>
        <w:pStyle w:val="2"/>
        <w:spacing w:before="258" w:line="309" w:lineRule="auto"/>
        <w:ind w:left="3" w:right="80"/>
      </w:pPr>
      <w:r>
        <w:rPr>
          <w:rFonts w:ascii="宋体" w:hAnsi="宋体" w:eastAsia="宋体" w:cs="宋体"/>
          <w:spacing w:val="-3"/>
        </w:rPr>
        <w:t>27、</w:t>
      </w:r>
      <w:r>
        <w:rPr>
          <w:spacing w:val="-3"/>
        </w:rPr>
        <w:t>提供医疗机构院内系统与前置软件进行集成</w:t>
      </w:r>
      <w:r>
        <w:rPr>
          <w:spacing w:val="-4"/>
        </w:rPr>
        <w:t>调试，确保系统流程</w:t>
      </w:r>
      <w:r>
        <w:t xml:space="preserve"> </w:t>
      </w:r>
      <w:r>
        <w:rPr>
          <w:spacing w:val="-12"/>
        </w:rPr>
        <w:t>和功能正确；</w:t>
      </w:r>
    </w:p>
    <w:p>
      <w:pPr>
        <w:pStyle w:val="2"/>
        <w:spacing w:before="267" w:line="366" w:lineRule="auto"/>
        <w:ind w:left="3"/>
      </w:pPr>
      <w:r>
        <w:rPr>
          <w:rFonts w:ascii="宋体" w:hAnsi="宋体" w:eastAsia="宋体" w:cs="宋体"/>
          <w:spacing w:val="-9"/>
        </w:rPr>
        <w:t>28、</w:t>
      </w:r>
      <w:r>
        <w:rPr>
          <w:spacing w:val="-9"/>
        </w:rPr>
        <w:t>提供实时对接医院电子病历镜像库中</w:t>
      </w:r>
      <w:r>
        <w:rPr>
          <w:spacing w:val="-10"/>
        </w:rPr>
        <w:t>患者基本信息、门急诊病历，</w:t>
      </w:r>
      <w:r>
        <w:t xml:space="preserve"> </w:t>
      </w:r>
      <w:r>
        <w:rPr>
          <w:spacing w:val="-4"/>
        </w:rPr>
        <w:t>用于明确诊断传染病识别模型初始化，从门急诊病历中</w:t>
      </w:r>
      <w:r>
        <w:rPr>
          <w:spacing w:val="-5"/>
        </w:rPr>
        <w:t>自动采集识别</w:t>
      </w:r>
      <w:r>
        <w:t xml:space="preserve"> </w:t>
      </w:r>
      <w:r>
        <w:rPr>
          <w:spacing w:val="-5"/>
        </w:rPr>
        <w:t>传染病报告信息，组装为符合国家标准的电子传染病报告卡，对于识</w:t>
      </w:r>
      <w:r>
        <w:rPr>
          <w:spacing w:val="11"/>
        </w:rPr>
        <w:t xml:space="preserve"> </w:t>
      </w:r>
      <w:r>
        <w:rPr>
          <w:spacing w:val="-4"/>
        </w:rPr>
        <w:t>别出的如手足口病、</w:t>
      </w:r>
      <w:r>
        <w:rPr>
          <w:rFonts w:ascii="宋体" w:hAnsi="宋体" w:eastAsia="宋体" w:cs="宋体"/>
          <w:spacing w:val="-4"/>
        </w:rPr>
        <w:t>AFP</w:t>
      </w:r>
      <w:r>
        <w:rPr>
          <w:rFonts w:ascii="宋体" w:hAnsi="宋体" w:eastAsia="宋体" w:cs="宋体"/>
          <w:spacing w:val="-36"/>
        </w:rPr>
        <w:t xml:space="preserve"> </w:t>
      </w:r>
      <w:r>
        <w:rPr>
          <w:spacing w:val="-4"/>
        </w:rPr>
        <w:t>等需要检测结果的，需要实时对接医院电子</w:t>
      </w:r>
      <w:r>
        <w:t xml:space="preserve">  </w:t>
      </w:r>
      <w:r>
        <w:rPr>
          <w:spacing w:val="-5"/>
        </w:rPr>
        <w:t>病历镜像库中检查检验项目自动增量填充到电子传染病报卡中，电子</w:t>
      </w:r>
      <w:r>
        <w:rPr>
          <w:spacing w:val="3"/>
        </w:rPr>
        <w:t xml:space="preserve">  </w:t>
      </w:r>
      <w:r>
        <w:rPr>
          <w:spacing w:val="-4"/>
        </w:rPr>
        <w:t>传染病报告卡与国家数据集成服务平台直连上传；</w:t>
      </w:r>
    </w:p>
    <w:p>
      <w:pPr>
        <w:pStyle w:val="2"/>
        <w:spacing w:before="266" w:line="308" w:lineRule="auto"/>
        <w:ind w:left="3" w:right="29"/>
      </w:pPr>
      <w:r>
        <w:rPr>
          <w:rFonts w:ascii="宋体" w:hAnsi="宋体" w:eastAsia="宋体" w:cs="宋体"/>
          <w:spacing w:val="-2"/>
        </w:rPr>
        <w:t>29、</w:t>
      </w:r>
      <w:r>
        <w:rPr>
          <w:spacing w:val="-2"/>
        </w:rPr>
        <w:t>自动生成国家局要求的汇总统计数据，如发热门诊数、重症数、</w:t>
      </w:r>
      <w:r>
        <w:rPr>
          <w:spacing w:val="11"/>
        </w:rPr>
        <w:t xml:space="preserve"> </w:t>
      </w:r>
      <w:r>
        <w:rPr>
          <w:rFonts w:ascii="宋体" w:hAnsi="宋体" w:eastAsia="宋体" w:cs="宋体"/>
          <w:spacing w:val="-2"/>
        </w:rPr>
        <w:t>ICU</w:t>
      </w:r>
      <w:r>
        <w:rPr>
          <w:rFonts w:ascii="宋体" w:hAnsi="宋体" w:eastAsia="宋体" w:cs="宋体"/>
          <w:spacing w:val="-73"/>
        </w:rPr>
        <w:t xml:space="preserve"> </w:t>
      </w:r>
      <w:r>
        <w:rPr>
          <w:spacing w:val="-2"/>
        </w:rPr>
        <w:t>床位数、呼吸机使用等自动上传至国家数据集成服务平台。</w:t>
      </w:r>
    </w:p>
    <w:p>
      <w:pPr>
        <w:pStyle w:val="2"/>
        <w:spacing w:before="265" w:line="221" w:lineRule="auto"/>
        <w:ind w:left="3"/>
      </w:pPr>
      <w:r>
        <w:rPr>
          <w:rFonts w:ascii="宋体" w:hAnsi="宋体" w:eastAsia="宋体" w:cs="宋体"/>
          <w:spacing w:val="-4"/>
        </w:rPr>
        <w:t>30、</w:t>
      </w:r>
      <w:r>
        <w:rPr>
          <w:spacing w:val="-4"/>
        </w:rPr>
        <w:t>提供省统筹平台对应数据集调试、对接、测试运行、正式运行培</w:t>
      </w:r>
    </w:p>
    <w:p>
      <w:pPr>
        <w:spacing w:line="221" w:lineRule="auto"/>
        <w:sectPr>
          <w:pgSz w:w="11910" w:h="16840"/>
          <w:pgMar w:top="1431" w:right="1739" w:bottom="0" w:left="1786" w:header="0" w:footer="0" w:gutter="0"/>
          <w:cols w:space="720" w:num="1"/>
        </w:sectPr>
      </w:pPr>
    </w:p>
    <w:p>
      <w:pPr>
        <w:pStyle w:val="2"/>
        <w:spacing w:before="237" w:line="384" w:lineRule="auto"/>
        <w:ind w:left="3" w:right="59"/>
        <w:jc w:val="both"/>
      </w:pPr>
      <w:r>
        <w:rPr>
          <w:spacing w:val="-4"/>
        </w:rPr>
        <w:t>训；包括电子病历库初始化联调接入，质控核查，增量监控</w:t>
      </w:r>
      <w:r>
        <w:rPr>
          <w:spacing w:val="-5"/>
        </w:rPr>
        <w:t>，预警模</w:t>
      </w:r>
      <w:r>
        <w:t xml:space="preserve"> </w:t>
      </w:r>
      <w:r>
        <w:rPr>
          <w:spacing w:val="-5"/>
        </w:rPr>
        <w:t>型训练初始化；传报卡、症候群、病原检测信息、可疑传染病电子病</w:t>
      </w:r>
      <w:r>
        <w:rPr>
          <w:spacing w:val="15"/>
        </w:rPr>
        <w:t xml:space="preserve"> </w:t>
      </w:r>
      <w:r>
        <w:rPr>
          <w:spacing w:val="-4"/>
        </w:rPr>
        <w:t>历与省统筹传染病自动采集系统联调对接等工作；</w:t>
      </w:r>
    </w:p>
    <w:p>
      <w:pPr>
        <w:pStyle w:val="2"/>
        <w:spacing w:before="54" w:line="336" w:lineRule="auto"/>
        <w:ind w:left="3" w:right="40"/>
      </w:pPr>
      <w:r>
        <w:rPr>
          <w:rFonts w:ascii="宋体" w:hAnsi="宋体" w:eastAsia="宋体" w:cs="宋体"/>
          <w:spacing w:val="-3"/>
        </w:rPr>
        <w:t>31、</w:t>
      </w:r>
      <w:r>
        <w:rPr>
          <w:spacing w:val="-3"/>
        </w:rPr>
        <w:t>实现省级同步传输国家局直连直报上</w:t>
      </w:r>
      <w:r>
        <w:rPr>
          <w:spacing w:val="-4"/>
        </w:rPr>
        <w:t>传内容，同步完成向省统筹</w:t>
      </w:r>
      <w:r>
        <w:t xml:space="preserve"> </w:t>
      </w:r>
      <w:r>
        <w:rPr>
          <w:spacing w:val="-5"/>
        </w:rPr>
        <w:t>平台的传染病报告卡、核心计算指标交换传输，让省级同步获知参考</w:t>
      </w:r>
      <w:r>
        <w:rPr>
          <w:spacing w:val="7"/>
        </w:rPr>
        <w:t xml:space="preserve"> </w:t>
      </w:r>
      <w:r>
        <w:rPr>
          <w:spacing w:val="-6"/>
        </w:rPr>
        <w:t>相关的关键信息，作为预警参考；</w:t>
      </w:r>
    </w:p>
    <w:p>
      <w:pPr>
        <w:pStyle w:val="2"/>
        <w:spacing w:before="266" w:line="367" w:lineRule="auto"/>
        <w:ind w:left="3"/>
      </w:pPr>
      <w:r>
        <w:rPr>
          <w:rFonts w:ascii="宋体" w:hAnsi="宋体" w:eastAsia="宋体" w:cs="宋体"/>
          <w:spacing w:val="-4"/>
        </w:rPr>
        <w:t>32、</w:t>
      </w:r>
      <w:r>
        <w:rPr>
          <w:spacing w:val="-4"/>
        </w:rPr>
        <w:t>实时对接医院电子病历镜像库，患者基本信息、门急诊病历、急</w:t>
      </w:r>
      <w:r>
        <w:rPr>
          <w:spacing w:val="12"/>
        </w:rPr>
        <w:t xml:space="preserve"> </w:t>
      </w:r>
      <w:r>
        <w:rPr>
          <w:spacing w:val="-2"/>
        </w:rPr>
        <w:t>诊留观病历、医嘱信息、留观检查手术记录、留观抢救记</w:t>
      </w:r>
      <w:r>
        <w:rPr>
          <w:spacing w:val="-3"/>
        </w:rPr>
        <w:t>录、处方、</w:t>
      </w:r>
      <w:r>
        <w:t xml:space="preserve"> </w:t>
      </w:r>
      <w:r>
        <w:rPr>
          <w:spacing w:val="-4"/>
        </w:rPr>
        <w:t>处方条目、检查检验报告、检查检验项目、入院记录、住院记录、出</w:t>
      </w:r>
      <w:r>
        <w:t xml:space="preserve"> </w:t>
      </w:r>
      <w:r>
        <w:rPr>
          <w:spacing w:val="-4"/>
        </w:rPr>
        <w:t>院记录、住院病案首页，用于疑似传染病识别模型、症</w:t>
      </w:r>
      <w:r>
        <w:rPr>
          <w:spacing w:val="-5"/>
        </w:rPr>
        <w:t>候群病例识别</w:t>
      </w:r>
      <w:r>
        <w:t xml:space="preserve"> </w:t>
      </w:r>
      <w:r>
        <w:rPr>
          <w:spacing w:val="-4"/>
        </w:rPr>
        <w:t>模型、重大和重点传染病治疗过程提取模型、病原信息提取模型初始</w:t>
      </w:r>
      <w:r>
        <w:rPr>
          <w:spacing w:val="1"/>
        </w:rPr>
        <w:t xml:space="preserve"> </w:t>
      </w:r>
      <w:r>
        <w:rPr>
          <w:spacing w:val="-13"/>
        </w:rPr>
        <w:t>化；</w:t>
      </w:r>
    </w:p>
    <w:p>
      <w:pPr>
        <w:pStyle w:val="2"/>
        <w:spacing w:before="281" w:line="303" w:lineRule="auto"/>
        <w:ind w:left="3" w:right="27"/>
      </w:pPr>
      <w:r>
        <w:rPr>
          <w:rFonts w:ascii="宋体" w:hAnsi="宋体" w:eastAsia="宋体" w:cs="宋体"/>
          <w:spacing w:val="-3"/>
        </w:rPr>
        <w:t>33、</w:t>
      </w:r>
      <w:r>
        <w:rPr>
          <w:spacing w:val="-3"/>
        </w:rPr>
        <w:t>满足医院前置软件模型迭代训练与国家数据集成服务平台做模式</w:t>
      </w:r>
      <w:r>
        <w:t xml:space="preserve"> </w:t>
      </w:r>
      <w:r>
        <w:rPr>
          <w:spacing w:val="-19"/>
        </w:rPr>
        <w:t>更新；</w:t>
      </w:r>
    </w:p>
    <w:p>
      <w:pPr>
        <w:pStyle w:val="2"/>
        <w:spacing w:before="270" w:line="221" w:lineRule="auto"/>
        <w:ind w:left="3"/>
      </w:pPr>
      <w:r>
        <w:rPr>
          <w:rFonts w:ascii="宋体" w:hAnsi="宋体" w:eastAsia="宋体" w:cs="宋体"/>
          <w:spacing w:val="-3"/>
        </w:rPr>
        <w:t>34、</w:t>
      </w:r>
      <w:r>
        <w:rPr>
          <w:spacing w:val="-3"/>
        </w:rPr>
        <w:t>满足诊断传染病报告信息与省统筹对接联调及定制调整；</w:t>
      </w:r>
    </w:p>
    <w:p>
      <w:pPr>
        <w:pStyle w:val="2"/>
        <w:spacing w:before="257" w:line="309" w:lineRule="auto"/>
        <w:ind w:left="3" w:right="46"/>
      </w:pPr>
      <w:r>
        <w:rPr>
          <w:rFonts w:ascii="宋体" w:hAnsi="宋体" w:eastAsia="宋体" w:cs="宋体"/>
          <w:spacing w:val="-4"/>
        </w:rPr>
        <w:t>35、</w:t>
      </w:r>
      <w:r>
        <w:rPr>
          <w:spacing w:val="-4"/>
        </w:rPr>
        <w:t>满足重大和重点传染病治疗过程数据与省统筹对接联调及定制调</w:t>
      </w:r>
      <w:r>
        <w:rPr>
          <w:spacing w:val="13"/>
        </w:rPr>
        <w:t xml:space="preserve"> </w:t>
      </w:r>
      <w:r>
        <w:rPr>
          <w:spacing w:val="-20"/>
        </w:rPr>
        <w:t>整；</w:t>
      </w:r>
    </w:p>
    <w:p>
      <w:pPr>
        <w:pStyle w:val="2"/>
        <w:spacing w:before="261" w:line="222" w:lineRule="auto"/>
        <w:ind w:left="3"/>
      </w:pPr>
      <w:r>
        <w:rPr>
          <w:rFonts w:ascii="宋体" w:hAnsi="宋体" w:eastAsia="宋体" w:cs="宋体"/>
          <w:spacing w:val="-3"/>
        </w:rPr>
        <w:t>36、</w:t>
      </w:r>
      <w:r>
        <w:rPr>
          <w:spacing w:val="-3"/>
        </w:rPr>
        <w:t>满足症候群病例数据与省统筹对接联调及定制调整；</w:t>
      </w:r>
    </w:p>
    <w:p>
      <w:pPr>
        <w:pStyle w:val="2"/>
        <w:spacing w:before="274" w:line="222" w:lineRule="auto"/>
        <w:ind w:left="3"/>
      </w:pPr>
      <w:r>
        <w:rPr>
          <w:rFonts w:ascii="宋体" w:hAnsi="宋体" w:eastAsia="宋体" w:cs="宋体"/>
          <w:spacing w:val="-3"/>
        </w:rPr>
        <w:t>37、</w:t>
      </w:r>
      <w:r>
        <w:rPr>
          <w:spacing w:val="-3"/>
        </w:rPr>
        <w:t>满足病原信息数据与省统筹对接联调及定制调整；</w:t>
      </w:r>
    </w:p>
    <w:p>
      <w:pPr>
        <w:pStyle w:val="2"/>
        <w:spacing w:before="256" w:line="352" w:lineRule="auto"/>
        <w:ind w:left="3" w:right="56"/>
      </w:pPr>
      <w:r>
        <w:rPr>
          <w:rFonts w:ascii="宋体" w:hAnsi="宋体" w:eastAsia="宋体" w:cs="宋体"/>
          <w:spacing w:val="-4"/>
        </w:rPr>
        <w:t>38、</w:t>
      </w:r>
      <w:r>
        <w:rPr>
          <w:spacing w:val="-4"/>
        </w:rPr>
        <w:t>满足传染病监测数据、重大和重点传染病、症候群病例的全链条</w:t>
      </w:r>
      <w:r>
        <w:rPr>
          <w:spacing w:val="3"/>
        </w:rPr>
        <w:t xml:space="preserve"> </w:t>
      </w:r>
      <w:r>
        <w:rPr>
          <w:spacing w:val="-5"/>
        </w:rPr>
        <w:t>管理要求，对于相应的病例通过前置软件采集上传后，对于已上传的</w:t>
      </w:r>
      <w:r>
        <w:rPr>
          <w:spacing w:val="16"/>
        </w:rPr>
        <w:t xml:space="preserve"> </w:t>
      </w:r>
      <w:r>
        <w:rPr>
          <w:spacing w:val="-4"/>
        </w:rPr>
        <w:t>病例发生诊断、临床转归、实验室结果等连续发生变化时，需要</w:t>
      </w:r>
      <w:r>
        <w:rPr>
          <w:spacing w:val="-5"/>
        </w:rPr>
        <w:t>持续</w:t>
      </w:r>
      <w:r>
        <w:t xml:space="preserve"> </w:t>
      </w:r>
      <w:r>
        <w:rPr>
          <w:spacing w:val="-12"/>
        </w:rPr>
        <w:t>自动更新。</w:t>
      </w:r>
    </w:p>
    <w:p>
      <w:pPr>
        <w:spacing w:line="352" w:lineRule="auto"/>
        <w:sectPr>
          <w:pgSz w:w="11910" w:h="16840"/>
          <w:pgMar w:top="1431" w:right="1783" w:bottom="0" w:left="1786" w:header="0" w:footer="0" w:gutter="0"/>
          <w:cols w:space="720" w:num="1"/>
        </w:sectPr>
      </w:pPr>
    </w:p>
    <w:p>
      <w:pPr>
        <w:pStyle w:val="2"/>
        <w:spacing w:before="235" w:line="221" w:lineRule="auto"/>
        <w:ind w:left="3"/>
      </w:pPr>
      <w:r>
        <w:rPr>
          <w:rFonts w:ascii="宋体" w:hAnsi="宋体" w:eastAsia="宋体" w:cs="宋体"/>
          <w:spacing w:val="-3"/>
        </w:rPr>
        <w:t>39、</w:t>
      </w:r>
      <w:r>
        <w:rPr>
          <w:spacing w:val="-3"/>
        </w:rPr>
        <w:t>整机三年原厂质保。</w:t>
      </w:r>
    </w:p>
    <w:p>
      <w:pPr>
        <w:pStyle w:val="2"/>
        <w:spacing w:before="265" w:line="308" w:lineRule="auto"/>
        <w:ind w:left="3" w:right="24"/>
      </w:pPr>
      <w:r>
        <w:rPr>
          <w:rFonts w:ascii="宋体" w:hAnsi="宋体" w:eastAsia="宋体" w:cs="宋体"/>
          <w:spacing w:val="-3"/>
        </w:rPr>
        <w:t>40、</w:t>
      </w:r>
      <w:r>
        <w:rPr>
          <w:spacing w:val="-3"/>
        </w:rPr>
        <w:t>提供设备生产厂商针对本项目出具的加盖公章的原厂授权书原件</w:t>
      </w:r>
      <w:r>
        <w:t xml:space="preserve"> </w:t>
      </w:r>
      <w:r>
        <w:rPr>
          <w:spacing w:val="-8"/>
        </w:rPr>
        <w:t>和售后服务函原件；</w:t>
      </w:r>
    </w:p>
    <w:sectPr>
      <w:pgSz w:w="11910" w:h="16840"/>
      <w:pgMar w:top="1431"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2NGMyYjRiYjFkZDg4YWU3NTE1ZDkxNTA4YTJkODgifQ=="/>
  </w:docVars>
  <w:rsids>
    <w:rsidRoot w:val="00000000"/>
    <w:rsid w:val="138812FD"/>
    <w:rsid w:val="17467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2090</Words>
  <Characters>2263</Characters>
  <TotalTime>25</TotalTime>
  <ScaleCrop>false</ScaleCrop>
  <LinksUpToDate>false</LinksUpToDate>
  <CharactersWithSpaces>2342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2024-07-30T11:45:00Z</dcterms:created>
  <dc:creator>Kingsoft-PDF</dc:creator>
  <cp:lastModifiedBy>Administrator</cp:lastModifiedBy>
  <dcterms:modified xsi:type="dcterms:W3CDTF">2024-08-16T12:10:38Z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2024-07-30T11:45:10Z</vt:filetime>
  </property>
  <property fmtid="{D5CDD505-2E9C-101B-9397-08002B2CF9AE}" pid="4" name="UsrData">
    <vt:lpwstr>66a861c4542596001fa60aafwl</vt:lpwstr>
  </property>
  <property fmtid="{D5CDD505-2E9C-101B-9397-08002B2CF9AE}" pid="5" name="KSOProductBuildVer">
    <vt:lpwstr>2052-12.1.0.16929</vt:lpwstr>
  </property>
  <property fmtid="{D5CDD505-2E9C-101B-9397-08002B2CF9AE}" pid="6" name="ICV">
    <vt:lpwstr>2F224B6D539745B1AFBC46E36517E8E3_12</vt:lpwstr>
  </property>
</Properties>
</file>