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FC998">
      <w:pPr>
        <w:jc w:val="center"/>
        <w:rPr>
          <w:rFonts w:hint="eastAsia" w:ascii="仿宋" w:hAnsi="仿宋" w:eastAsia="仿宋" w:cs="仿宋"/>
          <w:sz w:val="28"/>
          <w:szCs w:val="28"/>
          <w:lang w:eastAsia="zh-CN"/>
        </w:rPr>
      </w:pPr>
      <w:r>
        <w:rPr>
          <w:rFonts w:hint="eastAsia" w:ascii="仿宋" w:hAnsi="仿宋" w:eastAsia="仿宋" w:cs="仿宋"/>
          <w:b/>
          <w:bCs/>
          <w:sz w:val="40"/>
          <w:szCs w:val="40"/>
          <w:lang w:eastAsia="zh-CN"/>
        </w:rPr>
        <w:t>招标参数</w:t>
      </w:r>
    </w:p>
    <w:p w14:paraId="211E8605">
      <w:pPr>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、本项目的特定资格要求：</w:t>
      </w:r>
    </w:p>
    <w:p w14:paraId="33E161B8">
      <w:pPr>
        <w:rPr>
          <w:rFonts w:hint="eastAsia" w:ascii="仿宋" w:hAnsi="仿宋" w:eastAsia="仿宋" w:cs="仿宋"/>
          <w:sz w:val="28"/>
          <w:szCs w:val="28"/>
        </w:rPr>
      </w:pPr>
      <w:r>
        <w:rPr>
          <w:rFonts w:hint="eastAsia" w:ascii="仿宋" w:hAnsi="仿宋" w:eastAsia="仿宋" w:cs="仿宋"/>
          <w:sz w:val="28"/>
          <w:szCs w:val="28"/>
        </w:rPr>
        <w:t>1.投标人须是中华人民共和国境内注册的，具有独立法人资格的企业。提供合法有效的具有统一社会信用代码的营业执照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经营范围必须有医疗器械维修</w:t>
      </w:r>
      <w:r>
        <w:rPr>
          <w:rFonts w:hint="eastAsia" w:ascii="仿宋" w:hAnsi="仿宋" w:eastAsia="仿宋" w:cs="仿宋"/>
          <w:sz w:val="28"/>
          <w:szCs w:val="28"/>
          <w:lang w:eastAsia="zh-CN"/>
        </w:rPr>
        <w:t>）、产品注册证、二类经营备案凭证</w:t>
      </w:r>
      <w:r>
        <w:rPr>
          <w:rFonts w:hint="eastAsia" w:ascii="仿宋" w:hAnsi="仿宋" w:eastAsia="仿宋" w:cs="仿宋"/>
          <w:sz w:val="28"/>
          <w:szCs w:val="28"/>
        </w:rPr>
        <w:t>；</w:t>
      </w:r>
    </w:p>
    <w:p w14:paraId="24E3A28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.满足《中华人民共和国政府采购法》第二十二条规定</w:t>
      </w:r>
      <w:r>
        <w:rPr>
          <w:rFonts w:hint="eastAsia" w:ascii="仿宋" w:hAnsi="仿宋" w:eastAsia="仿宋" w:cs="仿宋"/>
          <w:sz w:val="28"/>
          <w:szCs w:val="28"/>
          <w:lang w:eastAsia="zh-CN"/>
        </w:rPr>
        <w:t>。</w:t>
      </w:r>
    </w:p>
    <w:p w14:paraId="6D5564F6">
      <w:p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p>
    <w:p w14:paraId="68F613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投标人可提供有利于投标的其他证明材料</w:t>
      </w:r>
    </w:p>
    <w:p w14:paraId="53323EC2">
      <w:pPr>
        <w:rPr>
          <w:rFonts w:hint="eastAsia" w:ascii="微软雅黑" w:hAnsi="微软雅黑" w:eastAsia="微软雅黑" w:cs="微软雅黑"/>
          <w:b/>
          <w:bCs/>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未按照要求盲目竞价者的供应商，</w:t>
      </w:r>
      <w:r>
        <w:rPr>
          <w:rFonts w:hint="eastAsia" w:ascii="仿宋" w:hAnsi="仿宋" w:eastAsia="仿宋" w:cs="仿宋"/>
          <w:sz w:val="28"/>
          <w:szCs w:val="28"/>
          <w:lang w:eastAsia="zh-CN"/>
        </w:rPr>
        <w:t>将</w:t>
      </w:r>
      <w:r>
        <w:rPr>
          <w:rFonts w:hint="eastAsia" w:ascii="仿宋" w:hAnsi="仿宋" w:eastAsia="仿宋" w:cs="仿宋"/>
          <w:sz w:val="28"/>
          <w:szCs w:val="28"/>
        </w:rPr>
        <w:t>上报采购中心进行处理。</w:t>
      </w:r>
    </w:p>
    <w:p w14:paraId="4BBDC369">
      <w:pPr>
        <w:rPr>
          <w:rFonts w:ascii="Times New Roman" w:hAnsi="Times New Roman" w:eastAsia="微软雅黑" w:cs="Times New Roman"/>
          <w:b/>
          <w:sz w:val="32"/>
        </w:rPr>
      </w:pPr>
      <w:r>
        <w:rPr>
          <w:rFonts w:hint="eastAsia" w:ascii="仿宋" w:hAnsi="仿宋" w:eastAsia="仿宋" w:cs="仿宋"/>
          <w:sz w:val="28"/>
          <w:szCs w:val="28"/>
          <w:lang w:eastAsia="zh-CN"/>
        </w:rPr>
        <w:t>二、本次采购项目：</w:t>
      </w:r>
      <w:r>
        <w:rPr>
          <w:rFonts w:ascii="Times New Roman" w:hAnsi="Times New Roman" w:eastAsia="微软雅黑" w:cs="Times New Roman"/>
          <w:b/>
          <w:sz w:val="32"/>
        </w:rPr>
        <w:t>生物刺激反馈仪</w:t>
      </w:r>
      <w:bookmarkStart w:id="0" w:name="_GoBack"/>
      <w:bookmarkEnd w:id="0"/>
    </w:p>
    <w:p w14:paraId="0E747BD8">
      <w:pPr>
        <w:jc w:val="left"/>
        <w:rPr>
          <w:rFonts w:ascii="Times New Roman" w:hAnsi="Times New Roman" w:eastAsia="微软雅黑" w:cs="Times New Roman"/>
          <w:b/>
          <w:kern w:val="0"/>
          <w:sz w:val="28"/>
          <w:szCs w:val="28"/>
        </w:rPr>
      </w:pPr>
      <w:r>
        <w:rPr>
          <w:rFonts w:hint="eastAsia" w:ascii="Times New Roman" w:hAnsi="Times New Roman" w:eastAsia="微软雅黑" w:cs="Times New Roman"/>
          <w:b/>
          <w:kern w:val="0"/>
          <w:sz w:val="28"/>
          <w:szCs w:val="28"/>
          <w:lang w:eastAsia="zh-CN"/>
        </w:rPr>
        <w:t>一、</w:t>
      </w:r>
      <w:r>
        <w:rPr>
          <w:rFonts w:hint="eastAsia" w:ascii="Times New Roman" w:hAnsi="Times New Roman" w:eastAsia="微软雅黑" w:cs="Times New Roman"/>
          <w:b/>
          <w:kern w:val="0"/>
          <w:sz w:val="28"/>
          <w:szCs w:val="28"/>
        </w:rPr>
        <w:t>硬件要求：</w:t>
      </w:r>
    </w:p>
    <w:p w14:paraId="21F33517">
      <w:pPr>
        <w:numPr>
          <w:ilvl w:val="0"/>
          <w:numId w:val="1"/>
        </w:numPr>
        <w:jc w:val="left"/>
        <w:rPr>
          <w:rFonts w:ascii="微软雅黑" w:hAnsi="微软雅黑" w:eastAsia="微软雅黑" w:cs="微软雅黑"/>
          <w:kern w:val="0"/>
        </w:rPr>
      </w:pPr>
      <w:r>
        <w:rPr>
          <w:rFonts w:ascii="微软雅黑" w:hAnsi="微软雅黑" w:eastAsia="微软雅黑" w:cs="微软雅黑"/>
          <w:kern w:val="0"/>
        </w:rPr>
        <w:t xml:space="preserve"> </w:t>
      </w:r>
      <w:r>
        <w:rPr>
          <w:rFonts w:hint="eastAsia" w:ascii="微软雅黑" w:hAnsi="微软雅黑" w:eastAsia="微软雅黑" w:cs="微软雅黑"/>
          <w:kern w:val="0"/>
        </w:rPr>
        <w:t>主机：集成化一体式机箱设计（信号采集和电刺激模块与工</w:t>
      </w:r>
      <w:r>
        <w:rPr>
          <w:rFonts w:ascii="微软雅黑" w:hAnsi="微软雅黑" w:eastAsia="微软雅黑" w:cs="微软雅黑"/>
          <w:kern w:val="0"/>
        </w:rPr>
        <w:t>控</w:t>
      </w:r>
      <w:r>
        <w:rPr>
          <w:rFonts w:hint="eastAsia" w:ascii="微软雅黑" w:hAnsi="微软雅黑" w:eastAsia="微软雅黑" w:cs="微软雅黑"/>
          <w:kern w:val="0"/>
        </w:rPr>
        <w:t>机封装于同一机箱内），稳定性和兼容性更有保障，抗电磁干扰性能突出。</w:t>
      </w:r>
    </w:p>
    <w:p w14:paraId="3135415B">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★双屏独立显示，两个屏幕尺寸均≥21英寸，支持双人同时进行盆底生物反馈治疗。</w:t>
      </w:r>
    </w:p>
    <w:p w14:paraId="15ADFDBD">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★主机多功能物理通道≥8个，其中≥8个电刺激通道（STIM），≥6个肌电采集通道（EMG）。</w:t>
      </w:r>
    </w:p>
    <w:p w14:paraId="3D54B74A">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使用物理旋钮调节电流强度，操作方便，每个通道均设置各自的独立旋钮控制，可实现多通道不同强度刺激。</w:t>
      </w:r>
    </w:p>
    <w:p w14:paraId="26488551">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主机内置压力通道，通道数≥1个。</w:t>
      </w:r>
    </w:p>
    <w:p w14:paraId="5CEF7190">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★肌电采集范围：2-2500μV（r.m.s）</w:t>
      </w:r>
    </w:p>
    <w:p w14:paraId="4CCC3616">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分辨率：≤0.5μV（r.m.s）</w:t>
      </w:r>
    </w:p>
    <w:p w14:paraId="2EF1B099">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通频带：</w:t>
      </w:r>
      <w:r>
        <w:rPr>
          <w:rFonts w:hint="eastAsia" w:ascii="微软雅黑" w:hAnsi="微软雅黑" w:eastAsia="微软雅黑" w:cs="微软雅黑"/>
        </w:rPr>
        <w:t>不窄于</w:t>
      </w:r>
      <w:r>
        <w:rPr>
          <w:rFonts w:hint="eastAsia" w:ascii="微软雅黑" w:hAnsi="微软雅黑" w:eastAsia="微软雅黑" w:cs="微软雅黑"/>
          <w:kern w:val="0"/>
        </w:rPr>
        <w:t>20Hz～5</w:t>
      </w:r>
      <w:r>
        <w:rPr>
          <w:rFonts w:hint="eastAsia" w:ascii="微软雅黑" w:hAnsi="微软雅黑" w:eastAsia="微软雅黑" w:cs="微软雅黑"/>
          <w:kern w:val="0"/>
          <w:lang w:val="en-US" w:eastAsia="zh-CN"/>
        </w:rPr>
        <w:t>2</w:t>
      </w:r>
      <w:r>
        <w:rPr>
          <w:rFonts w:hint="eastAsia" w:ascii="微软雅黑" w:hAnsi="微软雅黑" w:eastAsia="微软雅黑" w:cs="微软雅黑"/>
          <w:kern w:val="0"/>
        </w:rPr>
        <w:t>0Hz (-3dB)</w:t>
      </w:r>
    </w:p>
    <w:p w14:paraId="0FE421F1">
      <w:pPr>
        <w:numPr>
          <w:ilvl w:val="0"/>
          <w:numId w:val="1"/>
        </w:numPr>
        <w:jc w:val="left"/>
        <w:rPr>
          <w:rFonts w:ascii="微软雅黑" w:hAnsi="微软雅黑" w:eastAsia="微软雅黑" w:cs="微软雅黑"/>
          <w:kern w:val="0"/>
        </w:rPr>
      </w:pPr>
      <w:r>
        <w:rPr>
          <w:rFonts w:ascii="微软雅黑" w:hAnsi="微软雅黑" w:eastAsia="微软雅黑" w:cs="微软雅黑"/>
          <w:kern w:val="0"/>
        </w:rPr>
        <w:t>刺激电流强度：0-100mA范围内可调，步进0.5mA可调节。</w:t>
      </w:r>
    </w:p>
    <w:p w14:paraId="2EA203D6">
      <w:pPr>
        <w:numPr>
          <w:ilvl w:val="0"/>
          <w:numId w:val="1"/>
        </w:numPr>
        <w:jc w:val="left"/>
        <w:rPr>
          <w:rFonts w:ascii="微软雅黑" w:hAnsi="微软雅黑" w:eastAsia="微软雅黑" w:cs="微软雅黑"/>
          <w:kern w:val="0"/>
        </w:rPr>
      </w:pPr>
      <w:r>
        <w:rPr>
          <w:rFonts w:ascii="微软雅黑" w:hAnsi="微软雅黑" w:eastAsia="微软雅黑" w:cs="微软雅黑"/>
          <w:kern w:val="0"/>
        </w:rPr>
        <w:t>★电刺激脉冲宽度：至少在</w:t>
      </w:r>
      <w:r>
        <w:rPr>
          <w:rFonts w:hint="eastAsia" w:ascii="微软雅黑" w:hAnsi="微软雅黑" w:eastAsia="微软雅黑" w:cs="微软雅黑"/>
          <w:kern w:val="0"/>
        </w:rPr>
        <w:t>5</w:t>
      </w:r>
      <w:r>
        <w:rPr>
          <w:rFonts w:ascii="微软雅黑" w:hAnsi="微软雅黑" w:eastAsia="微软雅黑" w:cs="微软雅黑"/>
          <w:kern w:val="0"/>
        </w:rPr>
        <w:t>0-9</w:t>
      </w:r>
      <w:r>
        <w:rPr>
          <w:rFonts w:hint="eastAsia" w:ascii="微软雅黑" w:hAnsi="微软雅黑" w:eastAsia="微软雅黑" w:cs="微软雅黑"/>
          <w:kern w:val="0"/>
        </w:rPr>
        <w:t>0</w:t>
      </w:r>
      <w:r>
        <w:rPr>
          <w:rFonts w:ascii="微软雅黑" w:hAnsi="微软雅黑" w:eastAsia="微软雅黑" w:cs="微软雅黑"/>
          <w:kern w:val="0"/>
        </w:rPr>
        <w:t>0μs范围内</w:t>
      </w:r>
      <w:r>
        <w:rPr>
          <w:rFonts w:hint="eastAsia" w:ascii="微软雅黑" w:hAnsi="微软雅黑" w:eastAsia="微软雅黑" w:cs="微软雅黑"/>
          <w:kern w:val="0"/>
        </w:rPr>
        <w:t>均</w:t>
      </w:r>
      <w:r>
        <w:rPr>
          <w:rFonts w:ascii="微软雅黑" w:hAnsi="微软雅黑" w:eastAsia="微软雅黑" w:cs="微软雅黑"/>
          <w:kern w:val="0"/>
        </w:rPr>
        <w:t>可调，步进10μs可调节。</w:t>
      </w:r>
    </w:p>
    <w:p w14:paraId="65C1C267">
      <w:pPr>
        <w:numPr>
          <w:ilvl w:val="0"/>
          <w:numId w:val="1"/>
        </w:numPr>
        <w:jc w:val="left"/>
        <w:rPr>
          <w:rFonts w:ascii="微软雅黑" w:hAnsi="微软雅黑" w:eastAsia="微软雅黑" w:cs="微软雅黑"/>
          <w:kern w:val="0"/>
        </w:rPr>
      </w:pPr>
      <w:r>
        <w:rPr>
          <w:rFonts w:ascii="微软雅黑" w:hAnsi="微软雅黑" w:eastAsia="微软雅黑" w:cs="微软雅黑"/>
          <w:kern w:val="0"/>
        </w:rPr>
        <w:t>★电刺激脉冲频率：至少在</w:t>
      </w:r>
      <w:r>
        <w:rPr>
          <w:rFonts w:hint="eastAsia" w:ascii="微软雅黑" w:hAnsi="微软雅黑" w:eastAsia="微软雅黑" w:cs="微软雅黑"/>
          <w:kern w:val="0"/>
        </w:rPr>
        <w:t>1</w:t>
      </w:r>
      <w:r>
        <w:rPr>
          <w:rFonts w:ascii="微软雅黑" w:hAnsi="微软雅黑" w:eastAsia="微软雅黑" w:cs="微软雅黑"/>
          <w:kern w:val="0"/>
        </w:rPr>
        <w:t>-</w:t>
      </w:r>
      <w:r>
        <w:rPr>
          <w:rFonts w:hint="eastAsia" w:ascii="微软雅黑" w:hAnsi="微软雅黑" w:eastAsia="微软雅黑" w:cs="微软雅黑"/>
          <w:kern w:val="0"/>
        </w:rPr>
        <w:t>500</w:t>
      </w:r>
      <w:r>
        <w:rPr>
          <w:rFonts w:ascii="微软雅黑" w:hAnsi="微软雅黑" w:eastAsia="微软雅黑" w:cs="微软雅黑"/>
          <w:kern w:val="0"/>
        </w:rPr>
        <w:t>Hz范围内</w:t>
      </w:r>
      <w:r>
        <w:rPr>
          <w:rFonts w:hint="eastAsia" w:ascii="微软雅黑" w:hAnsi="微软雅黑" w:eastAsia="微软雅黑" w:cs="微软雅黑"/>
          <w:kern w:val="0"/>
        </w:rPr>
        <w:t>均</w:t>
      </w:r>
      <w:r>
        <w:rPr>
          <w:rFonts w:ascii="微软雅黑" w:hAnsi="微软雅黑" w:eastAsia="微软雅黑" w:cs="微软雅黑"/>
          <w:kern w:val="0"/>
        </w:rPr>
        <w:t>可调，步进1Hz可调节。</w:t>
      </w:r>
    </w:p>
    <w:p w14:paraId="439A725B">
      <w:pPr>
        <w:numPr>
          <w:ilvl w:val="0"/>
          <w:numId w:val="1"/>
        </w:numPr>
        <w:jc w:val="left"/>
        <w:rPr>
          <w:rFonts w:ascii="Times New Roman" w:hAnsi="Times New Roman" w:eastAsia="微软雅黑" w:cs="Times New Roman"/>
          <w:b/>
          <w:kern w:val="0"/>
          <w:sz w:val="28"/>
          <w:szCs w:val="28"/>
        </w:rPr>
      </w:pPr>
      <w:r>
        <w:rPr>
          <w:rFonts w:ascii="微软雅黑" w:hAnsi="微软雅黑" w:eastAsia="微软雅黑" w:cs="微软雅黑"/>
          <w:kern w:val="0"/>
        </w:rPr>
        <w:t>上升/下降时间：至少在0s～18s范围内可调。</w:t>
      </w:r>
    </w:p>
    <w:p w14:paraId="4F2BB9EF">
      <w:pPr>
        <w:jc w:val="left"/>
        <w:rPr>
          <w:rFonts w:ascii="Times New Roman" w:hAnsi="Times New Roman" w:eastAsia="微软雅黑" w:cs="Times New Roman"/>
          <w:b/>
          <w:kern w:val="0"/>
          <w:sz w:val="28"/>
          <w:szCs w:val="28"/>
        </w:rPr>
      </w:pPr>
      <w:r>
        <w:rPr>
          <w:rFonts w:hint="eastAsia" w:ascii="Times New Roman" w:hAnsi="Times New Roman" w:eastAsia="微软雅黑" w:cs="Times New Roman"/>
          <w:b/>
          <w:kern w:val="0"/>
          <w:sz w:val="28"/>
          <w:szCs w:val="28"/>
          <w:lang w:eastAsia="zh-CN"/>
        </w:rPr>
        <w:t>二、</w:t>
      </w:r>
      <w:r>
        <w:rPr>
          <w:rFonts w:hint="eastAsia" w:ascii="Times New Roman" w:hAnsi="Times New Roman" w:eastAsia="微软雅黑" w:cs="Times New Roman"/>
          <w:b/>
          <w:kern w:val="0"/>
          <w:sz w:val="28"/>
          <w:szCs w:val="28"/>
        </w:rPr>
        <w:t>软件参数:</w:t>
      </w:r>
    </w:p>
    <w:p w14:paraId="3D338110">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14:paraId="746D161C">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rPr>
        <w:t>系统自动对筛查、评估的每个阶段进行打分，并计算出整个过程的最终得分。</w:t>
      </w:r>
    </w:p>
    <w:p w14:paraId="03412582">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实时监测腹肌肌电信号，量化评估腹肌参与度，以百分比形式体现，提高报告精准度。</w:t>
      </w:r>
    </w:p>
    <w:p w14:paraId="3734B95C">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具有肌电频域分析功能，可以检测肌肉的疲劳情况，分析指标包括中值频率和平均功率频率，并给出趋势图报告。</w:t>
      </w:r>
    </w:p>
    <w:p w14:paraId="2CAFA253">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★具有盆底多通道评估功能，可以在盆底肌功能评估过程中，同时检测腹部肌肉、臀部肌肉和大腿内侧肌肉的参与情况，计算参与度的百分比，并给出评估报告。</w:t>
      </w:r>
    </w:p>
    <w:p w14:paraId="53CE8158">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具有盆底对称性评估功能，同时分别检测左右侧盆底肌的肌电值，评估其功能状态，分析两侧肌肉对称性是否异常，并给出评估报告。</w:t>
      </w:r>
    </w:p>
    <w:p w14:paraId="6C39D2F0">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可进行模拟咳嗽等腹压增加情况下的盆底肌控尿功能评估，</w:t>
      </w:r>
      <w:r>
        <w:rPr>
          <w:rFonts w:hint="eastAsia" w:ascii="微软雅黑" w:hAnsi="微软雅黑" w:eastAsia="微软雅黑" w:cs="微软雅黑"/>
          <w:kern w:val="0"/>
        </w:rPr>
        <w:t>并给出评估报告</w:t>
      </w:r>
      <w:r>
        <w:rPr>
          <w:rFonts w:hint="eastAsia" w:ascii="微软雅黑" w:hAnsi="微软雅黑" w:eastAsia="微软雅黑" w:cs="微软雅黑"/>
          <w:kern w:val="0"/>
          <w:szCs w:val="28"/>
        </w:rPr>
        <w:t>。</w:t>
      </w:r>
    </w:p>
    <w:p w14:paraId="78CED7D8">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具有性功能评估功能，通过模拟性生活过程中盆底肌的功能状态来分析患者的性功能障碍疾病，并给出评估报告。</w:t>
      </w:r>
    </w:p>
    <w:p w14:paraId="2337B687">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rPr>
        <w:t>具有腰背痛评估，采用表面肌电方法评估腰背部肌肉是否出现过度紧张，并给出评估报告，报告包括测量值、参考值、肌电图。</w:t>
      </w:r>
    </w:p>
    <w:p w14:paraId="07A668EA">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szCs w:val="28"/>
        </w:rPr>
        <w:t>★</w:t>
      </w:r>
      <w:r>
        <w:rPr>
          <w:rFonts w:hint="eastAsia" w:ascii="微软雅黑" w:hAnsi="微软雅黑" w:eastAsia="微软雅黑" w:cs="微软雅黑"/>
          <w:kern w:val="0"/>
        </w:rPr>
        <w:t>具有盆底肌张力检测功能，使用压力探头，给出盆底肌张力相关测试值、参考值、张力-体积曲线、张力-时间曲线、并给出报告。</w:t>
      </w:r>
    </w:p>
    <w:p w14:paraId="497A4927">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szCs w:val="28"/>
        </w:rPr>
        <w:t>双人盆底评估及治疗模式：可对两个患者同时进行盆底评估或盆底治疗，或一人治疗一人评估，互不干扰，显著提高临床效率。</w:t>
      </w:r>
    </w:p>
    <w:p w14:paraId="5458A3E0">
      <w:pPr>
        <w:numPr>
          <w:ilvl w:val="0"/>
          <w:numId w:val="1"/>
        </w:numPr>
        <w:jc w:val="left"/>
        <w:rPr>
          <w:rFonts w:ascii="微软雅黑" w:hAnsi="微软雅黑" w:eastAsia="微软雅黑" w:cs="微软雅黑"/>
          <w:kern w:val="0"/>
        </w:rPr>
      </w:pPr>
      <w:r>
        <w:rPr>
          <w:rFonts w:hint="eastAsia" w:ascii="微软雅黑" w:hAnsi="微软雅黑" w:eastAsia="微软雅黑" w:cs="微软雅黑"/>
          <w:kern w:val="0"/>
          <w:szCs w:val="28"/>
        </w:rPr>
        <w:t>★</w:t>
      </w:r>
      <w:r>
        <w:rPr>
          <w:rFonts w:hint="eastAsia" w:ascii="微软雅黑" w:hAnsi="微软雅黑" w:eastAsia="微软雅黑" w:cs="微软雅黑"/>
          <w:szCs w:val="28"/>
        </w:rPr>
        <w:t>系统支持自动生成磁电联合疗程化治疗方案，并实现与同品牌磁刺激类设备的实时数据同步共享。</w:t>
      </w:r>
    </w:p>
    <w:p w14:paraId="4C56ECC2">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多种治疗模式，包括神经肌肉电刺激、肌电触发电刺激、Kegel模板训练、         多媒体游戏训练。</w:t>
      </w:r>
    </w:p>
    <w:p w14:paraId="1629BF39">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具有循环电刺激功能，可进行外阴白斑、术后淋巴水肿、盆腔静脉淤血综合征等循环功能障碍和术后的康复治疗。</w:t>
      </w:r>
    </w:p>
    <w:p w14:paraId="41B626F0">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★具有智能阴道训练牵张功能，可根据个体化差异自动调节气囊体积，进行个性化训练。</w:t>
      </w:r>
    </w:p>
    <w:p w14:paraId="37C99C7E">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具有强大的方案自定义功能，可用于疗程化方案设置和单独方案设置。所有治疗模式可以自由组合，形成个性化治疗方案，单次治疗至少可设置8个治疗模式组合。</w:t>
      </w:r>
    </w:p>
    <w:p w14:paraId="0B9ABA77">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盆底治疗过程中可以对电刺激的强度、频率、脉宽、刺激时间、休息时间参数进行调节。</w:t>
      </w:r>
    </w:p>
    <w:p w14:paraId="05A7F86E">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单个电刺激治疗可设置变频模式，实现刺激过程中至少两种频率以及脉宽之间转换。</w:t>
      </w:r>
    </w:p>
    <w:p w14:paraId="65AB01CB">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肌电触发电刺激模式包括阈值上刺激和阈值下刺激，系统可根据肌肉收缩情况自动调整阈值。</w:t>
      </w:r>
    </w:p>
    <w:p w14:paraId="5C48FEA1">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Kegel训练可采用肌电值和MVC%（最大随意收缩力的百分比）两种模式。其中MVC%模式可根据患者的自身情况，调节模板训练的难度，有助于科学训练。</w:t>
      </w:r>
    </w:p>
    <w:p w14:paraId="61F6BBEC">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监测盆底肌电信号时，若腹肌肌电幅值高于阈值，则系统自动弹出提示标志，提醒患者减少腹部发力。</w:t>
      </w:r>
    </w:p>
    <w:p w14:paraId="2DA528C9">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触发电刺激、Kegel训练可查看训练记录，且Kegel训练可查看训练期间的盆底肌肌电图和腹肌肌电图。</w:t>
      </w:r>
    </w:p>
    <w:p w14:paraId="3B197822">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具有完整的专科病例记录系统，包括妇科检查、POP-Q测量、手检肌力、疼痛检查等专科检查及诊断结果、治疗建议。其中，诊断结果和治疗建议均可自定义添加内容选项。可打印集成POP-Q、手检肌力、腹直肌分离情况、疼痛检查情况、妇科检查情况、尿垫试验等内容的专科检查报告。</w:t>
      </w:r>
    </w:p>
    <w:p w14:paraId="0E49123C">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强大的数据管理功能，对工作量进行统计，还可对所有筛查、评估及治疗数据进行</w:t>
      </w:r>
      <w:r>
        <w:rPr>
          <w:rFonts w:ascii="微软雅黑" w:hAnsi="微软雅黑" w:eastAsia="微软雅黑" w:cs="微软雅黑"/>
          <w:kern w:val="0"/>
          <w:szCs w:val="28"/>
        </w:rPr>
        <w:t>统计分析，</w:t>
      </w:r>
      <w:r>
        <w:rPr>
          <w:rFonts w:hint="eastAsia" w:ascii="微软雅黑" w:hAnsi="微软雅黑" w:eastAsia="微软雅黑" w:cs="微软雅黑"/>
          <w:kern w:val="0"/>
          <w:szCs w:val="28"/>
        </w:rPr>
        <w:t>可以回顾数据结果、波形。</w:t>
      </w:r>
    </w:p>
    <w:p w14:paraId="0A91AA9F">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★系统可对多个筛查评估结果进行趋势分析，并自动绘制趋势分析折线图，显示不同阶段的结果。可自由选择需要分析的检测类型和不同时间段的盆底肌电报告。</w:t>
      </w:r>
    </w:p>
    <w:p w14:paraId="07D5DCA2">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rPr>
        <w:t>★系统支持扫码读取患者信息，标配扫描器，通过扫描器可识别患者在手机端填写的基本信息，实现扫码后读取所填写的全部信息并在设备中自动建立病患档案，其中信息至少包括姓名、电话、出生日期、身份证号、身高、体重、分娩史、分娩情况等，提高临床诊疗效率。</w:t>
      </w:r>
    </w:p>
    <w:p w14:paraId="0F339FB8">
      <w:pPr>
        <w:numPr>
          <w:ilvl w:val="0"/>
          <w:numId w:val="1"/>
        </w:numPr>
        <w:jc w:val="left"/>
        <w:rPr>
          <w:rFonts w:ascii="微软雅黑" w:hAnsi="微软雅黑" w:eastAsia="微软雅黑" w:cs="微软雅黑"/>
          <w:kern w:val="0"/>
          <w:szCs w:val="28"/>
        </w:rPr>
      </w:pPr>
      <w:r>
        <w:rPr>
          <w:rFonts w:hint="eastAsia" w:ascii="微软雅黑" w:hAnsi="微软雅黑" w:eastAsia="微软雅黑" w:cs="微软雅黑"/>
          <w:kern w:val="0"/>
          <w:szCs w:val="28"/>
          <w:lang w:eastAsia="zh-CN"/>
        </w:rPr>
        <w:t>配置两张治疗床，</w:t>
      </w:r>
      <w:r>
        <w:rPr>
          <w:rFonts w:hint="eastAsia" w:ascii="微软雅黑" w:hAnsi="微软雅黑" w:eastAsia="微软雅黑" w:cs="微软雅黑"/>
          <w:kern w:val="0"/>
          <w:szCs w:val="28"/>
          <w:lang w:val="en-US" w:eastAsia="zh-CN"/>
        </w:rPr>
        <w:t>4把治疗椅。</w:t>
      </w:r>
    </w:p>
    <w:p w14:paraId="2F157BAC">
      <w:pPr>
        <w:jc w:val="left"/>
        <w:rPr>
          <w:rFonts w:ascii="微软雅黑" w:hAnsi="微软雅黑" w:eastAsia="微软雅黑" w:cs="微软雅黑"/>
          <w:kern w:val="0"/>
          <w:szCs w:val="28"/>
        </w:rPr>
      </w:pPr>
    </w:p>
    <w:p w14:paraId="0EF982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0CE48"/>
    <w:multiLevelType w:val="singleLevel"/>
    <w:tmpl w:val="32B0CE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ZTU0YzIxMzc4OGVkNDJhOTM3MDYxYjU0ZGU2NTIifQ=="/>
  </w:docVars>
  <w:rsids>
    <w:rsidRoot w:val="00A36442"/>
    <w:rsid w:val="00925B65"/>
    <w:rsid w:val="00A36442"/>
    <w:rsid w:val="00B5736A"/>
    <w:rsid w:val="012448B6"/>
    <w:rsid w:val="015F005F"/>
    <w:rsid w:val="03F3080D"/>
    <w:rsid w:val="082E026D"/>
    <w:rsid w:val="09E57B43"/>
    <w:rsid w:val="0A2E4092"/>
    <w:rsid w:val="0B333BEA"/>
    <w:rsid w:val="0E641606"/>
    <w:rsid w:val="0FE8454B"/>
    <w:rsid w:val="11A06E32"/>
    <w:rsid w:val="12340CBF"/>
    <w:rsid w:val="13833DDD"/>
    <w:rsid w:val="16166C8E"/>
    <w:rsid w:val="18A64A7E"/>
    <w:rsid w:val="198524E4"/>
    <w:rsid w:val="1BDBDD47"/>
    <w:rsid w:val="1CD334BE"/>
    <w:rsid w:val="245A6611"/>
    <w:rsid w:val="26A52337"/>
    <w:rsid w:val="27DA7C41"/>
    <w:rsid w:val="28511BF3"/>
    <w:rsid w:val="293174DB"/>
    <w:rsid w:val="2E300C9F"/>
    <w:rsid w:val="30275FF9"/>
    <w:rsid w:val="30586A11"/>
    <w:rsid w:val="339D6573"/>
    <w:rsid w:val="35474782"/>
    <w:rsid w:val="37954057"/>
    <w:rsid w:val="37F503C9"/>
    <w:rsid w:val="38266BE8"/>
    <w:rsid w:val="40E53E96"/>
    <w:rsid w:val="432822E0"/>
    <w:rsid w:val="44B30262"/>
    <w:rsid w:val="463B22BD"/>
    <w:rsid w:val="488336CF"/>
    <w:rsid w:val="49A451F1"/>
    <w:rsid w:val="4C900220"/>
    <w:rsid w:val="4E1F131D"/>
    <w:rsid w:val="4E351509"/>
    <w:rsid w:val="4E414954"/>
    <w:rsid w:val="4E58560A"/>
    <w:rsid w:val="4EEC21B7"/>
    <w:rsid w:val="52D8469B"/>
    <w:rsid w:val="579F6994"/>
    <w:rsid w:val="588D5E1B"/>
    <w:rsid w:val="59730556"/>
    <w:rsid w:val="59FC446B"/>
    <w:rsid w:val="5A840CC9"/>
    <w:rsid w:val="5B775AAC"/>
    <w:rsid w:val="5E050154"/>
    <w:rsid w:val="60B42091"/>
    <w:rsid w:val="64A06A8A"/>
    <w:rsid w:val="65B14B44"/>
    <w:rsid w:val="66D0517B"/>
    <w:rsid w:val="6A890D0B"/>
    <w:rsid w:val="6C84706E"/>
    <w:rsid w:val="6CC83120"/>
    <w:rsid w:val="6D0C2620"/>
    <w:rsid w:val="6F372732"/>
    <w:rsid w:val="71175BF3"/>
    <w:rsid w:val="735E3F08"/>
    <w:rsid w:val="77DD1CDB"/>
    <w:rsid w:val="79A11E5C"/>
    <w:rsid w:val="7D032447"/>
    <w:rsid w:val="7ED22AB7"/>
    <w:rsid w:val="7EE8052D"/>
    <w:rsid w:val="A5FB16B7"/>
    <w:rsid w:val="BD7EEB55"/>
    <w:rsid w:val="EFFFD2D4"/>
    <w:rsid w:val="F4EB901E"/>
    <w:rsid w:val="FF714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1883</Words>
  <Characters>1987</Characters>
  <Lines>14</Lines>
  <Paragraphs>4</Paragraphs>
  <TotalTime>1</TotalTime>
  <ScaleCrop>false</ScaleCrop>
  <LinksUpToDate>false</LinksUpToDate>
  <CharactersWithSpaces>1998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cp:lastModifiedBy>
  <dcterms:modified xsi:type="dcterms:W3CDTF">2025-06-26T11:47:47Z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361E8A41B49C4DC8B0B9B4B89C21ADF2</vt:lpwstr>
  </property>
  <property fmtid="{D5CDD505-2E9C-101B-9397-08002B2CF9AE}" pid="4" name="KSOTemplateDocerSaveRecord">
    <vt:lpwstr>eyJoZGlkIjoiYTdiY2YyNTdiMjM3NTEwNjljYzNhMzI2Mjc0MWUzYjIiLCJ1c2VySWQiOiI0NDM2NTcxODEifQ==</vt:lpwstr>
  </property>
</Properties>
</file>