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7C703">
      <w:pPr>
        <w:jc w:val="center"/>
        <w:rPr>
          <w:sz w:val="44"/>
          <w:szCs w:val="48"/>
        </w:rPr>
      </w:pPr>
      <w:r>
        <w:rPr>
          <w:rFonts w:hint="eastAsia"/>
          <w:b/>
          <w:bCs/>
          <w:sz w:val="44"/>
          <w:szCs w:val="48"/>
        </w:rPr>
        <w:t>叶城县末级渠系水尺及设备采购安装项目</w:t>
      </w:r>
    </w:p>
    <w:p w14:paraId="61A95200">
      <w:pPr>
        <w:rPr>
          <w:b/>
          <w:bCs/>
        </w:rPr>
      </w:pPr>
    </w:p>
    <w:p w14:paraId="326B6131">
      <w:pPr>
        <w:jc w:val="center"/>
        <w:rPr>
          <w:b/>
          <w:bCs/>
          <w:sz w:val="44"/>
          <w:szCs w:val="48"/>
        </w:rPr>
      </w:pPr>
      <w:r>
        <w:rPr>
          <w:rFonts w:hint="eastAsia"/>
          <w:b/>
          <w:bCs/>
          <w:sz w:val="44"/>
          <w:szCs w:val="48"/>
        </w:rPr>
        <w:t>实施方案</w:t>
      </w:r>
    </w:p>
    <w:p w14:paraId="2DFAC3BF">
      <w:pPr>
        <w:jc w:val="center"/>
        <w:rPr>
          <w:b/>
          <w:bCs/>
          <w:sz w:val="44"/>
          <w:szCs w:val="48"/>
        </w:rPr>
      </w:pPr>
    </w:p>
    <w:p w14:paraId="7ACCFA58">
      <w:pPr>
        <w:jc w:val="center"/>
        <w:rPr>
          <w:b/>
          <w:bCs/>
          <w:sz w:val="44"/>
          <w:szCs w:val="48"/>
        </w:rPr>
      </w:pPr>
    </w:p>
    <w:p w14:paraId="2FA3DB42">
      <w:pPr>
        <w:jc w:val="center"/>
        <w:rPr>
          <w:b/>
          <w:bCs/>
          <w:sz w:val="44"/>
          <w:szCs w:val="48"/>
        </w:rPr>
      </w:pPr>
    </w:p>
    <w:p w14:paraId="23182BCE">
      <w:pPr>
        <w:jc w:val="center"/>
        <w:rPr>
          <w:b/>
          <w:bCs/>
          <w:sz w:val="44"/>
          <w:szCs w:val="48"/>
        </w:rPr>
      </w:pPr>
    </w:p>
    <w:p w14:paraId="0043239C">
      <w:pPr>
        <w:jc w:val="center"/>
        <w:rPr>
          <w:b/>
          <w:bCs/>
          <w:sz w:val="44"/>
          <w:szCs w:val="48"/>
        </w:rPr>
      </w:pPr>
    </w:p>
    <w:p w14:paraId="675736A5">
      <w:pPr>
        <w:jc w:val="center"/>
        <w:rPr>
          <w:b/>
          <w:bCs/>
          <w:sz w:val="40"/>
          <w:szCs w:val="44"/>
        </w:rPr>
      </w:pPr>
    </w:p>
    <w:p w14:paraId="70108467">
      <w:pPr>
        <w:jc w:val="center"/>
        <w:rPr>
          <w:b/>
          <w:bCs/>
          <w:sz w:val="40"/>
          <w:szCs w:val="44"/>
        </w:rPr>
      </w:pPr>
      <w:r>
        <w:rPr>
          <w:rFonts w:hint="eastAsia"/>
          <w:b/>
          <w:bCs/>
          <w:sz w:val="40"/>
          <w:szCs w:val="44"/>
        </w:rPr>
        <w:t>叶城县水管总站</w:t>
      </w:r>
    </w:p>
    <w:p w14:paraId="0D21FEF5">
      <w:pPr>
        <w:jc w:val="center"/>
        <w:rPr>
          <w:b/>
          <w:bCs/>
          <w:sz w:val="40"/>
          <w:szCs w:val="44"/>
        </w:rPr>
      </w:pPr>
    </w:p>
    <w:p w14:paraId="05058BD7">
      <w:pPr>
        <w:jc w:val="center"/>
        <w:rPr>
          <w:b/>
          <w:bCs/>
          <w:sz w:val="40"/>
          <w:szCs w:val="44"/>
        </w:rPr>
      </w:pPr>
      <w:r>
        <w:rPr>
          <w:b/>
          <w:bCs/>
          <w:sz w:val="40"/>
          <w:szCs w:val="44"/>
        </w:rPr>
        <w:t>2024年</w:t>
      </w:r>
      <w:r>
        <w:rPr>
          <w:rFonts w:hint="eastAsia"/>
          <w:b/>
          <w:bCs/>
          <w:sz w:val="40"/>
          <w:szCs w:val="44"/>
          <w:lang w:val="en-US" w:eastAsia="zh-CN"/>
        </w:rPr>
        <w:t>8</w:t>
      </w:r>
      <w:r>
        <w:rPr>
          <w:b/>
          <w:bCs/>
          <w:sz w:val="40"/>
          <w:szCs w:val="44"/>
        </w:rPr>
        <w:t>月1日</w:t>
      </w:r>
    </w:p>
    <w:p w14:paraId="46FA4E86">
      <w:pPr>
        <w:jc w:val="center"/>
        <w:rPr>
          <w:b/>
          <w:bCs/>
          <w:sz w:val="40"/>
          <w:szCs w:val="44"/>
        </w:rPr>
      </w:pPr>
    </w:p>
    <w:p w14:paraId="01E89A6A">
      <w:pPr>
        <w:jc w:val="center"/>
        <w:rPr>
          <w:rFonts w:hint="eastAsia"/>
          <w:b/>
          <w:bCs/>
          <w:sz w:val="40"/>
          <w:szCs w:val="44"/>
        </w:rPr>
      </w:pPr>
    </w:p>
    <w:sdt>
      <w:sdtPr>
        <w:rPr>
          <w:lang w:val="zh-CN"/>
        </w:rPr>
        <w:id w:val="-1370988145"/>
        <w:docPartObj>
          <w:docPartGallery w:val="Table of Contents"/>
          <w:docPartUnique/>
        </w:docPartObj>
      </w:sdtPr>
      <w:sdtEndPr>
        <w:rPr>
          <w:rFonts w:asciiTheme="minorHAnsi" w:hAnsiTheme="minorHAnsi" w:eastAsiaTheme="minorEastAsia" w:cstheme="minorBidi"/>
          <w:b/>
          <w:bCs/>
          <w:color w:val="auto"/>
          <w:kern w:val="2"/>
          <w:sz w:val="22"/>
          <w:szCs w:val="24"/>
          <w:lang w:val="zh-CN"/>
          <w14:ligatures w14:val="standardContextual"/>
        </w:rPr>
      </w:sdtEndPr>
      <w:sdtContent>
        <w:p w14:paraId="6AA97DF5">
          <w:pPr>
            <w:pStyle w:val="16"/>
            <w:jc w:val="center"/>
          </w:pPr>
          <w:r>
            <w:rPr>
              <w:lang w:val="zh-CN"/>
            </w:rPr>
            <w:t>目录</w:t>
          </w:r>
        </w:p>
        <w:p w14:paraId="520F2A70">
          <w:pPr>
            <w:pStyle w:val="8"/>
            <w:tabs>
              <w:tab w:val="right" w:leader="dot" w:pos="8296"/>
            </w:tabs>
            <w:rPr>
              <w:rFonts w:cstheme="minorBidi"/>
              <w:kern w:val="2"/>
              <w:sz w:val="21"/>
              <w14:ligatures w14:val="standardContextual"/>
            </w:rPr>
          </w:pPr>
          <w:r>
            <w:fldChar w:fldCharType="begin"/>
          </w:r>
          <w:r>
            <w:instrText xml:space="preserve"> TOC \o "1-3" \h \z \u </w:instrText>
          </w:r>
          <w:r>
            <w:fldChar w:fldCharType="separate"/>
          </w:r>
          <w:r>
            <w:fldChar w:fldCharType="begin"/>
          </w:r>
          <w:r>
            <w:instrText xml:space="preserve"> HYPERLINK \l "_Toc179900076" </w:instrText>
          </w:r>
          <w:r>
            <w:fldChar w:fldCharType="separate"/>
          </w:r>
          <w:r>
            <w:rPr>
              <w:rStyle w:val="12"/>
            </w:rPr>
            <w:t>1 概述</w:t>
          </w:r>
          <w:r>
            <w:tab/>
          </w:r>
          <w:r>
            <w:fldChar w:fldCharType="begin"/>
          </w:r>
          <w:r>
            <w:instrText xml:space="preserve"> PAGEREF _Toc179900076 \h </w:instrText>
          </w:r>
          <w:r>
            <w:fldChar w:fldCharType="separate"/>
          </w:r>
          <w:r>
            <w:t>4</w:t>
          </w:r>
          <w:r>
            <w:fldChar w:fldCharType="end"/>
          </w:r>
          <w:r>
            <w:fldChar w:fldCharType="end"/>
          </w:r>
        </w:p>
        <w:p w14:paraId="174673CC">
          <w:pPr>
            <w:pStyle w:val="9"/>
            <w:tabs>
              <w:tab w:val="right" w:leader="dot" w:pos="8296"/>
            </w:tabs>
            <w:rPr>
              <w:rFonts w:cstheme="minorBidi"/>
              <w:kern w:val="2"/>
              <w:sz w:val="21"/>
              <w14:ligatures w14:val="standardContextual"/>
            </w:rPr>
          </w:pPr>
          <w:r>
            <w:fldChar w:fldCharType="begin"/>
          </w:r>
          <w:r>
            <w:instrText xml:space="preserve"> HYPERLINK \l "_Toc179900077" </w:instrText>
          </w:r>
          <w:r>
            <w:fldChar w:fldCharType="separate"/>
          </w:r>
          <w:r>
            <w:rPr>
              <w:rStyle w:val="12"/>
            </w:rPr>
            <w:t>1.1 项目概述</w:t>
          </w:r>
          <w:r>
            <w:tab/>
          </w:r>
          <w:r>
            <w:fldChar w:fldCharType="begin"/>
          </w:r>
          <w:r>
            <w:instrText xml:space="preserve"> PAGEREF _Toc179900077 \h </w:instrText>
          </w:r>
          <w:r>
            <w:fldChar w:fldCharType="separate"/>
          </w:r>
          <w:r>
            <w:t>4</w:t>
          </w:r>
          <w:r>
            <w:fldChar w:fldCharType="end"/>
          </w:r>
          <w:r>
            <w:fldChar w:fldCharType="end"/>
          </w:r>
        </w:p>
        <w:p w14:paraId="514CAEAE">
          <w:pPr>
            <w:pStyle w:val="6"/>
            <w:tabs>
              <w:tab w:val="right" w:leader="dot" w:pos="8296"/>
            </w:tabs>
            <w:rPr>
              <w:rFonts w:cstheme="minorBidi"/>
              <w:kern w:val="2"/>
              <w:sz w:val="21"/>
              <w14:ligatures w14:val="standardContextual"/>
            </w:rPr>
          </w:pPr>
          <w:r>
            <w:fldChar w:fldCharType="begin"/>
          </w:r>
          <w:r>
            <w:instrText xml:space="preserve"> HYPERLINK \l "_Toc179900078" </w:instrText>
          </w:r>
          <w:r>
            <w:fldChar w:fldCharType="separate"/>
          </w:r>
          <w:r>
            <w:rPr>
              <w:rStyle w:val="12"/>
            </w:rPr>
            <w:t>1.1.1 项目名称</w:t>
          </w:r>
          <w:r>
            <w:tab/>
          </w:r>
          <w:r>
            <w:fldChar w:fldCharType="begin"/>
          </w:r>
          <w:r>
            <w:instrText xml:space="preserve"> PAGEREF _Toc179900078 \h </w:instrText>
          </w:r>
          <w:r>
            <w:fldChar w:fldCharType="separate"/>
          </w:r>
          <w:r>
            <w:t>4</w:t>
          </w:r>
          <w:r>
            <w:fldChar w:fldCharType="end"/>
          </w:r>
          <w:r>
            <w:fldChar w:fldCharType="end"/>
          </w:r>
        </w:p>
        <w:p w14:paraId="6AB630E2">
          <w:pPr>
            <w:pStyle w:val="6"/>
            <w:tabs>
              <w:tab w:val="right" w:leader="dot" w:pos="8296"/>
            </w:tabs>
            <w:rPr>
              <w:rFonts w:cstheme="minorBidi"/>
              <w:kern w:val="2"/>
              <w:sz w:val="21"/>
              <w14:ligatures w14:val="standardContextual"/>
            </w:rPr>
          </w:pPr>
          <w:r>
            <w:fldChar w:fldCharType="begin"/>
          </w:r>
          <w:r>
            <w:instrText xml:space="preserve"> HYPERLINK \l "_Toc179900079" </w:instrText>
          </w:r>
          <w:r>
            <w:fldChar w:fldCharType="separate"/>
          </w:r>
          <w:r>
            <w:rPr>
              <w:rStyle w:val="12"/>
            </w:rPr>
            <w:t>1.1.2 项目主管单位</w:t>
          </w:r>
          <w:r>
            <w:tab/>
          </w:r>
          <w:r>
            <w:fldChar w:fldCharType="begin"/>
          </w:r>
          <w:r>
            <w:instrText xml:space="preserve"> PAGEREF _Toc179900079 \h </w:instrText>
          </w:r>
          <w:r>
            <w:fldChar w:fldCharType="separate"/>
          </w:r>
          <w:r>
            <w:t>4</w:t>
          </w:r>
          <w:r>
            <w:fldChar w:fldCharType="end"/>
          </w:r>
          <w:r>
            <w:fldChar w:fldCharType="end"/>
          </w:r>
        </w:p>
        <w:p w14:paraId="727ACBCE">
          <w:pPr>
            <w:pStyle w:val="6"/>
            <w:tabs>
              <w:tab w:val="right" w:leader="dot" w:pos="8296"/>
            </w:tabs>
            <w:rPr>
              <w:rFonts w:cstheme="minorBidi"/>
              <w:kern w:val="2"/>
              <w:sz w:val="21"/>
              <w14:ligatures w14:val="standardContextual"/>
            </w:rPr>
          </w:pPr>
          <w:r>
            <w:fldChar w:fldCharType="begin"/>
          </w:r>
          <w:r>
            <w:instrText xml:space="preserve"> HYPERLINK \l "_Toc179900080" </w:instrText>
          </w:r>
          <w:r>
            <w:fldChar w:fldCharType="separate"/>
          </w:r>
          <w:r>
            <w:rPr>
              <w:rStyle w:val="12"/>
            </w:rPr>
            <w:t>1.1.3 项目建设地点</w:t>
          </w:r>
          <w:r>
            <w:tab/>
          </w:r>
          <w:r>
            <w:fldChar w:fldCharType="begin"/>
          </w:r>
          <w:r>
            <w:instrText xml:space="preserve"> PAGEREF _Toc179900080 \h </w:instrText>
          </w:r>
          <w:r>
            <w:fldChar w:fldCharType="separate"/>
          </w:r>
          <w:r>
            <w:t>4</w:t>
          </w:r>
          <w:r>
            <w:fldChar w:fldCharType="end"/>
          </w:r>
          <w:r>
            <w:fldChar w:fldCharType="end"/>
          </w:r>
        </w:p>
        <w:p w14:paraId="3BDF3859">
          <w:pPr>
            <w:pStyle w:val="6"/>
            <w:tabs>
              <w:tab w:val="right" w:leader="dot" w:pos="8296"/>
            </w:tabs>
            <w:rPr>
              <w:rFonts w:cstheme="minorBidi"/>
              <w:kern w:val="2"/>
              <w:sz w:val="21"/>
              <w14:ligatures w14:val="standardContextual"/>
            </w:rPr>
          </w:pPr>
          <w:r>
            <w:fldChar w:fldCharType="begin"/>
          </w:r>
          <w:r>
            <w:instrText xml:space="preserve"> HYPERLINK \l "_Toc179900081" </w:instrText>
          </w:r>
          <w:r>
            <w:fldChar w:fldCharType="separate"/>
          </w:r>
          <w:r>
            <w:rPr>
              <w:rStyle w:val="12"/>
            </w:rPr>
            <w:t>1.1.4 项目建设期</w:t>
          </w:r>
          <w:r>
            <w:tab/>
          </w:r>
          <w:r>
            <w:fldChar w:fldCharType="begin"/>
          </w:r>
          <w:r>
            <w:instrText xml:space="preserve"> PAGEREF _Toc179900081 \h </w:instrText>
          </w:r>
          <w:r>
            <w:fldChar w:fldCharType="separate"/>
          </w:r>
          <w:r>
            <w:t>4</w:t>
          </w:r>
          <w:r>
            <w:fldChar w:fldCharType="end"/>
          </w:r>
          <w:r>
            <w:fldChar w:fldCharType="end"/>
          </w:r>
        </w:p>
        <w:p w14:paraId="64D9FDE0">
          <w:pPr>
            <w:pStyle w:val="6"/>
            <w:tabs>
              <w:tab w:val="right" w:leader="dot" w:pos="8296"/>
            </w:tabs>
            <w:rPr>
              <w:rFonts w:cstheme="minorBidi"/>
              <w:kern w:val="2"/>
              <w:sz w:val="21"/>
              <w14:ligatures w14:val="standardContextual"/>
            </w:rPr>
          </w:pPr>
          <w:r>
            <w:fldChar w:fldCharType="begin"/>
          </w:r>
          <w:r>
            <w:instrText xml:space="preserve"> HYPERLINK \l "_Toc179900082" </w:instrText>
          </w:r>
          <w:r>
            <w:fldChar w:fldCharType="separate"/>
          </w:r>
          <w:r>
            <w:rPr>
              <w:rStyle w:val="12"/>
            </w:rPr>
            <w:t>1.1.5 项目建设性质</w:t>
          </w:r>
          <w:r>
            <w:tab/>
          </w:r>
          <w:r>
            <w:fldChar w:fldCharType="begin"/>
          </w:r>
          <w:r>
            <w:instrText xml:space="preserve"> PAGEREF _Toc179900082 \h </w:instrText>
          </w:r>
          <w:r>
            <w:fldChar w:fldCharType="separate"/>
          </w:r>
          <w:r>
            <w:t>5</w:t>
          </w:r>
          <w:r>
            <w:fldChar w:fldCharType="end"/>
          </w:r>
          <w:r>
            <w:fldChar w:fldCharType="end"/>
          </w:r>
        </w:p>
        <w:p w14:paraId="3A095C9D">
          <w:pPr>
            <w:pStyle w:val="6"/>
            <w:tabs>
              <w:tab w:val="right" w:leader="dot" w:pos="8296"/>
            </w:tabs>
            <w:rPr>
              <w:rFonts w:cstheme="minorBidi"/>
              <w:kern w:val="2"/>
              <w:sz w:val="21"/>
              <w14:ligatures w14:val="standardContextual"/>
            </w:rPr>
          </w:pPr>
          <w:r>
            <w:fldChar w:fldCharType="begin"/>
          </w:r>
          <w:r>
            <w:instrText xml:space="preserve"> HYPERLINK \l "_Toc179900083" </w:instrText>
          </w:r>
          <w:r>
            <w:fldChar w:fldCharType="separate"/>
          </w:r>
          <w:r>
            <w:rPr>
              <w:rStyle w:val="12"/>
            </w:rPr>
            <w:t>1.1.6 项目建设规模及内容</w:t>
          </w:r>
          <w:r>
            <w:tab/>
          </w:r>
          <w:r>
            <w:fldChar w:fldCharType="begin"/>
          </w:r>
          <w:r>
            <w:instrText xml:space="preserve"> PAGEREF _Toc179900083 \h </w:instrText>
          </w:r>
          <w:r>
            <w:fldChar w:fldCharType="separate"/>
          </w:r>
          <w:r>
            <w:t>5</w:t>
          </w:r>
          <w:r>
            <w:fldChar w:fldCharType="end"/>
          </w:r>
          <w:r>
            <w:fldChar w:fldCharType="end"/>
          </w:r>
        </w:p>
        <w:p w14:paraId="0ABAD3FB">
          <w:pPr>
            <w:pStyle w:val="6"/>
            <w:tabs>
              <w:tab w:val="right" w:leader="dot" w:pos="8296"/>
            </w:tabs>
            <w:rPr>
              <w:rFonts w:cstheme="minorBidi"/>
              <w:kern w:val="2"/>
              <w:sz w:val="21"/>
              <w14:ligatures w14:val="standardContextual"/>
            </w:rPr>
          </w:pPr>
          <w:r>
            <w:fldChar w:fldCharType="begin"/>
          </w:r>
          <w:r>
            <w:instrText xml:space="preserve"> HYPERLINK \l "_Toc179900084" </w:instrText>
          </w:r>
          <w:r>
            <w:fldChar w:fldCharType="separate"/>
          </w:r>
          <w:r>
            <w:rPr>
              <w:rStyle w:val="12"/>
            </w:rPr>
            <w:t>1.1.7 项目投资及资金来源</w:t>
          </w:r>
          <w:r>
            <w:tab/>
          </w:r>
          <w:r>
            <w:fldChar w:fldCharType="begin"/>
          </w:r>
          <w:r>
            <w:instrText xml:space="preserve"> PAGEREF _Toc179900084 \h </w:instrText>
          </w:r>
          <w:r>
            <w:fldChar w:fldCharType="separate"/>
          </w:r>
          <w:r>
            <w:t>5</w:t>
          </w:r>
          <w:r>
            <w:fldChar w:fldCharType="end"/>
          </w:r>
          <w:r>
            <w:fldChar w:fldCharType="end"/>
          </w:r>
        </w:p>
        <w:p w14:paraId="6715FD3A">
          <w:pPr>
            <w:pStyle w:val="9"/>
            <w:tabs>
              <w:tab w:val="right" w:leader="dot" w:pos="8296"/>
            </w:tabs>
            <w:rPr>
              <w:rFonts w:cstheme="minorBidi"/>
              <w:kern w:val="2"/>
              <w:sz w:val="21"/>
              <w14:ligatures w14:val="standardContextual"/>
            </w:rPr>
          </w:pPr>
          <w:r>
            <w:fldChar w:fldCharType="begin"/>
          </w:r>
          <w:r>
            <w:instrText xml:space="preserve"> HYPERLINK \l "_Toc179900085" </w:instrText>
          </w:r>
          <w:r>
            <w:fldChar w:fldCharType="separate"/>
          </w:r>
          <w:r>
            <w:rPr>
              <w:rStyle w:val="12"/>
            </w:rPr>
            <w:t>1.2 编制依据</w:t>
          </w:r>
          <w:r>
            <w:tab/>
          </w:r>
          <w:r>
            <w:fldChar w:fldCharType="begin"/>
          </w:r>
          <w:r>
            <w:instrText xml:space="preserve"> PAGEREF _Toc179900085 \h </w:instrText>
          </w:r>
          <w:r>
            <w:fldChar w:fldCharType="separate"/>
          </w:r>
          <w:r>
            <w:t>5</w:t>
          </w:r>
          <w:r>
            <w:fldChar w:fldCharType="end"/>
          </w:r>
          <w:r>
            <w:fldChar w:fldCharType="end"/>
          </w:r>
        </w:p>
        <w:p w14:paraId="1D161B09">
          <w:pPr>
            <w:pStyle w:val="8"/>
            <w:tabs>
              <w:tab w:val="right" w:leader="dot" w:pos="8296"/>
            </w:tabs>
            <w:rPr>
              <w:rFonts w:cstheme="minorBidi"/>
              <w:kern w:val="2"/>
              <w:sz w:val="21"/>
              <w14:ligatures w14:val="standardContextual"/>
            </w:rPr>
          </w:pPr>
          <w:r>
            <w:fldChar w:fldCharType="begin"/>
          </w:r>
          <w:r>
            <w:instrText xml:space="preserve"> HYPERLINK \l "_Toc179900086" </w:instrText>
          </w:r>
          <w:r>
            <w:fldChar w:fldCharType="separate"/>
          </w:r>
          <w:r>
            <w:rPr>
              <w:rStyle w:val="12"/>
            </w:rPr>
            <w:t>2 综合说明</w:t>
          </w:r>
          <w:r>
            <w:tab/>
          </w:r>
          <w:r>
            <w:fldChar w:fldCharType="begin"/>
          </w:r>
          <w:r>
            <w:instrText xml:space="preserve"> PAGEREF _Toc179900086 \h </w:instrText>
          </w:r>
          <w:r>
            <w:fldChar w:fldCharType="separate"/>
          </w:r>
          <w:r>
            <w:t>6</w:t>
          </w:r>
          <w:r>
            <w:fldChar w:fldCharType="end"/>
          </w:r>
          <w:r>
            <w:fldChar w:fldCharType="end"/>
          </w:r>
        </w:p>
        <w:p w14:paraId="171472EE">
          <w:pPr>
            <w:pStyle w:val="9"/>
            <w:tabs>
              <w:tab w:val="right" w:leader="dot" w:pos="8296"/>
            </w:tabs>
            <w:rPr>
              <w:rFonts w:cstheme="minorBidi"/>
              <w:kern w:val="2"/>
              <w:sz w:val="21"/>
              <w14:ligatures w14:val="standardContextual"/>
            </w:rPr>
          </w:pPr>
          <w:r>
            <w:fldChar w:fldCharType="begin"/>
          </w:r>
          <w:r>
            <w:instrText xml:space="preserve"> HYPERLINK \l "_Toc179900087" </w:instrText>
          </w:r>
          <w:r>
            <w:fldChar w:fldCharType="separate"/>
          </w:r>
          <w:r>
            <w:rPr>
              <w:rStyle w:val="12"/>
            </w:rPr>
            <w:t>2.1 绪言</w:t>
          </w:r>
          <w:r>
            <w:tab/>
          </w:r>
          <w:r>
            <w:fldChar w:fldCharType="begin"/>
          </w:r>
          <w:r>
            <w:instrText xml:space="preserve"> PAGEREF _Toc179900087 \h </w:instrText>
          </w:r>
          <w:r>
            <w:fldChar w:fldCharType="separate"/>
          </w:r>
          <w:r>
            <w:t>6</w:t>
          </w:r>
          <w:r>
            <w:fldChar w:fldCharType="end"/>
          </w:r>
          <w:r>
            <w:fldChar w:fldCharType="end"/>
          </w:r>
        </w:p>
        <w:p w14:paraId="7626C120">
          <w:pPr>
            <w:pStyle w:val="6"/>
            <w:tabs>
              <w:tab w:val="right" w:leader="dot" w:pos="8296"/>
            </w:tabs>
            <w:rPr>
              <w:rFonts w:cstheme="minorBidi"/>
              <w:kern w:val="2"/>
              <w:sz w:val="21"/>
              <w14:ligatures w14:val="standardContextual"/>
            </w:rPr>
          </w:pPr>
          <w:r>
            <w:fldChar w:fldCharType="begin"/>
          </w:r>
          <w:r>
            <w:instrText xml:space="preserve"> HYPERLINK \l "_Toc179900088" </w:instrText>
          </w:r>
          <w:r>
            <w:fldChar w:fldCharType="separate"/>
          </w:r>
          <w:r>
            <w:rPr>
              <w:rStyle w:val="12"/>
            </w:rPr>
            <w:t>2.1.1 项目区基本情况</w:t>
          </w:r>
          <w:r>
            <w:tab/>
          </w:r>
          <w:r>
            <w:fldChar w:fldCharType="begin"/>
          </w:r>
          <w:r>
            <w:instrText xml:space="preserve"> PAGEREF _Toc179900088 \h </w:instrText>
          </w:r>
          <w:r>
            <w:fldChar w:fldCharType="separate"/>
          </w:r>
          <w:r>
            <w:t>7</w:t>
          </w:r>
          <w:r>
            <w:fldChar w:fldCharType="end"/>
          </w:r>
          <w:r>
            <w:fldChar w:fldCharType="end"/>
          </w:r>
        </w:p>
        <w:p w14:paraId="4DB756DE">
          <w:pPr>
            <w:pStyle w:val="9"/>
            <w:tabs>
              <w:tab w:val="right" w:leader="dot" w:pos="8296"/>
            </w:tabs>
            <w:rPr>
              <w:rFonts w:cstheme="minorBidi"/>
              <w:kern w:val="2"/>
              <w:sz w:val="21"/>
              <w14:ligatures w14:val="standardContextual"/>
            </w:rPr>
          </w:pPr>
          <w:r>
            <w:fldChar w:fldCharType="begin"/>
          </w:r>
          <w:r>
            <w:instrText xml:space="preserve"> HYPERLINK \l "_Toc179900089" </w:instrText>
          </w:r>
          <w:r>
            <w:fldChar w:fldCharType="separate"/>
          </w:r>
          <w:r>
            <w:rPr>
              <w:rStyle w:val="12"/>
            </w:rPr>
            <w:t>2.2 水文</w:t>
          </w:r>
          <w:r>
            <w:tab/>
          </w:r>
          <w:r>
            <w:fldChar w:fldCharType="begin"/>
          </w:r>
          <w:r>
            <w:instrText xml:space="preserve"> PAGEREF _Toc179900089 \h </w:instrText>
          </w:r>
          <w:r>
            <w:fldChar w:fldCharType="separate"/>
          </w:r>
          <w:r>
            <w:t>11</w:t>
          </w:r>
          <w:r>
            <w:fldChar w:fldCharType="end"/>
          </w:r>
          <w:r>
            <w:fldChar w:fldCharType="end"/>
          </w:r>
        </w:p>
        <w:p w14:paraId="1AC0151A">
          <w:pPr>
            <w:pStyle w:val="6"/>
            <w:tabs>
              <w:tab w:val="right" w:leader="dot" w:pos="8296"/>
            </w:tabs>
            <w:rPr>
              <w:rFonts w:cstheme="minorBidi"/>
              <w:kern w:val="2"/>
              <w:sz w:val="21"/>
              <w14:ligatures w14:val="standardContextual"/>
            </w:rPr>
          </w:pPr>
          <w:r>
            <w:fldChar w:fldCharType="begin"/>
          </w:r>
          <w:r>
            <w:instrText xml:space="preserve"> HYPERLINK \l "_Toc179900090" </w:instrText>
          </w:r>
          <w:r>
            <w:fldChar w:fldCharType="separate"/>
          </w:r>
          <w:r>
            <w:rPr>
              <w:rStyle w:val="12"/>
            </w:rPr>
            <w:t>2.2.1 水文</w:t>
          </w:r>
          <w:r>
            <w:tab/>
          </w:r>
          <w:r>
            <w:fldChar w:fldCharType="begin"/>
          </w:r>
          <w:r>
            <w:instrText xml:space="preserve"> PAGEREF _Toc179900090 \h </w:instrText>
          </w:r>
          <w:r>
            <w:fldChar w:fldCharType="separate"/>
          </w:r>
          <w:r>
            <w:t>11</w:t>
          </w:r>
          <w:r>
            <w:fldChar w:fldCharType="end"/>
          </w:r>
          <w:r>
            <w:fldChar w:fldCharType="end"/>
          </w:r>
        </w:p>
        <w:p w14:paraId="33710A0D">
          <w:pPr>
            <w:pStyle w:val="6"/>
            <w:tabs>
              <w:tab w:val="right" w:leader="dot" w:pos="8296"/>
            </w:tabs>
            <w:rPr>
              <w:rFonts w:cstheme="minorBidi"/>
              <w:kern w:val="2"/>
              <w:sz w:val="21"/>
              <w14:ligatures w14:val="standardContextual"/>
            </w:rPr>
          </w:pPr>
          <w:r>
            <w:fldChar w:fldCharType="begin"/>
          </w:r>
          <w:r>
            <w:instrText xml:space="preserve"> HYPERLINK \l "_Toc179900091" </w:instrText>
          </w:r>
          <w:r>
            <w:fldChar w:fldCharType="separate"/>
          </w:r>
          <w:r>
            <w:rPr>
              <w:rStyle w:val="12"/>
            </w:rPr>
            <w:t>2.2.2 气象</w:t>
          </w:r>
          <w:r>
            <w:tab/>
          </w:r>
          <w:r>
            <w:fldChar w:fldCharType="begin"/>
          </w:r>
          <w:r>
            <w:instrText xml:space="preserve"> PAGEREF _Toc179900091 \h </w:instrText>
          </w:r>
          <w:r>
            <w:fldChar w:fldCharType="separate"/>
          </w:r>
          <w:r>
            <w:t>12</w:t>
          </w:r>
          <w:r>
            <w:fldChar w:fldCharType="end"/>
          </w:r>
          <w:r>
            <w:fldChar w:fldCharType="end"/>
          </w:r>
        </w:p>
        <w:p w14:paraId="69BD5DD1">
          <w:pPr>
            <w:pStyle w:val="9"/>
            <w:tabs>
              <w:tab w:val="right" w:leader="dot" w:pos="8296"/>
            </w:tabs>
            <w:rPr>
              <w:rFonts w:cstheme="minorBidi"/>
              <w:kern w:val="2"/>
              <w:sz w:val="21"/>
              <w14:ligatures w14:val="standardContextual"/>
            </w:rPr>
          </w:pPr>
          <w:r>
            <w:fldChar w:fldCharType="begin"/>
          </w:r>
          <w:r>
            <w:instrText xml:space="preserve"> HYPERLINK \l "_Toc179900092" </w:instrText>
          </w:r>
          <w:r>
            <w:fldChar w:fldCharType="separate"/>
          </w:r>
          <w:r>
            <w:rPr>
              <w:rStyle w:val="12"/>
            </w:rPr>
            <w:t>2.3 工程地质</w:t>
          </w:r>
          <w:r>
            <w:tab/>
          </w:r>
          <w:r>
            <w:fldChar w:fldCharType="begin"/>
          </w:r>
          <w:r>
            <w:instrText xml:space="preserve"> PAGEREF _Toc179900092 \h </w:instrText>
          </w:r>
          <w:r>
            <w:fldChar w:fldCharType="separate"/>
          </w:r>
          <w:r>
            <w:t>15</w:t>
          </w:r>
          <w:r>
            <w:fldChar w:fldCharType="end"/>
          </w:r>
          <w:r>
            <w:fldChar w:fldCharType="end"/>
          </w:r>
        </w:p>
        <w:p w14:paraId="3D83BFDF">
          <w:pPr>
            <w:pStyle w:val="9"/>
            <w:tabs>
              <w:tab w:val="right" w:leader="dot" w:pos="8296"/>
            </w:tabs>
            <w:rPr>
              <w:rFonts w:cstheme="minorBidi"/>
              <w:kern w:val="2"/>
              <w:sz w:val="21"/>
              <w14:ligatures w14:val="standardContextual"/>
            </w:rPr>
          </w:pPr>
          <w:r>
            <w:fldChar w:fldCharType="begin"/>
          </w:r>
          <w:r>
            <w:instrText xml:space="preserve"> HYPERLINK \l "_Toc179900093" </w:instrText>
          </w:r>
          <w:r>
            <w:fldChar w:fldCharType="separate"/>
          </w:r>
          <w:r>
            <w:rPr>
              <w:rStyle w:val="12"/>
            </w:rPr>
            <w:t>2.4 工程任务和规模</w:t>
          </w:r>
          <w:r>
            <w:tab/>
          </w:r>
          <w:r>
            <w:fldChar w:fldCharType="begin"/>
          </w:r>
          <w:r>
            <w:instrText xml:space="preserve"> PAGEREF _Toc179900093 \h </w:instrText>
          </w:r>
          <w:r>
            <w:fldChar w:fldCharType="separate"/>
          </w:r>
          <w:r>
            <w:t>17</w:t>
          </w:r>
          <w:r>
            <w:fldChar w:fldCharType="end"/>
          </w:r>
          <w:r>
            <w:fldChar w:fldCharType="end"/>
          </w:r>
        </w:p>
        <w:p w14:paraId="39C31DDF">
          <w:pPr>
            <w:pStyle w:val="6"/>
            <w:tabs>
              <w:tab w:val="right" w:leader="dot" w:pos="8296"/>
            </w:tabs>
            <w:rPr>
              <w:rFonts w:cstheme="minorBidi"/>
              <w:kern w:val="2"/>
              <w:sz w:val="21"/>
              <w14:ligatures w14:val="standardContextual"/>
            </w:rPr>
          </w:pPr>
          <w:r>
            <w:fldChar w:fldCharType="begin"/>
          </w:r>
          <w:r>
            <w:instrText xml:space="preserve"> HYPERLINK \l "_Toc179900094" </w:instrText>
          </w:r>
          <w:r>
            <w:fldChar w:fldCharType="separate"/>
          </w:r>
          <w:r>
            <w:rPr>
              <w:rStyle w:val="12"/>
            </w:rPr>
            <w:t>2.4.1 工程建设的必要性和可行性</w:t>
          </w:r>
          <w:r>
            <w:tab/>
          </w:r>
          <w:r>
            <w:fldChar w:fldCharType="begin"/>
          </w:r>
          <w:r>
            <w:instrText xml:space="preserve"> PAGEREF _Toc179900094 \h </w:instrText>
          </w:r>
          <w:r>
            <w:fldChar w:fldCharType="separate"/>
          </w:r>
          <w:r>
            <w:t>17</w:t>
          </w:r>
          <w:r>
            <w:fldChar w:fldCharType="end"/>
          </w:r>
          <w:r>
            <w:fldChar w:fldCharType="end"/>
          </w:r>
        </w:p>
        <w:p w14:paraId="15057B81">
          <w:pPr>
            <w:pStyle w:val="6"/>
            <w:tabs>
              <w:tab w:val="right" w:leader="dot" w:pos="8296"/>
            </w:tabs>
            <w:rPr>
              <w:rFonts w:cstheme="minorBidi"/>
              <w:kern w:val="2"/>
              <w:sz w:val="21"/>
              <w14:ligatures w14:val="standardContextual"/>
            </w:rPr>
          </w:pPr>
          <w:r>
            <w:fldChar w:fldCharType="begin"/>
          </w:r>
          <w:r>
            <w:instrText xml:space="preserve"> HYPERLINK \l "_Toc179900095" </w:instrText>
          </w:r>
          <w:r>
            <w:fldChar w:fldCharType="separate"/>
          </w:r>
          <w:r>
            <w:rPr>
              <w:rStyle w:val="12"/>
            </w:rPr>
            <w:t>2.4.2 工程任务</w:t>
          </w:r>
          <w:r>
            <w:tab/>
          </w:r>
          <w:r>
            <w:fldChar w:fldCharType="begin"/>
          </w:r>
          <w:r>
            <w:instrText xml:space="preserve"> PAGEREF _Toc179900095 \h </w:instrText>
          </w:r>
          <w:r>
            <w:fldChar w:fldCharType="separate"/>
          </w:r>
          <w:r>
            <w:t>18</w:t>
          </w:r>
          <w:r>
            <w:fldChar w:fldCharType="end"/>
          </w:r>
          <w:r>
            <w:fldChar w:fldCharType="end"/>
          </w:r>
        </w:p>
        <w:p w14:paraId="3BDCECB3">
          <w:pPr>
            <w:pStyle w:val="6"/>
            <w:tabs>
              <w:tab w:val="right" w:leader="dot" w:pos="8296"/>
            </w:tabs>
            <w:rPr>
              <w:rFonts w:cstheme="minorBidi"/>
              <w:kern w:val="2"/>
              <w:sz w:val="21"/>
              <w14:ligatures w14:val="standardContextual"/>
            </w:rPr>
          </w:pPr>
          <w:r>
            <w:fldChar w:fldCharType="begin"/>
          </w:r>
          <w:r>
            <w:instrText xml:space="preserve"> HYPERLINK \l "_Toc179900096" </w:instrText>
          </w:r>
          <w:r>
            <w:fldChar w:fldCharType="separate"/>
          </w:r>
          <w:r>
            <w:rPr>
              <w:rStyle w:val="12"/>
            </w:rPr>
            <w:t>2.4.3 工程规模</w:t>
          </w:r>
          <w:r>
            <w:tab/>
          </w:r>
          <w:r>
            <w:fldChar w:fldCharType="begin"/>
          </w:r>
          <w:r>
            <w:instrText xml:space="preserve"> PAGEREF _Toc179900096 \h </w:instrText>
          </w:r>
          <w:r>
            <w:fldChar w:fldCharType="separate"/>
          </w:r>
          <w:r>
            <w:t>18</w:t>
          </w:r>
          <w:r>
            <w:fldChar w:fldCharType="end"/>
          </w:r>
          <w:r>
            <w:fldChar w:fldCharType="end"/>
          </w:r>
        </w:p>
        <w:p w14:paraId="76A74AB9">
          <w:pPr>
            <w:pStyle w:val="9"/>
            <w:tabs>
              <w:tab w:val="right" w:leader="dot" w:pos="8296"/>
            </w:tabs>
            <w:rPr>
              <w:rFonts w:cstheme="minorBidi"/>
              <w:kern w:val="2"/>
              <w:sz w:val="21"/>
              <w14:ligatures w14:val="standardContextual"/>
            </w:rPr>
          </w:pPr>
          <w:r>
            <w:fldChar w:fldCharType="begin"/>
          </w:r>
          <w:r>
            <w:instrText xml:space="preserve"> HYPERLINK \l "_Toc179900097" </w:instrText>
          </w:r>
          <w:r>
            <w:fldChar w:fldCharType="separate"/>
          </w:r>
          <w:r>
            <w:rPr>
              <w:rStyle w:val="12"/>
            </w:rPr>
            <w:t>2.5 工程布置及建筑物</w:t>
          </w:r>
          <w:r>
            <w:tab/>
          </w:r>
          <w:r>
            <w:fldChar w:fldCharType="begin"/>
          </w:r>
          <w:r>
            <w:instrText xml:space="preserve"> PAGEREF _Toc179900097 \h </w:instrText>
          </w:r>
          <w:r>
            <w:fldChar w:fldCharType="separate"/>
          </w:r>
          <w:r>
            <w:t>19</w:t>
          </w:r>
          <w:r>
            <w:fldChar w:fldCharType="end"/>
          </w:r>
          <w:r>
            <w:fldChar w:fldCharType="end"/>
          </w:r>
        </w:p>
        <w:p w14:paraId="1879F886">
          <w:pPr>
            <w:pStyle w:val="6"/>
            <w:tabs>
              <w:tab w:val="right" w:leader="dot" w:pos="8296"/>
            </w:tabs>
            <w:rPr>
              <w:rFonts w:cstheme="minorBidi"/>
              <w:kern w:val="2"/>
              <w:sz w:val="21"/>
              <w14:ligatures w14:val="standardContextual"/>
            </w:rPr>
          </w:pPr>
          <w:r>
            <w:fldChar w:fldCharType="begin"/>
          </w:r>
          <w:r>
            <w:instrText xml:space="preserve"> HYPERLINK \l "_Toc179900098" </w:instrText>
          </w:r>
          <w:r>
            <w:fldChar w:fldCharType="separate"/>
          </w:r>
          <w:r>
            <w:rPr>
              <w:rStyle w:val="12"/>
            </w:rPr>
            <w:t>2.5.1 工程总体布置</w:t>
          </w:r>
          <w:r>
            <w:tab/>
          </w:r>
          <w:r>
            <w:fldChar w:fldCharType="begin"/>
          </w:r>
          <w:r>
            <w:instrText xml:space="preserve"> PAGEREF _Toc179900098 \h </w:instrText>
          </w:r>
          <w:r>
            <w:fldChar w:fldCharType="separate"/>
          </w:r>
          <w:r>
            <w:t>19</w:t>
          </w:r>
          <w:r>
            <w:fldChar w:fldCharType="end"/>
          </w:r>
          <w:r>
            <w:fldChar w:fldCharType="end"/>
          </w:r>
        </w:p>
        <w:p w14:paraId="5A3FD136">
          <w:pPr>
            <w:pStyle w:val="6"/>
            <w:tabs>
              <w:tab w:val="right" w:leader="dot" w:pos="8296"/>
            </w:tabs>
            <w:rPr>
              <w:rFonts w:cstheme="minorBidi"/>
              <w:kern w:val="2"/>
              <w:sz w:val="21"/>
              <w14:ligatures w14:val="standardContextual"/>
            </w:rPr>
          </w:pPr>
          <w:r>
            <w:fldChar w:fldCharType="begin"/>
          </w:r>
          <w:r>
            <w:instrText xml:space="preserve"> HYPERLINK \l "_Toc179900099" </w:instrText>
          </w:r>
          <w:r>
            <w:fldChar w:fldCharType="separate"/>
          </w:r>
          <w:r>
            <w:rPr>
              <w:rStyle w:val="12"/>
            </w:rPr>
            <w:t>2.5.2 工程等别、设计标准</w:t>
          </w:r>
          <w:r>
            <w:tab/>
          </w:r>
          <w:r>
            <w:fldChar w:fldCharType="begin"/>
          </w:r>
          <w:r>
            <w:instrText xml:space="preserve"> PAGEREF _Toc179900099 \h </w:instrText>
          </w:r>
          <w:r>
            <w:fldChar w:fldCharType="separate"/>
          </w:r>
          <w:r>
            <w:t>19</w:t>
          </w:r>
          <w:r>
            <w:fldChar w:fldCharType="end"/>
          </w:r>
          <w:r>
            <w:fldChar w:fldCharType="end"/>
          </w:r>
        </w:p>
        <w:p w14:paraId="7D90C728">
          <w:pPr>
            <w:pStyle w:val="6"/>
            <w:tabs>
              <w:tab w:val="right" w:leader="dot" w:pos="8296"/>
            </w:tabs>
            <w:rPr>
              <w:rFonts w:cstheme="minorBidi"/>
              <w:kern w:val="2"/>
              <w:sz w:val="21"/>
              <w14:ligatures w14:val="standardContextual"/>
            </w:rPr>
          </w:pPr>
          <w:r>
            <w:fldChar w:fldCharType="begin"/>
          </w:r>
          <w:r>
            <w:instrText xml:space="preserve"> HYPERLINK \l "_Toc179900100" </w:instrText>
          </w:r>
          <w:r>
            <w:fldChar w:fldCharType="separate"/>
          </w:r>
          <w:r>
            <w:rPr>
              <w:rStyle w:val="12"/>
            </w:rPr>
            <w:t>2.5.3 计量设施设计</w:t>
          </w:r>
          <w:r>
            <w:tab/>
          </w:r>
          <w:r>
            <w:fldChar w:fldCharType="begin"/>
          </w:r>
          <w:r>
            <w:instrText xml:space="preserve"> PAGEREF _Toc179900100 \h </w:instrText>
          </w:r>
          <w:r>
            <w:fldChar w:fldCharType="separate"/>
          </w:r>
          <w:r>
            <w:t>20</w:t>
          </w:r>
          <w:r>
            <w:fldChar w:fldCharType="end"/>
          </w:r>
          <w:r>
            <w:fldChar w:fldCharType="end"/>
          </w:r>
        </w:p>
        <w:p w14:paraId="579C4804">
          <w:pPr>
            <w:pStyle w:val="8"/>
            <w:tabs>
              <w:tab w:val="right" w:leader="dot" w:pos="8296"/>
            </w:tabs>
            <w:rPr>
              <w:rFonts w:cstheme="minorBidi"/>
              <w:kern w:val="2"/>
              <w:sz w:val="21"/>
              <w14:ligatures w14:val="standardContextual"/>
            </w:rPr>
          </w:pPr>
          <w:r>
            <w:fldChar w:fldCharType="begin"/>
          </w:r>
          <w:r>
            <w:instrText xml:space="preserve"> HYPERLINK \l "_Toc179900101" </w:instrText>
          </w:r>
          <w:r>
            <w:fldChar w:fldCharType="separate"/>
          </w:r>
          <w:r>
            <w:rPr>
              <w:rStyle w:val="12"/>
            </w:rPr>
            <w:t>3 工程任务和规模</w:t>
          </w:r>
          <w:r>
            <w:tab/>
          </w:r>
          <w:r>
            <w:fldChar w:fldCharType="begin"/>
          </w:r>
          <w:r>
            <w:instrText xml:space="preserve"> PAGEREF _Toc179900101 \h </w:instrText>
          </w:r>
          <w:r>
            <w:fldChar w:fldCharType="separate"/>
          </w:r>
          <w:r>
            <w:t>21</w:t>
          </w:r>
          <w:r>
            <w:fldChar w:fldCharType="end"/>
          </w:r>
          <w:r>
            <w:fldChar w:fldCharType="end"/>
          </w:r>
        </w:p>
        <w:p w14:paraId="52936195">
          <w:pPr>
            <w:pStyle w:val="9"/>
            <w:tabs>
              <w:tab w:val="right" w:leader="dot" w:pos="8296"/>
            </w:tabs>
            <w:rPr>
              <w:rFonts w:cstheme="minorBidi"/>
              <w:kern w:val="2"/>
              <w:sz w:val="21"/>
              <w14:ligatures w14:val="standardContextual"/>
            </w:rPr>
          </w:pPr>
          <w:r>
            <w:fldChar w:fldCharType="begin"/>
          </w:r>
          <w:r>
            <w:instrText xml:space="preserve"> HYPERLINK \l "_Toc179900102" </w:instrText>
          </w:r>
          <w:r>
            <w:fldChar w:fldCharType="separate"/>
          </w:r>
          <w:r>
            <w:rPr>
              <w:rStyle w:val="12"/>
            </w:rPr>
            <w:t>3.1 概述</w:t>
          </w:r>
          <w:r>
            <w:tab/>
          </w:r>
          <w:r>
            <w:fldChar w:fldCharType="begin"/>
          </w:r>
          <w:r>
            <w:instrText xml:space="preserve"> PAGEREF _Toc179900102 \h </w:instrText>
          </w:r>
          <w:r>
            <w:fldChar w:fldCharType="separate"/>
          </w:r>
          <w:r>
            <w:t>21</w:t>
          </w:r>
          <w:r>
            <w:fldChar w:fldCharType="end"/>
          </w:r>
          <w:r>
            <w:fldChar w:fldCharType="end"/>
          </w:r>
        </w:p>
        <w:p w14:paraId="158BABCF">
          <w:pPr>
            <w:pStyle w:val="9"/>
            <w:tabs>
              <w:tab w:val="right" w:leader="dot" w:pos="8296"/>
            </w:tabs>
            <w:rPr>
              <w:rFonts w:cstheme="minorBidi"/>
              <w:kern w:val="2"/>
              <w:sz w:val="21"/>
              <w14:ligatures w14:val="standardContextual"/>
            </w:rPr>
          </w:pPr>
          <w:r>
            <w:fldChar w:fldCharType="begin"/>
          </w:r>
          <w:r>
            <w:instrText xml:space="preserve"> HYPERLINK \l "_Toc179900103" </w:instrText>
          </w:r>
          <w:r>
            <w:fldChar w:fldCharType="separate"/>
          </w:r>
          <w:r>
            <w:rPr>
              <w:rStyle w:val="12"/>
            </w:rPr>
            <w:t>32 工程建设的必要性与可行性</w:t>
          </w:r>
          <w:r>
            <w:tab/>
          </w:r>
          <w:r>
            <w:fldChar w:fldCharType="begin"/>
          </w:r>
          <w:r>
            <w:instrText xml:space="preserve"> PAGEREF _Toc179900103 \h </w:instrText>
          </w:r>
          <w:r>
            <w:fldChar w:fldCharType="separate"/>
          </w:r>
          <w:r>
            <w:t>22</w:t>
          </w:r>
          <w:r>
            <w:fldChar w:fldCharType="end"/>
          </w:r>
          <w:r>
            <w:fldChar w:fldCharType="end"/>
          </w:r>
        </w:p>
        <w:p w14:paraId="78D70F5C">
          <w:pPr>
            <w:pStyle w:val="6"/>
            <w:tabs>
              <w:tab w:val="right" w:leader="dot" w:pos="8296"/>
            </w:tabs>
            <w:rPr>
              <w:rFonts w:cstheme="minorBidi"/>
              <w:kern w:val="2"/>
              <w:sz w:val="21"/>
              <w14:ligatures w14:val="standardContextual"/>
            </w:rPr>
          </w:pPr>
          <w:r>
            <w:fldChar w:fldCharType="begin"/>
          </w:r>
          <w:r>
            <w:instrText xml:space="preserve"> HYPERLINK \l "_Toc179900104" </w:instrText>
          </w:r>
          <w:r>
            <w:fldChar w:fldCharType="separate"/>
          </w:r>
          <w:r>
            <w:rPr>
              <w:rStyle w:val="12"/>
            </w:rPr>
            <w:t>3.2.1 项目建设的必要性</w:t>
          </w:r>
          <w:r>
            <w:tab/>
          </w:r>
          <w:r>
            <w:fldChar w:fldCharType="begin"/>
          </w:r>
          <w:r>
            <w:instrText xml:space="preserve"> PAGEREF _Toc179900104 \h </w:instrText>
          </w:r>
          <w:r>
            <w:fldChar w:fldCharType="separate"/>
          </w:r>
          <w:r>
            <w:t>22</w:t>
          </w:r>
          <w:r>
            <w:fldChar w:fldCharType="end"/>
          </w:r>
          <w:r>
            <w:fldChar w:fldCharType="end"/>
          </w:r>
        </w:p>
        <w:p w14:paraId="61C39B94">
          <w:pPr>
            <w:pStyle w:val="6"/>
            <w:tabs>
              <w:tab w:val="right" w:leader="dot" w:pos="8296"/>
            </w:tabs>
            <w:rPr>
              <w:rFonts w:cstheme="minorBidi"/>
              <w:kern w:val="2"/>
              <w:sz w:val="21"/>
              <w14:ligatures w14:val="standardContextual"/>
            </w:rPr>
          </w:pPr>
          <w:r>
            <w:fldChar w:fldCharType="begin"/>
          </w:r>
          <w:r>
            <w:instrText xml:space="preserve"> HYPERLINK \l "_Toc179900105" </w:instrText>
          </w:r>
          <w:r>
            <w:fldChar w:fldCharType="separate"/>
          </w:r>
          <w:r>
            <w:rPr>
              <w:rStyle w:val="12"/>
            </w:rPr>
            <w:t>3.2.2 项目建设的可行性</w:t>
          </w:r>
          <w:r>
            <w:tab/>
          </w:r>
          <w:r>
            <w:fldChar w:fldCharType="begin"/>
          </w:r>
          <w:r>
            <w:instrText xml:space="preserve"> PAGEREF _Toc179900105 \h </w:instrText>
          </w:r>
          <w:r>
            <w:fldChar w:fldCharType="separate"/>
          </w:r>
          <w:r>
            <w:t>23</w:t>
          </w:r>
          <w:r>
            <w:fldChar w:fldCharType="end"/>
          </w:r>
          <w:r>
            <w:fldChar w:fldCharType="end"/>
          </w:r>
        </w:p>
        <w:p w14:paraId="68990193">
          <w:pPr>
            <w:pStyle w:val="9"/>
            <w:tabs>
              <w:tab w:val="right" w:leader="dot" w:pos="8296"/>
            </w:tabs>
            <w:rPr>
              <w:rFonts w:cstheme="minorBidi"/>
              <w:kern w:val="2"/>
              <w:sz w:val="21"/>
              <w14:ligatures w14:val="standardContextual"/>
            </w:rPr>
          </w:pPr>
          <w:r>
            <w:fldChar w:fldCharType="begin"/>
          </w:r>
          <w:r>
            <w:instrText xml:space="preserve"> HYPERLINK \l "_Toc179900106" </w:instrText>
          </w:r>
          <w:r>
            <w:fldChar w:fldCharType="separate"/>
          </w:r>
          <w:r>
            <w:rPr>
              <w:rStyle w:val="12"/>
            </w:rPr>
            <w:t>3.3 工程任务</w:t>
          </w:r>
          <w:r>
            <w:tab/>
          </w:r>
          <w:r>
            <w:fldChar w:fldCharType="begin"/>
          </w:r>
          <w:r>
            <w:instrText xml:space="preserve"> PAGEREF _Toc179900106 \h </w:instrText>
          </w:r>
          <w:r>
            <w:fldChar w:fldCharType="separate"/>
          </w:r>
          <w:r>
            <w:t>25</w:t>
          </w:r>
          <w:r>
            <w:fldChar w:fldCharType="end"/>
          </w:r>
          <w:r>
            <w:fldChar w:fldCharType="end"/>
          </w:r>
        </w:p>
        <w:p w14:paraId="66937C86">
          <w:pPr>
            <w:pStyle w:val="6"/>
            <w:tabs>
              <w:tab w:val="right" w:leader="dot" w:pos="8296"/>
            </w:tabs>
            <w:rPr>
              <w:rFonts w:cstheme="minorBidi"/>
              <w:kern w:val="2"/>
              <w:sz w:val="21"/>
              <w14:ligatures w14:val="standardContextual"/>
            </w:rPr>
          </w:pPr>
          <w:r>
            <w:fldChar w:fldCharType="begin"/>
          </w:r>
          <w:r>
            <w:instrText xml:space="preserve"> HYPERLINK \l "_Toc179900107" </w:instrText>
          </w:r>
          <w:r>
            <w:fldChar w:fldCharType="separate"/>
          </w:r>
          <w:r>
            <w:rPr>
              <w:rStyle w:val="12"/>
            </w:rPr>
            <w:t>3.3.1 指导思想</w:t>
          </w:r>
          <w:r>
            <w:tab/>
          </w:r>
          <w:r>
            <w:fldChar w:fldCharType="begin"/>
          </w:r>
          <w:r>
            <w:instrText xml:space="preserve"> PAGEREF _Toc179900107 \h </w:instrText>
          </w:r>
          <w:r>
            <w:fldChar w:fldCharType="separate"/>
          </w:r>
          <w:r>
            <w:t>25</w:t>
          </w:r>
          <w:r>
            <w:fldChar w:fldCharType="end"/>
          </w:r>
          <w:r>
            <w:fldChar w:fldCharType="end"/>
          </w:r>
        </w:p>
        <w:p w14:paraId="16BF640B">
          <w:pPr>
            <w:pStyle w:val="6"/>
            <w:tabs>
              <w:tab w:val="right" w:leader="dot" w:pos="8296"/>
            </w:tabs>
            <w:rPr>
              <w:rFonts w:cstheme="minorBidi"/>
              <w:kern w:val="2"/>
              <w:sz w:val="21"/>
              <w14:ligatures w14:val="standardContextual"/>
            </w:rPr>
          </w:pPr>
          <w:r>
            <w:fldChar w:fldCharType="begin"/>
          </w:r>
          <w:r>
            <w:instrText xml:space="preserve"> HYPERLINK \l "_Toc179900108" </w:instrText>
          </w:r>
          <w:r>
            <w:fldChar w:fldCharType="separate"/>
          </w:r>
          <w:r>
            <w:rPr>
              <w:rStyle w:val="12"/>
            </w:rPr>
            <w:t>3.3.3 建设任务和目标</w:t>
          </w:r>
          <w:r>
            <w:tab/>
          </w:r>
          <w:r>
            <w:fldChar w:fldCharType="begin"/>
          </w:r>
          <w:r>
            <w:instrText xml:space="preserve"> PAGEREF _Toc179900108 \h </w:instrText>
          </w:r>
          <w:r>
            <w:fldChar w:fldCharType="separate"/>
          </w:r>
          <w:r>
            <w:t>26</w:t>
          </w:r>
          <w:r>
            <w:fldChar w:fldCharType="end"/>
          </w:r>
          <w:r>
            <w:fldChar w:fldCharType="end"/>
          </w:r>
        </w:p>
        <w:p w14:paraId="59ACDA9C">
          <w:pPr>
            <w:pStyle w:val="8"/>
            <w:tabs>
              <w:tab w:val="right" w:leader="dot" w:pos="8296"/>
            </w:tabs>
            <w:rPr>
              <w:rFonts w:cstheme="minorBidi"/>
              <w:kern w:val="2"/>
              <w:sz w:val="21"/>
              <w14:ligatures w14:val="standardContextual"/>
            </w:rPr>
          </w:pPr>
          <w:r>
            <w:fldChar w:fldCharType="begin"/>
          </w:r>
          <w:r>
            <w:instrText xml:space="preserve"> HYPERLINK \l "_Toc179900109" </w:instrText>
          </w:r>
          <w:r>
            <w:fldChar w:fldCharType="separate"/>
          </w:r>
          <w:r>
            <w:rPr>
              <w:rStyle w:val="12"/>
            </w:rPr>
            <w:t>4 工程布置及建筑物</w:t>
          </w:r>
          <w:r>
            <w:tab/>
          </w:r>
          <w:r>
            <w:fldChar w:fldCharType="begin"/>
          </w:r>
          <w:r>
            <w:instrText xml:space="preserve"> PAGEREF _Toc179900109 \h </w:instrText>
          </w:r>
          <w:r>
            <w:fldChar w:fldCharType="separate"/>
          </w:r>
          <w:r>
            <w:t>27</w:t>
          </w:r>
          <w:r>
            <w:fldChar w:fldCharType="end"/>
          </w:r>
          <w:r>
            <w:fldChar w:fldCharType="end"/>
          </w:r>
        </w:p>
        <w:p w14:paraId="59944CF1">
          <w:pPr>
            <w:pStyle w:val="9"/>
            <w:tabs>
              <w:tab w:val="right" w:leader="dot" w:pos="8296"/>
            </w:tabs>
            <w:rPr>
              <w:rFonts w:cstheme="minorBidi"/>
              <w:kern w:val="2"/>
              <w:sz w:val="21"/>
              <w14:ligatures w14:val="standardContextual"/>
            </w:rPr>
          </w:pPr>
          <w:r>
            <w:fldChar w:fldCharType="begin"/>
          </w:r>
          <w:r>
            <w:instrText xml:space="preserve"> HYPERLINK \l "_Toc179900110" </w:instrText>
          </w:r>
          <w:r>
            <w:fldChar w:fldCharType="separate"/>
          </w:r>
          <w:r>
            <w:rPr>
              <w:rStyle w:val="12"/>
            </w:rPr>
            <w:t>4.1 设计依据</w:t>
          </w:r>
          <w:r>
            <w:tab/>
          </w:r>
          <w:r>
            <w:fldChar w:fldCharType="begin"/>
          </w:r>
          <w:r>
            <w:instrText xml:space="preserve"> PAGEREF _Toc179900110 \h </w:instrText>
          </w:r>
          <w:r>
            <w:fldChar w:fldCharType="separate"/>
          </w:r>
          <w:r>
            <w:t>27</w:t>
          </w:r>
          <w:r>
            <w:fldChar w:fldCharType="end"/>
          </w:r>
          <w:r>
            <w:fldChar w:fldCharType="end"/>
          </w:r>
        </w:p>
        <w:p w14:paraId="685EEF5B">
          <w:pPr>
            <w:pStyle w:val="6"/>
            <w:tabs>
              <w:tab w:val="right" w:leader="dot" w:pos="8296"/>
            </w:tabs>
            <w:rPr>
              <w:rFonts w:cstheme="minorBidi"/>
              <w:kern w:val="2"/>
              <w:sz w:val="21"/>
              <w14:ligatures w14:val="standardContextual"/>
            </w:rPr>
          </w:pPr>
          <w:r>
            <w:fldChar w:fldCharType="begin"/>
          </w:r>
          <w:r>
            <w:instrText xml:space="preserve"> HYPERLINK \l "_Toc179900111" </w:instrText>
          </w:r>
          <w:r>
            <w:fldChar w:fldCharType="separate"/>
          </w:r>
          <w:r>
            <w:rPr>
              <w:rStyle w:val="12"/>
            </w:rPr>
            <w:t>4.1.1 技术标准</w:t>
          </w:r>
          <w:r>
            <w:tab/>
          </w:r>
          <w:r>
            <w:fldChar w:fldCharType="begin"/>
          </w:r>
          <w:r>
            <w:instrText xml:space="preserve"> PAGEREF _Toc179900111 \h </w:instrText>
          </w:r>
          <w:r>
            <w:fldChar w:fldCharType="separate"/>
          </w:r>
          <w:r>
            <w:t>27</w:t>
          </w:r>
          <w:r>
            <w:fldChar w:fldCharType="end"/>
          </w:r>
          <w:r>
            <w:fldChar w:fldCharType="end"/>
          </w:r>
        </w:p>
        <w:p w14:paraId="6232FFCB">
          <w:pPr>
            <w:pStyle w:val="9"/>
            <w:tabs>
              <w:tab w:val="right" w:leader="dot" w:pos="8296"/>
            </w:tabs>
            <w:rPr>
              <w:rFonts w:cstheme="minorBidi"/>
              <w:kern w:val="2"/>
              <w:sz w:val="21"/>
              <w14:ligatures w14:val="standardContextual"/>
            </w:rPr>
          </w:pPr>
          <w:r>
            <w:fldChar w:fldCharType="begin"/>
          </w:r>
          <w:r>
            <w:instrText xml:space="preserve"> HYPERLINK \l "_Toc179900112" </w:instrText>
          </w:r>
          <w:r>
            <w:fldChar w:fldCharType="separate"/>
          </w:r>
          <w:r>
            <w:rPr>
              <w:rStyle w:val="12"/>
            </w:rPr>
            <w:t>4.2 工程等级和标准</w:t>
          </w:r>
          <w:r>
            <w:tab/>
          </w:r>
          <w:r>
            <w:fldChar w:fldCharType="begin"/>
          </w:r>
          <w:r>
            <w:instrText xml:space="preserve"> PAGEREF _Toc179900112 \h </w:instrText>
          </w:r>
          <w:r>
            <w:fldChar w:fldCharType="separate"/>
          </w:r>
          <w:r>
            <w:t>28</w:t>
          </w:r>
          <w:r>
            <w:fldChar w:fldCharType="end"/>
          </w:r>
          <w:r>
            <w:fldChar w:fldCharType="end"/>
          </w:r>
        </w:p>
        <w:p w14:paraId="1F9ABF9B">
          <w:pPr>
            <w:pStyle w:val="6"/>
            <w:tabs>
              <w:tab w:val="right" w:leader="dot" w:pos="8296"/>
            </w:tabs>
            <w:rPr>
              <w:rFonts w:cstheme="minorBidi"/>
              <w:kern w:val="2"/>
              <w:sz w:val="21"/>
              <w14:ligatures w14:val="standardContextual"/>
            </w:rPr>
          </w:pPr>
          <w:r>
            <w:fldChar w:fldCharType="begin"/>
          </w:r>
          <w:r>
            <w:instrText xml:space="preserve"> HYPERLINK \l "_Toc179900113" </w:instrText>
          </w:r>
          <w:r>
            <w:fldChar w:fldCharType="separate"/>
          </w:r>
          <w:r>
            <w:rPr>
              <w:rStyle w:val="12"/>
            </w:rPr>
            <w:t>4.2.1 工程等级和标准</w:t>
          </w:r>
          <w:r>
            <w:tab/>
          </w:r>
          <w:r>
            <w:fldChar w:fldCharType="begin"/>
          </w:r>
          <w:r>
            <w:instrText xml:space="preserve"> PAGEREF _Toc179900113 \h </w:instrText>
          </w:r>
          <w:r>
            <w:fldChar w:fldCharType="separate"/>
          </w:r>
          <w:r>
            <w:t>28</w:t>
          </w:r>
          <w:r>
            <w:fldChar w:fldCharType="end"/>
          </w:r>
          <w:r>
            <w:fldChar w:fldCharType="end"/>
          </w:r>
        </w:p>
        <w:p w14:paraId="525586A1">
          <w:pPr>
            <w:pStyle w:val="6"/>
            <w:tabs>
              <w:tab w:val="right" w:leader="dot" w:pos="8296"/>
            </w:tabs>
            <w:rPr>
              <w:rFonts w:cstheme="minorBidi"/>
              <w:kern w:val="2"/>
              <w:sz w:val="21"/>
              <w14:ligatures w14:val="standardContextual"/>
            </w:rPr>
          </w:pPr>
          <w:r>
            <w:fldChar w:fldCharType="begin"/>
          </w:r>
          <w:r>
            <w:instrText xml:space="preserve"> HYPERLINK \l "_Toc179900114" </w:instrText>
          </w:r>
          <w:r>
            <w:fldChar w:fldCharType="separate"/>
          </w:r>
          <w:r>
            <w:rPr>
              <w:rStyle w:val="12"/>
            </w:rPr>
            <w:t>4.2.2 耐久性设计</w:t>
          </w:r>
          <w:r>
            <w:tab/>
          </w:r>
          <w:r>
            <w:fldChar w:fldCharType="begin"/>
          </w:r>
          <w:r>
            <w:instrText xml:space="preserve"> PAGEREF _Toc179900114 \h </w:instrText>
          </w:r>
          <w:r>
            <w:fldChar w:fldCharType="separate"/>
          </w:r>
          <w:r>
            <w:t>28</w:t>
          </w:r>
          <w:r>
            <w:fldChar w:fldCharType="end"/>
          </w:r>
          <w:r>
            <w:fldChar w:fldCharType="end"/>
          </w:r>
        </w:p>
        <w:p w14:paraId="11DDDDAC">
          <w:pPr>
            <w:pStyle w:val="6"/>
            <w:tabs>
              <w:tab w:val="right" w:leader="dot" w:pos="8296"/>
            </w:tabs>
            <w:rPr>
              <w:rFonts w:cstheme="minorBidi"/>
              <w:kern w:val="2"/>
              <w:sz w:val="21"/>
              <w14:ligatures w14:val="standardContextual"/>
            </w:rPr>
          </w:pPr>
          <w:r>
            <w:fldChar w:fldCharType="begin"/>
          </w:r>
          <w:r>
            <w:instrText xml:space="preserve"> HYPERLINK \l "_Toc179900115" </w:instrText>
          </w:r>
          <w:r>
            <w:fldChar w:fldCharType="separate"/>
          </w:r>
          <w:r>
            <w:rPr>
              <w:rStyle w:val="12"/>
            </w:rPr>
            <w:t>4.2.3 布置原则</w:t>
          </w:r>
          <w:r>
            <w:tab/>
          </w:r>
          <w:r>
            <w:fldChar w:fldCharType="begin"/>
          </w:r>
          <w:r>
            <w:instrText xml:space="preserve"> PAGEREF _Toc179900115 \h </w:instrText>
          </w:r>
          <w:r>
            <w:fldChar w:fldCharType="separate"/>
          </w:r>
          <w:r>
            <w:t>29</w:t>
          </w:r>
          <w:r>
            <w:fldChar w:fldCharType="end"/>
          </w:r>
          <w:r>
            <w:fldChar w:fldCharType="end"/>
          </w:r>
        </w:p>
        <w:p w14:paraId="346D51BB">
          <w:pPr>
            <w:pStyle w:val="6"/>
            <w:tabs>
              <w:tab w:val="right" w:leader="dot" w:pos="8296"/>
            </w:tabs>
            <w:rPr>
              <w:rFonts w:cstheme="minorBidi"/>
              <w:kern w:val="2"/>
              <w:sz w:val="21"/>
              <w14:ligatures w14:val="standardContextual"/>
            </w:rPr>
          </w:pPr>
          <w:r>
            <w:fldChar w:fldCharType="begin"/>
          </w:r>
          <w:r>
            <w:instrText xml:space="preserve"> HYPERLINK \l "_Toc179900116" </w:instrText>
          </w:r>
          <w:r>
            <w:fldChar w:fldCharType="separate"/>
          </w:r>
          <w:r>
            <w:rPr>
              <w:rStyle w:val="12"/>
            </w:rPr>
            <w:t>4.2.4 计量设施布置</w:t>
          </w:r>
          <w:r>
            <w:tab/>
          </w:r>
          <w:r>
            <w:fldChar w:fldCharType="begin"/>
          </w:r>
          <w:r>
            <w:instrText xml:space="preserve"> PAGEREF _Toc179900116 \h </w:instrText>
          </w:r>
          <w:r>
            <w:fldChar w:fldCharType="separate"/>
          </w:r>
          <w:r>
            <w:t>30</w:t>
          </w:r>
          <w:r>
            <w:fldChar w:fldCharType="end"/>
          </w:r>
          <w:r>
            <w:fldChar w:fldCharType="end"/>
          </w:r>
        </w:p>
        <w:p w14:paraId="4F9795DD">
          <w:pPr>
            <w:pStyle w:val="9"/>
            <w:tabs>
              <w:tab w:val="right" w:leader="dot" w:pos="8296"/>
            </w:tabs>
            <w:rPr>
              <w:rFonts w:cstheme="minorBidi"/>
              <w:kern w:val="2"/>
              <w:sz w:val="21"/>
              <w14:ligatures w14:val="standardContextual"/>
            </w:rPr>
          </w:pPr>
          <w:r>
            <w:fldChar w:fldCharType="begin"/>
          </w:r>
          <w:r>
            <w:instrText xml:space="preserve"> HYPERLINK \l "_Toc179900117" </w:instrText>
          </w:r>
          <w:r>
            <w:fldChar w:fldCharType="separate"/>
          </w:r>
          <w:r>
            <w:rPr>
              <w:rStyle w:val="12"/>
            </w:rPr>
            <w:t>4.3 计量设施设计</w:t>
          </w:r>
          <w:r>
            <w:tab/>
          </w:r>
          <w:r>
            <w:fldChar w:fldCharType="begin"/>
          </w:r>
          <w:r>
            <w:instrText xml:space="preserve"> PAGEREF _Toc179900117 \h </w:instrText>
          </w:r>
          <w:r>
            <w:fldChar w:fldCharType="separate"/>
          </w:r>
          <w:r>
            <w:t>30</w:t>
          </w:r>
          <w:r>
            <w:fldChar w:fldCharType="end"/>
          </w:r>
          <w:r>
            <w:fldChar w:fldCharType="end"/>
          </w:r>
        </w:p>
        <w:p w14:paraId="1CAD82CA">
          <w:pPr>
            <w:pStyle w:val="6"/>
            <w:tabs>
              <w:tab w:val="right" w:leader="dot" w:pos="8296"/>
            </w:tabs>
            <w:rPr>
              <w:rFonts w:cstheme="minorBidi"/>
              <w:kern w:val="2"/>
              <w:sz w:val="21"/>
              <w14:ligatures w14:val="standardContextual"/>
            </w:rPr>
          </w:pPr>
          <w:r>
            <w:fldChar w:fldCharType="begin"/>
          </w:r>
          <w:r>
            <w:instrText xml:space="preserve"> HYPERLINK \l "_Toc179900118" </w:instrText>
          </w:r>
          <w:r>
            <w:fldChar w:fldCharType="separate"/>
          </w:r>
          <w:r>
            <w:rPr>
              <w:rStyle w:val="12"/>
            </w:rPr>
            <w:t>4.3.1 建筑物型式比选</w:t>
          </w:r>
          <w:r>
            <w:tab/>
          </w:r>
          <w:r>
            <w:fldChar w:fldCharType="begin"/>
          </w:r>
          <w:r>
            <w:instrText xml:space="preserve"> PAGEREF _Toc179900118 \h </w:instrText>
          </w:r>
          <w:r>
            <w:fldChar w:fldCharType="separate"/>
          </w:r>
          <w:r>
            <w:t>30</w:t>
          </w:r>
          <w:r>
            <w:fldChar w:fldCharType="end"/>
          </w:r>
          <w:r>
            <w:fldChar w:fldCharType="end"/>
          </w:r>
        </w:p>
        <w:p w14:paraId="4A46C0F5">
          <w:pPr>
            <w:pStyle w:val="6"/>
            <w:tabs>
              <w:tab w:val="right" w:leader="dot" w:pos="8296"/>
            </w:tabs>
            <w:rPr>
              <w:rFonts w:cstheme="minorBidi"/>
              <w:kern w:val="2"/>
              <w:sz w:val="21"/>
              <w14:ligatures w14:val="standardContextual"/>
            </w:rPr>
          </w:pPr>
          <w:r>
            <w:fldChar w:fldCharType="begin"/>
          </w:r>
          <w:r>
            <w:instrText xml:space="preserve"> HYPERLINK \l "_Toc179900119" </w:instrText>
          </w:r>
          <w:r>
            <w:fldChar w:fldCharType="separate"/>
          </w:r>
          <w:r>
            <w:rPr>
              <w:rStyle w:val="12"/>
            </w:rPr>
            <w:t>4.3.2 建筑物设计</w:t>
          </w:r>
          <w:r>
            <w:tab/>
          </w:r>
          <w:r>
            <w:fldChar w:fldCharType="begin"/>
          </w:r>
          <w:r>
            <w:instrText xml:space="preserve"> PAGEREF _Toc179900119 \h </w:instrText>
          </w:r>
          <w:r>
            <w:fldChar w:fldCharType="separate"/>
          </w:r>
          <w:r>
            <w:t>31</w:t>
          </w:r>
          <w:r>
            <w:fldChar w:fldCharType="end"/>
          </w:r>
          <w:r>
            <w:fldChar w:fldCharType="end"/>
          </w:r>
        </w:p>
        <w:p w14:paraId="53A472A2">
          <w:pPr>
            <w:pStyle w:val="6"/>
            <w:tabs>
              <w:tab w:val="right" w:leader="dot" w:pos="8296"/>
            </w:tabs>
            <w:rPr>
              <w:rFonts w:cstheme="minorBidi"/>
              <w:kern w:val="2"/>
              <w:sz w:val="21"/>
              <w14:ligatures w14:val="standardContextual"/>
            </w:rPr>
          </w:pPr>
          <w:r>
            <w:fldChar w:fldCharType="begin"/>
          </w:r>
          <w:r>
            <w:instrText xml:space="preserve"> HYPERLINK \l "_Toc179900120" </w:instrText>
          </w:r>
          <w:r>
            <w:fldChar w:fldCharType="separate"/>
          </w:r>
          <w:r>
            <w:rPr>
              <w:rStyle w:val="12"/>
            </w:rPr>
            <w:t>4.3.3 建筑物抗冻设计</w:t>
          </w:r>
          <w:r>
            <w:tab/>
          </w:r>
          <w:r>
            <w:fldChar w:fldCharType="begin"/>
          </w:r>
          <w:r>
            <w:instrText xml:space="preserve"> PAGEREF _Toc179900120 \h </w:instrText>
          </w:r>
          <w:r>
            <w:fldChar w:fldCharType="separate"/>
          </w:r>
          <w:r>
            <w:t>31</w:t>
          </w:r>
          <w:r>
            <w:fldChar w:fldCharType="end"/>
          </w:r>
          <w:r>
            <w:fldChar w:fldCharType="end"/>
          </w:r>
        </w:p>
        <w:p w14:paraId="268380B2">
          <w:pPr>
            <w:pStyle w:val="6"/>
            <w:tabs>
              <w:tab w:val="right" w:leader="dot" w:pos="8296"/>
            </w:tabs>
            <w:rPr>
              <w:rFonts w:cstheme="minorBidi"/>
              <w:kern w:val="2"/>
              <w:sz w:val="21"/>
              <w14:ligatures w14:val="standardContextual"/>
            </w:rPr>
          </w:pPr>
          <w:r>
            <w:fldChar w:fldCharType="begin"/>
          </w:r>
          <w:r>
            <w:instrText xml:space="preserve"> HYPERLINK \l "_Toc179900121" </w:instrText>
          </w:r>
          <w:r>
            <w:fldChar w:fldCharType="separate"/>
          </w:r>
          <w:r>
            <w:rPr>
              <w:rStyle w:val="12"/>
            </w:rPr>
            <w:t>4.3.4 建筑物防腐设计</w:t>
          </w:r>
          <w:r>
            <w:tab/>
          </w:r>
          <w:r>
            <w:fldChar w:fldCharType="begin"/>
          </w:r>
          <w:r>
            <w:instrText xml:space="preserve"> PAGEREF _Toc179900121 \h </w:instrText>
          </w:r>
          <w:r>
            <w:fldChar w:fldCharType="separate"/>
          </w:r>
          <w:r>
            <w:t>31</w:t>
          </w:r>
          <w:r>
            <w:fldChar w:fldCharType="end"/>
          </w:r>
          <w:r>
            <w:fldChar w:fldCharType="end"/>
          </w:r>
        </w:p>
        <w:p w14:paraId="5741F503">
          <w:pPr>
            <w:pStyle w:val="8"/>
            <w:tabs>
              <w:tab w:val="right" w:leader="dot" w:pos="8296"/>
            </w:tabs>
            <w:rPr>
              <w:rFonts w:cstheme="minorBidi"/>
              <w:kern w:val="2"/>
              <w:sz w:val="21"/>
              <w14:ligatures w14:val="standardContextual"/>
            </w:rPr>
          </w:pPr>
          <w:r>
            <w:fldChar w:fldCharType="begin"/>
          </w:r>
          <w:r>
            <w:instrText xml:space="preserve"> HYPERLINK \l "_Toc179900122" </w:instrText>
          </w:r>
          <w:r>
            <w:fldChar w:fldCharType="separate"/>
          </w:r>
          <w:r>
            <w:rPr>
              <w:rStyle w:val="12"/>
            </w:rPr>
            <w:t>5.施工组织设计</w:t>
          </w:r>
          <w:r>
            <w:tab/>
          </w:r>
          <w:r>
            <w:fldChar w:fldCharType="begin"/>
          </w:r>
          <w:r>
            <w:instrText xml:space="preserve"> PAGEREF _Toc179900122 \h </w:instrText>
          </w:r>
          <w:r>
            <w:fldChar w:fldCharType="separate"/>
          </w:r>
          <w:r>
            <w:t>54</w:t>
          </w:r>
          <w:r>
            <w:fldChar w:fldCharType="end"/>
          </w:r>
          <w:r>
            <w:fldChar w:fldCharType="end"/>
          </w:r>
        </w:p>
        <w:p w14:paraId="32B5B79B">
          <w:pPr>
            <w:pStyle w:val="9"/>
            <w:tabs>
              <w:tab w:val="right" w:leader="dot" w:pos="8296"/>
            </w:tabs>
            <w:rPr>
              <w:rFonts w:cstheme="minorBidi"/>
              <w:kern w:val="2"/>
              <w:sz w:val="21"/>
              <w14:ligatures w14:val="standardContextual"/>
            </w:rPr>
          </w:pPr>
          <w:r>
            <w:fldChar w:fldCharType="begin"/>
          </w:r>
          <w:r>
            <w:instrText xml:space="preserve"> HYPERLINK \l "_Toc179900123" </w:instrText>
          </w:r>
          <w:r>
            <w:fldChar w:fldCharType="separate"/>
          </w:r>
          <w:r>
            <w:rPr>
              <w:rStyle w:val="12"/>
            </w:rPr>
            <w:t>5.1 施工条件</w:t>
          </w:r>
          <w:r>
            <w:tab/>
          </w:r>
          <w:r>
            <w:fldChar w:fldCharType="begin"/>
          </w:r>
          <w:r>
            <w:instrText xml:space="preserve"> PAGEREF _Toc179900123 \h </w:instrText>
          </w:r>
          <w:r>
            <w:fldChar w:fldCharType="separate"/>
          </w:r>
          <w:r>
            <w:t>54</w:t>
          </w:r>
          <w:r>
            <w:fldChar w:fldCharType="end"/>
          </w:r>
          <w:r>
            <w:fldChar w:fldCharType="end"/>
          </w:r>
        </w:p>
        <w:p w14:paraId="7067F9F8">
          <w:pPr>
            <w:pStyle w:val="6"/>
            <w:tabs>
              <w:tab w:val="right" w:leader="dot" w:pos="8296"/>
            </w:tabs>
            <w:rPr>
              <w:rFonts w:cstheme="minorBidi"/>
              <w:kern w:val="2"/>
              <w:sz w:val="21"/>
              <w14:ligatures w14:val="standardContextual"/>
            </w:rPr>
          </w:pPr>
          <w:r>
            <w:fldChar w:fldCharType="begin"/>
          </w:r>
          <w:r>
            <w:instrText xml:space="preserve"> HYPERLINK \l "_Toc179900124" </w:instrText>
          </w:r>
          <w:r>
            <w:fldChar w:fldCharType="separate"/>
          </w:r>
          <w:r>
            <w:rPr>
              <w:rStyle w:val="12"/>
            </w:rPr>
            <w:t>5.1.1 自然条件</w:t>
          </w:r>
          <w:r>
            <w:tab/>
          </w:r>
          <w:r>
            <w:fldChar w:fldCharType="begin"/>
          </w:r>
          <w:r>
            <w:instrText xml:space="preserve"> PAGEREF _Toc179900124 \h </w:instrText>
          </w:r>
          <w:r>
            <w:fldChar w:fldCharType="separate"/>
          </w:r>
          <w:r>
            <w:t>54</w:t>
          </w:r>
          <w:r>
            <w:fldChar w:fldCharType="end"/>
          </w:r>
          <w:r>
            <w:fldChar w:fldCharType="end"/>
          </w:r>
        </w:p>
        <w:p w14:paraId="3D962446">
          <w:pPr>
            <w:pStyle w:val="6"/>
            <w:tabs>
              <w:tab w:val="right" w:leader="dot" w:pos="8296"/>
            </w:tabs>
            <w:rPr>
              <w:rFonts w:cstheme="minorBidi"/>
              <w:kern w:val="2"/>
              <w:sz w:val="21"/>
              <w14:ligatures w14:val="standardContextual"/>
            </w:rPr>
          </w:pPr>
          <w:r>
            <w:fldChar w:fldCharType="begin"/>
          </w:r>
          <w:r>
            <w:instrText xml:space="preserve"> HYPERLINK \l "_Toc179900125" </w:instrText>
          </w:r>
          <w:r>
            <w:fldChar w:fldCharType="separate"/>
          </w:r>
          <w:r>
            <w:rPr>
              <w:rStyle w:val="12"/>
            </w:rPr>
            <w:t>5.1.2 交通运输条件</w:t>
          </w:r>
          <w:r>
            <w:tab/>
          </w:r>
          <w:r>
            <w:fldChar w:fldCharType="begin"/>
          </w:r>
          <w:r>
            <w:instrText xml:space="preserve"> PAGEREF _Toc179900125 \h </w:instrText>
          </w:r>
          <w:r>
            <w:fldChar w:fldCharType="separate"/>
          </w:r>
          <w:r>
            <w:t>55</w:t>
          </w:r>
          <w:r>
            <w:fldChar w:fldCharType="end"/>
          </w:r>
          <w:r>
            <w:fldChar w:fldCharType="end"/>
          </w:r>
        </w:p>
        <w:p w14:paraId="7DB6E326">
          <w:pPr>
            <w:pStyle w:val="6"/>
            <w:tabs>
              <w:tab w:val="right" w:leader="dot" w:pos="8296"/>
            </w:tabs>
            <w:rPr>
              <w:rFonts w:cstheme="minorBidi"/>
              <w:kern w:val="2"/>
              <w:sz w:val="21"/>
              <w14:ligatures w14:val="standardContextual"/>
            </w:rPr>
          </w:pPr>
          <w:r>
            <w:fldChar w:fldCharType="begin"/>
          </w:r>
          <w:r>
            <w:instrText xml:space="preserve"> HYPERLINK \l "_Toc179900126" </w:instrText>
          </w:r>
          <w:r>
            <w:fldChar w:fldCharType="separate"/>
          </w:r>
          <w:r>
            <w:rPr>
              <w:rStyle w:val="12"/>
            </w:rPr>
            <w:t>5.1.3 施工水、电条件</w:t>
          </w:r>
          <w:r>
            <w:tab/>
          </w:r>
          <w:r>
            <w:fldChar w:fldCharType="begin"/>
          </w:r>
          <w:r>
            <w:instrText xml:space="preserve"> PAGEREF _Toc179900126 \h </w:instrText>
          </w:r>
          <w:r>
            <w:fldChar w:fldCharType="separate"/>
          </w:r>
          <w:r>
            <w:t>55</w:t>
          </w:r>
          <w:r>
            <w:fldChar w:fldCharType="end"/>
          </w:r>
          <w:r>
            <w:fldChar w:fldCharType="end"/>
          </w:r>
        </w:p>
        <w:p w14:paraId="0C80CC3A">
          <w:pPr>
            <w:pStyle w:val="6"/>
            <w:tabs>
              <w:tab w:val="right" w:leader="dot" w:pos="8296"/>
            </w:tabs>
            <w:rPr>
              <w:rFonts w:cstheme="minorBidi"/>
              <w:kern w:val="2"/>
              <w:sz w:val="21"/>
              <w14:ligatures w14:val="standardContextual"/>
            </w:rPr>
          </w:pPr>
          <w:r>
            <w:fldChar w:fldCharType="begin"/>
          </w:r>
          <w:r>
            <w:instrText xml:space="preserve"> HYPERLINK \l "_Toc179900127" </w:instrText>
          </w:r>
          <w:r>
            <w:fldChar w:fldCharType="separate"/>
          </w:r>
          <w:r>
            <w:rPr>
              <w:rStyle w:val="12"/>
            </w:rPr>
            <w:t>5.1.4 施工场地</w:t>
          </w:r>
          <w:r>
            <w:tab/>
          </w:r>
          <w:r>
            <w:fldChar w:fldCharType="begin"/>
          </w:r>
          <w:r>
            <w:instrText xml:space="preserve"> PAGEREF _Toc179900127 \h </w:instrText>
          </w:r>
          <w:r>
            <w:fldChar w:fldCharType="separate"/>
          </w:r>
          <w:r>
            <w:t>55</w:t>
          </w:r>
          <w:r>
            <w:fldChar w:fldCharType="end"/>
          </w:r>
          <w:r>
            <w:fldChar w:fldCharType="end"/>
          </w:r>
        </w:p>
        <w:p w14:paraId="2A15A29B">
          <w:pPr>
            <w:pStyle w:val="6"/>
            <w:tabs>
              <w:tab w:val="right" w:leader="dot" w:pos="8296"/>
            </w:tabs>
            <w:rPr>
              <w:rFonts w:cstheme="minorBidi"/>
              <w:kern w:val="2"/>
              <w:sz w:val="21"/>
              <w14:ligatures w14:val="standardContextual"/>
            </w:rPr>
          </w:pPr>
          <w:r>
            <w:fldChar w:fldCharType="begin"/>
          </w:r>
          <w:r>
            <w:instrText xml:space="preserve"> HYPERLINK \l "_Toc179900128" </w:instrText>
          </w:r>
          <w:r>
            <w:fldChar w:fldCharType="separate"/>
          </w:r>
          <w:r>
            <w:rPr>
              <w:rStyle w:val="12"/>
            </w:rPr>
            <w:t>5.1.5 工程施工特点</w:t>
          </w:r>
          <w:r>
            <w:tab/>
          </w:r>
          <w:r>
            <w:fldChar w:fldCharType="begin"/>
          </w:r>
          <w:r>
            <w:instrText xml:space="preserve"> PAGEREF _Toc179900128 \h </w:instrText>
          </w:r>
          <w:r>
            <w:fldChar w:fldCharType="separate"/>
          </w:r>
          <w:r>
            <w:t>56</w:t>
          </w:r>
          <w:r>
            <w:fldChar w:fldCharType="end"/>
          </w:r>
          <w:r>
            <w:fldChar w:fldCharType="end"/>
          </w:r>
        </w:p>
        <w:p w14:paraId="613CFB0C">
          <w:pPr>
            <w:pStyle w:val="6"/>
            <w:tabs>
              <w:tab w:val="right" w:leader="dot" w:pos="8296"/>
            </w:tabs>
            <w:rPr>
              <w:rFonts w:cstheme="minorBidi"/>
              <w:kern w:val="2"/>
              <w:sz w:val="21"/>
              <w14:ligatures w14:val="standardContextual"/>
            </w:rPr>
          </w:pPr>
          <w:r>
            <w:fldChar w:fldCharType="begin"/>
          </w:r>
          <w:r>
            <w:instrText xml:space="preserve"> HYPERLINK \l "_Toc179900129" </w:instrText>
          </w:r>
          <w:r>
            <w:fldChar w:fldCharType="separate"/>
          </w:r>
          <w:r>
            <w:rPr>
              <w:rStyle w:val="12"/>
            </w:rPr>
            <w:t>5.1.6 主要建筑材料供应</w:t>
          </w:r>
          <w:r>
            <w:tab/>
          </w:r>
          <w:r>
            <w:fldChar w:fldCharType="begin"/>
          </w:r>
          <w:r>
            <w:instrText xml:space="preserve"> PAGEREF _Toc179900129 \h </w:instrText>
          </w:r>
          <w:r>
            <w:fldChar w:fldCharType="separate"/>
          </w:r>
          <w:r>
            <w:t>56</w:t>
          </w:r>
          <w:r>
            <w:fldChar w:fldCharType="end"/>
          </w:r>
          <w:r>
            <w:fldChar w:fldCharType="end"/>
          </w:r>
        </w:p>
        <w:p w14:paraId="15C2A0EC">
          <w:pPr>
            <w:pStyle w:val="6"/>
            <w:tabs>
              <w:tab w:val="right" w:leader="dot" w:pos="8296"/>
            </w:tabs>
            <w:rPr>
              <w:rFonts w:cstheme="minorBidi"/>
              <w:kern w:val="2"/>
              <w:sz w:val="21"/>
              <w14:ligatures w14:val="standardContextual"/>
            </w:rPr>
          </w:pPr>
          <w:r>
            <w:fldChar w:fldCharType="begin"/>
          </w:r>
          <w:r>
            <w:instrText xml:space="preserve"> HYPERLINK \l "_Toc179900130" </w:instrText>
          </w:r>
          <w:r>
            <w:fldChar w:fldCharType="separate"/>
          </w:r>
          <w:r>
            <w:rPr>
              <w:rStyle w:val="12"/>
            </w:rPr>
            <w:t>5.1.7 施工导流</w:t>
          </w:r>
          <w:r>
            <w:tab/>
          </w:r>
          <w:r>
            <w:fldChar w:fldCharType="begin"/>
          </w:r>
          <w:r>
            <w:instrText xml:space="preserve"> PAGEREF _Toc179900130 \h </w:instrText>
          </w:r>
          <w:r>
            <w:fldChar w:fldCharType="separate"/>
          </w:r>
          <w:r>
            <w:t>56</w:t>
          </w:r>
          <w:r>
            <w:fldChar w:fldCharType="end"/>
          </w:r>
          <w:r>
            <w:fldChar w:fldCharType="end"/>
          </w:r>
        </w:p>
        <w:p w14:paraId="1882658E">
          <w:pPr>
            <w:pStyle w:val="6"/>
            <w:tabs>
              <w:tab w:val="right" w:leader="dot" w:pos="8296"/>
            </w:tabs>
            <w:rPr>
              <w:rFonts w:cstheme="minorBidi"/>
              <w:kern w:val="2"/>
              <w:sz w:val="21"/>
              <w14:ligatures w14:val="standardContextual"/>
            </w:rPr>
          </w:pPr>
          <w:r>
            <w:fldChar w:fldCharType="begin"/>
          </w:r>
          <w:r>
            <w:instrText xml:space="preserve"> HYPERLINK \l "_Toc179900131" </w:instrText>
          </w:r>
          <w:r>
            <w:fldChar w:fldCharType="separate"/>
          </w:r>
          <w:r>
            <w:rPr>
              <w:rStyle w:val="12"/>
            </w:rPr>
            <w:t>5.1.8 施工排水</w:t>
          </w:r>
          <w:r>
            <w:tab/>
          </w:r>
          <w:r>
            <w:fldChar w:fldCharType="begin"/>
          </w:r>
          <w:r>
            <w:instrText xml:space="preserve"> PAGEREF _Toc179900131 \h </w:instrText>
          </w:r>
          <w:r>
            <w:fldChar w:fldCharType="separate"/>
          </w:r>
          <w:r>
            <w:t>56</w:t>
          </w:r>
          <w:r>
            <w:fldChar w:fldCharType="end"/>
          </w:r>
          <w:r>
            <w:fldChar w:fldCharType="end"/>
          </w:r>
        </w:p>
        <w:p w14:paraId="0F245FA2">
          <w:pPr>
            <w:pStyle w:val="9"/>
            <w:tabs>
              <w:tab w:val="right" w:leader="dot" w:pos="8296"/>
            </w:tabs>
            <w:rPr>
              <w:rFonts w:cstheme="minorBidi"/>
              <w:kern w:val="2"/>
              <w:sz w:val="21"/>
              <w14:ligatures w14:val="standardContextual"/>
            </w:rPr>
          </w:pPr>
          <w:r>
            <w:fldChar w:fldCharType="begin"/>
          </w:r>
          <w:r>
            <w:instrText xml:space="preserve"> HYPERLINK \l "_Toc179900132" </w:instrText>
          </w:r>
          <w:r>
            <w:fldChar w:fldCharType="separate"/>
          </w:r>
          <w:r>
            <w:rPr>
              <w:rStyle w:val="12"/>
            </w:rPr>
            <w:t>5.2 施工总布置</w:t>
          </w:r>
          <w:r>
            <w:tab/>
          </w:r>
          <w:r>
            <w:fldChar w:fldCharType="begin"/>
          </w:r>
          <w:r>
            <w:instrText xml:space="preserve"> PAGEREF _Toc179900132 \h </w:instrText>
          </w:r>
          <w:r>
            <w:fldChar w:fldCharType="separate"/>
          </w:r>
          <w:r>
            <w:t>56</w:t>
          </w:r>
          <w:r>
            <w:fldChar w:fldCharType="end"/>
          </w:r>
          <w:r>
            <w:fldChar w:fldCharType="end"/>
          </w:r>
        </w:p>
        <w:p w14:paraId="09F3790B">
          <w:pPr>
            <w:pStyle w:val="6"/>
            <w:tabs>
              <w:tab w:val="right" w:leader="dot" w:pos="8296"/>
            </w:tabs>
            <w:rPr>
              <w:rFonts w:cstheme="minorBidi"/>
              <w:kern w:val="2"/>
              <w:sz w:val="21"/>
              <w14:ligatures w14:val="standardContextual"/>
            </w:rPr>
          </w:pPr>
          <w:r>
            <w:fldChar w:fldCharType="begin"/>
          </w:r>
          <w:r>
            <w:instrText xml:space="preserve"> HYPERLINK \l "_Toc179900133" </w:instrText>
          </w:r>
          <w:r>
            <w:fldChar w:fldCharType="separate"/>
          </w:r>
          <w:r>
            <w:rPr>
              <w:rStyle w:val="12"/>
            </w:rPr>
            <w:t>5.2.1 施工总布置原则</w:t>
          </w:r>
          <w:r>
            <w:tab/>
          </w:r>
          <w:r>
            <w:fldChar w:fldCharType="begin"/>
          </w:r>
          <w:r>
            <w:instrText xml:space="preserve"> PAGEREF _Toc179900133 \h </w:instrText>
          </w:r>
          <w:r>
            <w:fldChar w:fldCharType="separate"/>
          </w:r>
          <w:r>
            <w:t>56</w:t>
          </w:r>
          <w:r>
            <w:fldChar w:fldCharType="end"/>
          </w:r>
          <w:r>
            <w:fldChar w:fldCharType="end"/>
          </w:r>
        </w:p>
        <w:p w14:paraId="034001AD">
          <w:pPr>
            <w:pStyle w:val="6"/>
            <w:tabs>
              <w:tab w:val="right" w:leader="dot" w:pos="8296"/>
            </w:tabs>
            <w:rPr>
              <w:rFonts w:cstheme="minorBidi"/>
              <w:kern w:val="2"/>
              <w:sz w:val="21"/>
              <w14:ligatures w14:val="standardContextual"/>
            </w:rPr>
          </w:pPr>
          <w:r>
            <w:fldChar w:fldCharType="begin"/>
          </w:r>
          <w:r>
            <w:instrText xml:space="preserve"> HYPERLINK \l "_Toc179900134" </w:instrText>
          </w:r>
          <w:r>
            <w:fldChar w:fldCharType="separate"/>
          </w:r>
          <w:r>
            <w:rPr>
              <w:rStyle w:val="12"/>
            </w:rPr>
            <w:t>5.2.2 施工总体布置</w:t>
          </w:r>
          <w:r>
            <w:tab/>
          </w:r>
          <w:r>
            <w:fldChar w:fldCharType="begin"/>
          </w:r>
          <w:r>
            <w:instrText xml:space="preserve"> PAGEREF _Toc179900134 \h </w:instrText>
          </w:r>
          <w:r>
            <w:fldChar w:fldCharType="separate"/>
          </w:r>
          <w:r>
            <w:t>57</w:t>
          </w:r>
          <w:r>
            <w:fldChar w:fldCharType="end"/>
          </w:r>
          <w:r>
            <w:fldChar w:fldCharType="end"/>
          </w:r>
        </w:p>
        <w:p w14:paraId="3DA7E35E">
          <w:pPr>
            <w:pStyle w:val="6"/>
            <w:tabs>
              <w:tab w:val="right" w:leader="dot" w:pos="8296"/>
            </w:tabs>
            <w:rPr>
              <w:rFonts w:cstheme="minorBidi"/>
              <w:kern w:val="2"/>
              <w:sz w:val="21"/>
              <w14:ligatures w14:val="standardContextual"/>
            </w:rPr>
          </w:pPr>
          <w:r>
            <w:fldChar w:fldCharType="begin"/>
          </w:r>
          <w:r>
            <w:instrText xml:space="preserve"> HYPERLINK \l "_Toc179900135" </w:instrText>
          </w:r>
          <w:r>
            <w:fldChar w:fldCharType="separate"/>
          </w:r>
          <w:r>
            <w:rPr>
              <w:rStyle w:val="12"/>
            </w:rPr>
            <w:t>5.2.3 施工部署</w:t>
          </w:r>
          <w:r>
            <w:tab/>
          </w:r>
          <w:r>
            <w:fldChar w:fldCharType="begin"/>
          </w:r>
          <w:r>
            <w:instrText xml:space="preserve"> PAGEREF _Toc179900135 \h </w:instrText>
          </w:r>
          <w:r>
            <w:fldChar w:fldCharType="separate"/>
          </w:r>
          <w:r>
            <w:t>58</w:t>
          </w:r>
          <w:r>
            <w:fldChar w:fldCharType="end"/>
          </w:r>
          <w:r>
            <w:fldChar w:fldCharType="end"/>
          </w:r>
        </w:p>
        <w:p w14:paraId="219C5A05">
          <w:pPr>
            <w:pStyle w:val="9"/>
            <w:tabs>
              <w:tab w:val="right" w:leader="dot" w:pos="8296"/>
            </w:tabs>
            <w:rPr>
              <w:rFonts w:cstheme="minorBidi"/>
              <w:kern w:val="2"/>
              <w:sz w:val="21"/>
              <w14:ligatures w14:val="standardContextual"/>
            </w:rPr>
          </w:pPr>
          <w:r>
            <w:fldChar w:fldCharType="begin"/>
          </w:r>
          <w:r>
            <w:instrText xml:space="preserve"> HYPERLINK \l "_Toc179900136" </w:instrText>
          </w:r>
          <w:r>
            <w:fldChar w:fldCharType="separate"/>
          </w:r>
          <w:r>
            <w:rPr>
              <w:rStyle w:val="12"/>
            </w:rPr>
            <w:t>5.3 施工方法与要求</w:t>
          </w:r>
          <w:r>
            <w:tab/>
          </w:r>
          <w:r>
            <w:fldChar w:fldCharType="begin"/>
          </w:r>
          <w:r>
            <w:instrText xml:space="preserve"> PAGEREF _Toc179900136 \h </w:instrText>
          </w:r>
          <w:r>
            <w:fldChar w:fldCharType="separate"/>
          </w:r>
          <w:r>
            <w:t>59</w:t>
          </w:r>
          <w:r>
            <w:fldChar w:fldCharType="end"/>
          </w:r>
          <w:r>
            <w:fldChar w:fldCharType="end"/>
          </w:r>
        </w:p>
        <w:p w14:paraId="09D59665">
          <w:pPr>
            <w:pStyle w:val="6"/>
            <w:tabs>
              <w:tab w:val="right" w:leader="dot" w:pos="8296"/>
            </w:tabs>
            <w:rPr>
              <w:rFonts w:cstheme="minorBidi"/>
              <w:kern w:val="2"/>
              <w:sz w:val="21"/>
              <w14:ligatures w14:val="standardContextual"/>
            </w:rPr>
          </w:pPr>
          <w:r>
            <w:fldChar w:fldCharType="begin"/>
          </w:r>
          <w:r>
            <w:instrText xml:space="preserve"> HYPERLINK \l "_Toc179900137" </w:instrText>
          </w:r>
          <w:r>
            <w:fldChar w:fldCharType="separate"/>
          </w:r>
          <w:r>
            <w:rPr>
              <w:rStyle w:val="12"/>
            </w:rPr>
            <w:t>5.3.1 施工要求</w:t>
          </w:r>
          <w:r>
            <w:tab/>
          </w:r>
          <w:r>
            <w:fldChar w:fldCharType="begin"/>
          </w:r>
          <w:r>
            <w:instrText xml:space="preserve"> PAGEREF _Toc179900137 \h </w:instrText>
          </w:r>
          <w:r>
            <w:fldChar w:fldCharType="separate"/>
          </w:r>
          <w:r>
            <w:t>59</w:t>
          </w:r>
          <w:r>
            <w:fldChar w:fldCharType="end"/>
          </w:r>
          <w:r>
            <w:fldChar w:fldCharType="end"/>
          </w:r>
        </w:p>
        <w:p w14:paraId="568249A9">
          <w:pPr>
            <w:pStyle w:val="6"/>
            <w:tabs>
              <w:tab w:val="right" w:leader="dot" w:pos="8296"/>
            </w:tabs>
            <w:rPr>
              <w:rFonts w:cstheme="minorBidi"/>
              <w:kern w:val="2"/>
              <w:sz w:val="21"/>
              <w14:ligatures w14:val="standardContextual"/>
            </w:rPr>
          </w:pPr>
          <w:r>
            <w:fldChar w:fldCharType="begin"/>
          </w:r>
          <w:r>
            <w:instrText xml:space="preserve"> HYPERLINK \l "_Toc179900138" </w:instrText>
          </w:r>
          <w:r>
            <w:fldChar w:fldCharType="separate"/>
          </w:r>
          <w:r>
            <w:rPr>
              <w:rStyle w:val="12"/>
            </w:rPr>
            <w:t>5.3.2 施工质量管理</w:t>
          </w:r>
          <w:r>
            <w:tab/>
          </w:r>
          <w:r>
            <w:fldChar w:fldCharType="begin"/>
          </w:r>
          <w:r>
            <w:instrText xml:space="preserve"> PAGEREF _Toc179900138 \h </w:instrText>
          </w:r>
          <w:r>
            <w:fldChar w:fldCharType="separate"/>
          </w:r>
          <w:r>
            <w:t>59</w:t>
          </w:r>
          <w:r>
            <w:fldChar w:fldCharType="end"/>
          </w:r>
          <w:r>
            <w:fldChar w:fldCharType="end"/>
          </w:r>
        </w:p>
        <w:p w14:paraId="27E8A40D">
          <w:pPr>
            <w:pStyle w:val="8"/>
            <w:tabs>
              <w:tab w:val="right" w:leader="dot" w:pos="8296"/>
            </w:tabs>
            <w:rPr>
              <w:rFonts w:cstheme="minorBidi"/>
              <w:kern w:val="2"/>
              <w:sz w:val="21"/>
              <w14:ligatures w14:val="standardContextual"/>
            </w:rPr>
          </w:pPr>
          <w:r>
            <w:fldChar w:fldCharType="begin"/>
          </w:r>
          <w:r>
            <w:instrText xml:space="preserve"> HYPERLINK \l "_Toc179900139" </w:instrText>
          </w:r>
          <w:r>
            <w:fldChar w:fldCharType="separate"/>
          </w:r>
          <w:r>
            <w:rPr>
              <w:rStyle w:val="12"/>
            </w:rPr>
            <w:t>6 结论与建议</w:t>
          </w:r>
          <w:r>
            <w:tab/>
          </w:r>
          <w:r>
            <w:fldChar w:fldCharType="begin"/>
          </w:r>
          <w:r>
            <w:instrText xml:space="preserve"> PAGEREF _Toc179900139 \h </w:instrText>
          </w:r>
          <w:r>
            <w:fldChar w:fldCharType="separate"/>
          </w:r>
          <w:r>
            <w:t>61</w:t>
          </w:r>
          <w:r>
            <w:fldChar w:fldCharType="end"/>
          </w:r>
          <w:r>
            <w:fldChar w:fldCharType="end"/>
          </w:r>
        </w:p>
        <w:p w14:paraId="5A4B50C4">
          <w:pPr>
            <w:pStyle w:val="9"/>
            <w:tabs>
              <w:tab w:val="right" w:leader="dot" w:pos="8296"/>
            </w:tabs>
            <w:rPr>
              <w:rFonts w:cstheme="minorBidi"/>
              <w:kern w:val="2"/>
              <w:sz w:val="21"/>
              <w14:ligatures w14:val="standardContextual"/>
            </w:rPr>
          </w:pPr>
          <w:r>
            <w:fldChar w:fldCharType="begin"/>
          </w:r>
          <w:r>
            <w:instrText xml:space="preserve"> HYPERLINK \l "_Toc179900140" </w:instrText>
          </w:r>
          <w:r>
            <w:fldChar w:fldCharType="separate"/>
          </w:r>
          <w:r>
            <w:rPr>
              <w:rStyle w:val="12"/>
            </w:rPr>
            <w:t>6.1 结论</w:t>
          </w:r>
          <w:r>
            <w:tab/>
          </w:r>
          <w:r>
            <w:fldChar w:fldCharType="begin"/>
          </w:r>
          <w:r>
            <w:instrText xml:space="preserve"> PAGEREF _Toc179900140 \h </w:instrText>
          </w:r>
          <w:r>
            <w:fldChar w:fldCharType="separate"/>
          </w:r>
          <w:r>
            <w:t>61</w:t>
          </w:r>
          <w:r>
            <w:fldChar w:fldCharType="end"/>
          </w:r>
          <w:r>
            <w:fldChar w:fldCharType="end"/>
          </w:r>
        </w:p>
        <w:p w14:paraId="3C1B9FDB">
          <w:pPr>
            <w:pStyle w:val="9"/>
            <w:tabs>
              <w:tab w:val="right" w:leader="dot" w:pos="8296"/>
            </w:tabs>
            <w:rPr>
              <w:rFonts w:cstheme="minorBidi"/>
              <w:kern w:val="2"/>
              <w:sz w:val="21"/>
              <w14:ligatures w14:val="standardContextual"/>
            </w:rPr>
          </w:pPr>
          <w:r>
            <w:fldChar w:fldCharType="begin"/>
          </w:r>
          <w:r>
            <w:instrText xml:space="preserve"> HYPERLINK \l "_Toc179900141" </w:instrText>
          </w:r>
          <w:r>
            <w:fldChar w:fldCharType="separate"/>
          </w:r>
          <w:r>
            <w:rPr>
              <w:rStyle w:val="12"/>
            </w:rPr>
            <w:t>6.2 建议</w:t>
          </w:r>
          <w:r>
            <w:tab/>
          </w:r>
          <w:r>
            <w:fldChar w:fldCharType="begin"/>
          </w:r>
          <w:r>
            <w:instrText xml:space="preserve"> PAGEREF _Toc179900141 \h </w:instrText>
          </w:r>
          <w:r>
            <w:fldChar w:fldCharType="separate"/>
          </w:r>
          <w:r>
            <w:t>62</w:t>
          </w:r>
          <w:r>
            <w:fldChar w:fldCharType="end"/>
          </w:r>
          <w:r>
            <w:fldChar w:fldCharType="end"/>
          </w:r>
        </w:p>
        <w:p w14:paraId="642FA75F">
          <w:r>
            <w:rPr>
              <w:b/>
              <w:bCs/>
              <w:lang w:val="zh-CN"/>
            </w:rPr>
            <w:fldChar w:fldCharType="end"/>
          </w:r>
        </w:p>
      </w:sdtContent>
    </w:sdt>
    <w:p w14:paraId="3F1C6DF4">
      <w:pPr>
        <w:spacing w:line="480" w:lineRule="auto"/>
        <w:jc w:val="center"/>
        <w:rPr>
          <w:rFonts w:ascii="宋体" w:hAnsi="宋体" w:eastAsia="宋体"/>
          <w:b/>
          <w:bCs/>
          <w:sz w:val="52"/>
          <w:szCs w:val="52"/>
        </w:rPr>
      </w:pPr>
    </w:p>
    <w:p w14:paraId="671C80D8">
      <w:pPr>
        <w:spacing w:line="480" w:lineRule="auto"/>
        <w:jc w:val="center"/>
        <w:rPr>
          <w:rFonts w:ascii="宋体" w:hAnsi="宋体" w:eastAsia="宋体"/>
          <w:b/>
          <w:bCs/>
          <w:sz w:val="52"/>
          <w:szCs w:val="52"/>
        </w:rPr>
      </w:pPr>
    </w:p>
    <w:p w14:paraId="69AA6A2E">
      <w:pPr>
        <w:spacing w:line="480" w:lineRule="auto"/>
        <w:jc w:val="center"/>
        <w:rPr>
          <w:rFonts w:ascii="宋体" w:hAnsi="宋体" w:eastAsia="宋体"/>
          <w:b/>
          <w:bCs/>
          <w:sz w:val="52"/>
          <w:szCs w:val="52"/>
        </w:rPr>
      </w:pPr>
    </w:p>
    <w:p w14:paraId="4DC52342">
      <w:pPr>
        <w:spacing w:line="480" w:lineRule="auto"/>
        <w:jc w:val="center"/>
        <w:rPr>
          <w:rFonts w:ascii="宋体" w:hAnsi="宋体" w:eastAsia="宋体"/>
          <w:b/>
          <w:bCs/>
          <w:sz w:val="52"/>
          <w:szCs w:val="52"/>
        </w:rPr>
      </w:pPr>
    </w:p>
    <w:p w14:paraId="5401AC42">
      <w:pPr>
        <w:spacing w:line="480" w:lineRule="auto"/>
        <w:jc w:val="both"/>
        <w:rPr>
          <w:rFonts w:hint="eastAsia" w:ascii="宋体" w:hAnsi="宋体" w:eastAsia="宋体"/>
          <w:b/>
          <w:bCs/>
          <w:sz w:val="52"/>
          <w:szCs w:val="52"/>
        </w:rPr>
      </w:pPr>
    </w:p>
    <w:p w14:paraId="181727C2">
      <w:pPr>
        <w:pStyle w:val="2"/>
        <w:jc w:val="center"/>
      </w:pPr>
      <w:bookmarkStart w:id="0" w:name="_Toc179900076"/>
      <w:r>
        <w:t xml:space="preserve">1 </w:t>
      </w:r>
      <w:r>
        <w:rPr>
          <w:rFonts w:hint="eastAsia"/>
        </w:rPr>
        <w:t>概述</w:t>
      </w:r>
      <w:bookmarkEnd w:id="0"/>
    </w:p>
    <w:p w14:paraId="65CC7ADD">
      <w:pPr>
        <w:pStyle w:val="3"/>
        <w:rPr>
          <w:sz w:val="24"/>
          <w:szCs w:val="24"/>
        </w:rPr>
      </w:pPr>
      <w:bookmarkStart w:id="1" w:name="_Toc179900077"/>
      <w:r>
        <w:rPr>
          <w:sz w:val="24"/>
          <w:szCs w:val="24"/>
        </w:rPr>
        <w:t xml:space="preserve">1.1 </w:t>
      </w:r>
      <w:r>
        <w:rPr>
          <w:rFonts w:hint="eastAsia"/>
          <w:sz w:val="24"/>
          <w:szCs w:val="24"/>
        </w:rPr>
        <w:t>项目概述</w:t>
      </w:r>
      <w:bookmarkEnd w:id="1"/>
      <w:r>
        <w:rPr>
          <w:rFonts w:hint="eastAsia"/>
          <w:sz w:val="24"/>
          <w:szCs w:val="24"/>
        </w:rPr>
        <w:t xml:space="preserve"> </w:t>
      </w:r>
    </w:p>
    <w:p w14:paraId="2AB0F72D">
      <w:pPr>
        <w:pStyle w:val="4"/>
        <w:rPr>
          <w:sz w:val="24"/>
          <w:szCs w:val="24"/>
        </w:rPr>
      </w:pPr>
      <w:bookmarkStart w:id="2" w:name="_Toc179900078"/>
      <w:r>
        <w:rPr>
          <w:sz w:val="24"/>
          <w:szCs w:val="24"/>
        </w:rPr>
        <w:t xml:space="preserve">1.1.1 </w:t>
      </w:r>
      <w:r>
        <w:rPr>
          <w:rFonts w:hint="eastAsia"/>
          <w:sz w:val="24"/>
          <w:szCs w:val="24"/>
        </w:rPr>
        <w:t>项目名称</w:t>
      </w:r>
      <w:bookmarkEnd w:id="2"/>
      <w:r>
        <w:rPr>
          <w:rFonts w:hint="eastAsia"/>
          <w:sz w:val="24"/>
          <w:szCs w:val="24"/>
        </w:rPr>
        <w:t xml:space="preserve"> </w:t>
      </w:r>
    </w:p>
    <w:p w14:paraId="71AE4577">
      <w:pPr>
        <w:spacing w:line="480" w:lineRule="auto"/>
        <w:rPr>
          <w:rFonts w:ascii="宋体" w:hAnsi="宋体" w:eastAsia="宋体"/>
          <w:sz w:val="24"/>
        </w:rPr>
      </w:pPr>
      <w:r>
        <w:rPr>
          <w:rFonts w:hint="eastAsia" w:ascii="宋体" w:hAnsi="宋体" w:eastAsia="宋体"/>
          <w:sz w:val="24"/>
        </w:rPr>
        <w:t xml:space="preserve">叶城县末级渠系水尺及设备采购安装项目 </w:t>
      </w:r>
    </w:p>
    <w:p w14:paraId="0A57FBC9">
      <w:pPr>
        <w:pStyle w:val="4"/>
        <w:rPr>
          <w:sz w:val="24"/>
          <w:szCs w:val="24"/>
        </w:rPr>
      </w:pPr>
      <w:bookmarkStart w:id="3" w:name="_Toc179900079"/>
      <w:r>
        <w:rPr>
          <w:sz w:val="24"/>
          <w:szCs w:val="24"/>
        </w:rPr>
        <w:t xml:space="preserve">1.1.2 </w:t>
      </w:r>
      <w:r>
        <w:rPr>
          <w:rFonts w:hint="eastAsia"/>
          <w:sz w:val="24"/>
          <w:szCs w:val="24"/>
        </w:rPr>
        <w:t>项目主管单位</w:t>
      </w:r>
      <w:bookmarkEnd w:id="3"/>
      <w:r>
        <w:rPr>
          <w:rFonts w:hint="eastAsia"/>
          <w:sz w:val="24"/>
          <w:szCs w:val="24"/>
        </w:rPr>
        <w:t xml:space="preserve"> </w:t>
      </w:r>
    </w:p>
    <w:p w14:paraId="79F91C90">
      <w:pPr>
        <w:spacing w:line="480" w:lineRule="auto"/>
        <w:rPr>
          <w:rFonts w:ascii="宋体" w:hAnsi="宋体" w:eastAsia="宋体"/>
          <w:sz w:val="24"/>
        </w:rPr>
      </w:pPr>
      <w:r>
        <w:rPr>
          <w:rFonts w:hint="eastAsia" w:ascii="宋体" w:hAnsi="宋体" w:eastAsia="宋体"/>
          <w:sz w:val="24"/>
        </w:rPr>
        <w:t xml:space="preserve">叶城县水管总站 </w:t>
      </w:r>
    </w:p>
    <w:p w14:paraId="7286ACB3">
      <w:pPr>
        <w:pStyle w:val="4"/>
        <w:rPr>
          <w:rFonts w:ascii="宋体" w:hAnsi="宋体" w:eastAsia="宋体"/>
          <w:b w:val="0"/>
          <w:bCs w:val="0"/>
          <w:sz w:val="24"/>
          <w:szCs w:val="24"/>
        </w:rPr>
      </w:pPr>
      <w:bookmarkStart w:id="4" w:name="_Toc179900080"/>
      <w:r>
        <w:rPr>
          <w:sz w:val="24"/>
          <w:szCs w:val="24"/>
        </w:rPr>
        <w:t xml:space="preserve">1.1.3 </w:t>
      </w:r>
      <w:r>
        <w:rPr>
          <w:rFonts w:hint="eastAsia"/>
          <w:sz w:val="24"/>
          <w:szCs w:val="24"/>
        </w:rPr>
        <w:t>项目建设地点</w:t>
      </w:r>
      <w:bookmarkEnd w:id="4"/>
      <w:r>
        <w:rPr>
          <w:rFonts w:hint="eastAsia"/>
          <w:sz w:val="24"/>
          <w:szCs w:val="24"/>
        </w:rPr>
        <w:t xml:space="preserve"> </w:t>
      </w:r>
    </w:p>
    <w:p w14:paraId="4F8F61A8">
      <w:pPr>
        <w:spacing w:line="480" w:lineRule="auto"/>
        <w:rPr>
          <w:rFonts w:ascii="宋体" w:hAnsi="宋体" w:eastAsia="宋体"/>
          <w:sz w:val="24"/>
        </w:rPr>
      </w:pPr>
      <w:r>
        <w:rPr>
          <w:rFonts w:hint="eastAsia" w:ascii="宋体" w:hAnsi="宋体" w:eastAsia="宋体"/>
          <w:sz w:val="24"/>
        </w:rPr>
        <w:t>叶城县阿克塔什镇、伯西热克乡、江格勒斯乡、洛克乡、恰尔巴格镇、恰其库木管理区、金果镇、河园镇、铁提乡、吐古其乡、乌吉热克乡、乌夏巴什镇、夏合甫乡、依力克其乡、依提木孔镇、宗朗乡</w:t>
      </w:r>
    </w:p>
    <w:p w14:paraId="6EED6BC7">
      <w:pPr>
        <w:pStyle w:val="4"/>
        <w:rPr>
          <w:sz w:val="24"/>
          <w:szCs w:val="24"/>
        </w:rPr>
      </w:pPr>
      <w:bookmarkStart w:id="5" w:name="_Toc179900081"/>
      <w:r>
        <w:rPr>
          <w:sz w:val="24"/>
          <w:szCs w:val="24"/>
        </w:rPr>
        <w:t xml:space="preserve">1.1.4 </w:t>
      </w:r>
      <w:r>
        <w:rPr>
          <w:rFonts w:hint="eastAsia"/>
          <w:sz w:val="24"/>
          <w:szCs w:val="24"/>
        </w:rPr>
        <w:t>项目建设期</w:t>
      </w:r>
      <w:bookmarkEnd w:id="5"/>
      <w:r>
        <w:rPr>
          <w:rFonts w:hint="eastAsia"/>
          <w:sz w:val="24"/>
          <w:szCs w:val="24"/>
        </w:rPr>
        <w:t xml:space="preserve"> </w:t>
      </w:r>
    </w:p>
    <w:p w14:paraId="2CB9FE85">
      <w:pPr>
        <w:spacing w:line="480" w:lineRule="auto"/>
        <w:rPr>
          <w:rFonts w:hint="eastAsia" w:ascii="宋体" w:hAnsi="宋体" w:eastAsia="宋体"/>
          <w:sz w:val="24"/>
        </w:rPr>
      </w:pPr>
      <w:r>
        <w:rPr>
          <w:rFonts w:hint="eastAsia" w:ascii="宋体" w:hAnsi="宋体" w:eastAsia="宋体"/>
          <w:sz w:val="24"/>
        </w:rPr>
        <w:t>共计30天内完成</w:t>
      </w:r>
    </w:p>
    <w:p w14:paraId="0D079095">
      <w:pPr>
        <w:pStyle w:val="4"/>
        <w:rPr>
          <w:sz w:val="24"/>
          <w:szCs w:val="24"/>
        </w:rPr>
      </w:pPr>
      <w:bookmarkStart w:id="6" w:name="_Toc179900082"/>
      <w:r>
        <w:rPr>
          <w:sz w:val="24"/>
          <w:szCs w:val="24"/>
        </w:rPr>
        <w:t xml:space="preserve">1.1.5 </w:t>
      </w:r>
      <w:r>
        <w:rPr>
          <w:rFonts w:hint="eastAsia"/>
          <w:sz w:val="24"/>
          <w:szCs w:val="24"/>
        </w:rPr>
        <w:t>项目建设性质</w:t>
      </w:r>
      <w:bookmarkEnd w:id="6"/>
      <w:r>
        <w:rPr>
          <w:rFonts w:hint="eastAsia"/>
          <w:sz w:val="24"/>
          <w:szCs w:val="24"/>
        </w:rPr>
        <w:t xml:space="preserve"> </w:t>
      </w:r>
    </w:p>
    <w:p w14:paraId="4FD4D257">
      <w:pPr>
        <w:spacing w:line="480" w:lineRule="auto"/>
        <w:rPr>
          <w:rFonts w:ascii="宋体" w:hAnsi="宋体" w:eastAsia="宋体"/>
          <w:sz w:val="24"/>
        </w:rPr>
      </w:pPr>
      <w:r>
        <w:rPr>
          <w:rFonts w:hint="eastAsia" w:ascii="宋体" w:hAnsi="宋体" w:eastAsia="宋体"/>
          <w:sz w:val="24"/>
        </w:rPr>
        <w:t xml:space="preserve">新建 </w:t>
      </w:r>
    </w:p>
    <w:p w14:paraId="05865F23">
      <w:pPr>
        <w:pStyle w:val="4"/>
        <w:rPr>
          <w:rFonts w:ascii="宋体" w:hAnsi="宋体" w:eastAsia="宋体"/>
          <w:b w:val="0"/>
          <w:bCs w:val="0"/>
          <w:sz w:val="24"/>
          <w:szCs w:val="24"/>
        </w:rPr>
      </w:pPr>
      <w:bookmarkStart w:id="7" w:name="_Toc179900083"/>
      <w:r>
        <w:rPr>
          <w:sz w:val="24"/>
          <w:szCs w:val="24"/>
        </w:rPr>
        <w:t xml:space="preserve">1.1.6 </w:t>
      </w:r>
      <w:r>
        <w:rPr>
          <w:rFonts w:hint="eastAsia"/>
          <w:sz w:val="24"/>
          <w:szCs w:val="24"/>
        </w:rPr>
        <w:t>项目建设规模及内容</w:t>
      </w:r>
      <w:bookmarkEnd w:id="7"/>
      <w:r>
        <w:rPr>
          <w:rFonts w:hint="eastAsia"/>
          <w:sz w:val="24"/>
          <w:szCs w:val="24"/>
        </w:rPr>
        <w:t xml:space="preserve"> </w:t>
      </w:r>
    </w:p>
    <w:p w14:paraId="435608F0">
      <w:pPr>
        <w:spacing w:line="480" w:lineRule="auto"/>
        <w:rPr>
          <w:rFonts w:ascii="宋体" w:hAnsi="宋体" w:eastAsia="宋体"/>
          <w:sz w:val="24"/>
        </w:rPr>
      </w:pPr>
      <w:r>
        <w:rPr>
          <w:rFonts w:hint="eastAsia" w:ascii="宋体" w:hAnsi="宋体" w:eastAsia="宋体"/>
          <w:sz w:val="24"/>
        </w:rPr>
        <w:t>本项目建设规模：根据《灌溉与排水工程设计标准》</w:t>
      </w:r>
      <w:r>
        <w:rPr>
          <w:rFonts w:ascii="宋体" w:hAnsi="宋体" w:eastAsia="宋体"/>
          <w:sz w:val="24"/>
        </w:rPr>
        <w:t>(GB50288</w:t>
      </w:r>
      <w:r>
        <w:rPr>
          <w:rFonts w:hint="eastAsia" w:ascii="宋体" w:hAnsi="宋体" w:eastAsia="宋体"/>
          <w:sz w:val="24"/>
        </w:rPr>
        <w:t>—</w:t>
      </w:r>
      <w:r>
        <w:rPr>
          <w:rFonts w:ascii="宋体" w:hAnsi="宋体" w:eastAsia="宋体"/>
          <w:sz w:val="24"/>
        </w:rPr>
        <w:t>2018</w:t>
      </w:r>
      <w:r>
        <w:rPr>
          <w:rFonts w:hint="eastAsia" w:ascii="宋体" w:hAnsi="宋体" w:eastAsia="宋体"/>
          <w:sz w:val="24"/>
        </w:rPr>
        <w:t>）中规定，本工程级别为</w:t>
      </w:r>
      <w:r>
        <w:rPr>
          <w:rFonts w:ascii="宋体" w:hAnsi="宋体" w:eastAsia="宋体"/>
          <w:sz w:val="24"/>
        </w:rPr>
        <w:t>5</w:t>
      </w:r>
      <w:r>
        <w:rPr>
          <w:rFonts w:hint="eastAsia" w:ascii="宋体" w:hAnsi="宋体" w:eastAsia="宋体"/>
          <w:sz w:val="24"/>
        </w:rPr>
        <w:t>级，建筑物级别为</w:t>
      </w:r>
      <w:r>
        <w:rPr>
          <w:rFonts w:ascii="宋体" w:hAnsi="宋体" w:eastAsia="宋体"/>
          <w:sz w:val="24"/>
        </w:rPr>
        <w:t>5</w:t>
      </w:r>
      <w:r>
        <w:rPr>
          <w:rFonts w:hint="eastAsia" w:ascii="宋体" w:hAnsi="宋体" w:eastAsia="宋体"/>
          <w:sz w:val="24"/>
        </w:rPr>
        <w:t>级；根据《水利水电工程等级划分及洪水标准》（</w:t>
      </w:r>
      <w:r>
        <w:rPr>
          <w:rFonts w:ascii="宋体" w:hAnsi="宋体" w:eastAsia="宋体"/>
          <w:sz w:val="24"/>
        </w:rPr>
        <w:t>SL252</w:t>
      </w:r>
      <w:r>
        <w:rPr>
          <w:rFonts w:hint="eastAsia" w:ascii="宋体" w:hAnsi="宋体" w:eastAsia="宋体"/>
          <w:sz w:val="24"/>
        </w:rPr>
        <w:t>-</w:t>
      </w:r>
      <w:r>
        <w:rPr>
          <w:rFonts w:ascii="宋体" w:hAnsi="宋体" w:eastAsia="宋体"/>
          <w:sz w:val="24"/>
        </w:rPr>
        <w:t>2017</w:t>
      </w:r>
      <w:r>
        <w:rPr>
          <w:rFonts w:hint="eastAsia" w:ascii="宋体" w:hAnsi="宋体" w:eastAsia="宋体"/>
          <w:sz w:val="24"/>
        </w:rPr>
        <w:t>），工程等别为Ⅴ等小（</w:t>
      </w:r>
      <w:r>
        <w:rPr>
          <w:rFonts w:ascii="宋体" w:hAnsi="宋体" w:eastAsia="宋体"/>
          <w:sz w:val="24"/>
        </w:rPr>
        <w:t>2</w:t>
      </w:r>
      <w:r>
        <w:rPr>
          <w:rFonts w:hint="eastAsia" w:ascii="宋体" w:hAnsi="宋体" w:eastAsia="宋体"/>
          <w:sz w:val="24"/>
        </w:rPr>
        <w:t>）型。</w:t>
      </w:r>
    </w:p>
    <w:p w14:paraId="38E995C5">
      <w:pPr>
        <w:spacing w:line="480" w:lineRule="auto"/>
        <w:rPr>
          <w:rFonts w:hint="eastAsia" w:ascii="宋体" w:hAnsi="宋体" w:eastAsia="宋体"/>
          <w:sz w:val="24"/>
        </w:rPr>
      </w:pPr>
      <w:r>
        <w:rPr>
          <w:rFonts w:hint="eastAsia" w:ascii="宋体" w:hAnsi="宋体" w:eastAsia="宋体"/>
          <w:sz w:val="24"/>
        </w:rPr>
        <w:t>本项目主要建设内容为：新建防渗渠道计量设施不锈钢水尺共计460座及平板电脑采购及APP安装调试。</w:t>
      </w:r>
    </w:p>
    <w:p w14:paraId="42211F36">
      <w:pPr>
        <w:pStyle w:val="4"/>
        <w:rPr>
          <w:sz w:val="24"/>
          <w:szCs w:val="24"/>
        </w:rPr>
      </w:pPr>
      <w:bookmarkStart w:id="8" w:name="_Toc179900084"/>
      <w:r>
        <w:rPr>
          <w:sz w:val="24"/>
          <w:szCs w:val="24"/>
        </w:rPr>
        <w:t xml:space="preserve">1.1.7 </w:t>
      </w:r>
      <w:r>
        <w:rPr>
          <w:rFonts w:hint="eastAsia"/>
          <w:sz w:val="24"/>
          <w:szCs w:val="24"/>
        </w:rPr>
        <w:t>项目投资及资金来源</w:t>
      </w:r>
      <w:bookmarkEnd w:id="8"/>
      <w:r>
        <w:rPr>
          <w:rFonts w:hint="eastAsia"/>
          <w:sz w:val="24"/>
          <w:szCs w:val="24"/>
        </w:rPr>
        <w:t xml:space="preserve"> </w:t>
      </w:r>
    </w:p>
    <w:p w14:paraId="5E2357BD">
      <w:pPr>
        <w:spacing w:line="480" w:lineRule="auto"/>
        <w:rPr>
          <w:rFonts w:ascii="宋体" w:hAnsi="宋体" w:eastAsia="宋体"/>
          <w:sz w:val="24"/>
        </w:rPr>
      </w:pPr>
      <w:r>
        <w:rPr>
          <w:rFonts w:hint="eastAsia" w:ascii="宋体" w:hAnsi="宋体" w:eastAsia="宋体"/>
          <w:sz w:val="24"/>
        </w:rPr>
        <w:t>本项目概算总投资45万元，资金来源为政府补助资金。</w:t>
      </w:r>
    </w:p>
    <w:p w14:paraId="2B76761D">
      <w:pPr>
        <w:pStyle w:val="3"/>
      </w:pPr>
      <w:bookmarkStart w:id="9" w:name="_Toc179900085"/>
      <w:r>
        <w:t xml:space="preserve">1.2 </w:t>
      </w:r>
      <w:r>
        <w:rPr>
          <w:rFonts w:hint="eastAsia"/>
        </w:rPr>
        <w:t>编制依据</w:t>
      </w:r>
      <w:bookmarkEnd w:id="9"/>
      <w:r>
        <w:rPr>
          <w:rFonts w:hint="eastAsia"/>
        </w:rPr>
        <w:t xml:space="preserve"> </w:t>
      </w:r>
    </w:p>
    <w:p w14:paraId="1783ACE0">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）《中华人民共和国国民经济和社会发展第十四个五年规划和 </w:t>
      </w:r>
      <w:r>
        <w:rPr>
          <w:rFonts w:ascii="宋体" w:hAnsi="宋体" w:eastAsia="宋体"/>
          <w:sz w:val="24"/>
        </w:rPr>
        <w:t xml:space="preserve">2035 </w:t>
      </w:r>
      <w:r>
        <w:rPr>
          <w:rFonts w:hint="eastAsia" w:ascii="宋体" w:hAnsi="宋体" w:eastAsia="宋体"/>
          <w:sz w:val="24"/>
        </w:rPr>
        <w:t xml:space="preserve">年远景目标纲要》 </w:t>
      </w:r>
    </w:p>
    <w:p w14:paraId="0BD7CCBB">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）《中央农办、农业农村部、国家发展改革委关于深入学习</w:t>
      </w:r>
      <w:r>
        <w:rPr>
          <w:rFonts w:ascii="宋体" w:hAnsi="宋体" w:eastAsia="宋体"/>
          <w:sz w:val="24"/>
        </w:rPr>
        <w:t>“</w:t>
      </w:r>
      <w:r>
        <w:rPr>
          <w:rFonts w:hint="eastAsia" w:ascii="宋体" w:hAnsi="宋体" w:eastAsia="宋体"/>
          <w:sz w:val="24"/>
        </w:rPr>
        <w:t>千村示范、万村整治</w:t>
      </w:r>
      <w:r>
        <w:rPr>
          <w:rFonts w:ascii="宋体" w:hAnsi="宋体" w:eastAsia="宋体"/>
          <w:sz w:val="24"/>
        </w:rPr>
        <w:t>”</w:t>
      </w:r>
      <w:r>
        <w:rPr>
          <w:rFonts w:hint="eastAsia" w:ascii="宋体" w:hAnsi="宋体" w:eastAsia="宋体"/>
          <w:sz w:val="24"/>
        </w:rPr>
        <w:t xml:space="preserve">工程经验扎实推进农村人居环境整治工作的报告》 </w:t>
      </w:r>
    </w:p>
    <w:p w14:paraId="21F61287">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）《中共中央国务院关于推进社会主义新农村建设的若干意见》 </w:t>
      </w:r>
    </w:p>
    <w:p w14:paraId="0E4A7517">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）《中共中央国务院关于加快发展现代农业进一步增强农村发展活力的若干意见》 </w:t>
      </w:r>
    </w:p>
    <w:p w14:paraId="3A8B51F6">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5</w:t>
      </w:r>
      <w:r>
        <w:rPr>
          <w:rFonts w:hint="eastAsia" w:ascii="宋体" w:hAnsi="宋体" w:eastAsia="宋体"/>
          <w:sz w:val="24"/>
        </w:rPr>
        <w:t xml:space="preserve">）政府工作报告 </w:t>
      </w:r>
    </w:p>
    <w:p w14:paraId="3EA3C65F">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6</w:t>
      </w:r>
      <w:r>
        <w:rPr>
          <w:rFonts w:hint="eastAsia" w:ascii="宋体" w:hAnsi="宋体" w:eastAsia="宋体"/>
          <w:sz w:val="24"/>
        </w:rPr>
        <w:t>）《乡村振兴战略规划》（</w:t>
      </w:r>
      <w:r>
        <w:rPr>
          <w:rFonts w:ascii="宋体" w:hAnsi="宋体" w:eastAsia="宋体"/>
          <w:sz w:val="24"/>
        </w:rPr>
        <w:t>2018-2022</w:t>
      </w:r>
      <w:r>
        <w:rPr>
          <w:rFonts w:hint="eastAsia" w:ascii="宋体" w:hAnsi="宋体" w:eastAsia="宋体"/>
          <w:sz w:val="24"/>
        </w:rPr>
        <w:t xml:space="preserve">） </w:t>
      </w:r>
    </w:p>
    <w:p w14:paraId="01B34F98">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7</w:t>
      </w:r>
      <w:r>
        <w:rPr>
          <w:rFonts w:hint="eastAsia" w:ascii="宋体" w:hAnsi="宋体" w:eastAsia="宋体"/>
          <w:sz w:val="24"/>
        </w:rPr>
        <w:t xml:space="preserve">）《农村人居环境整治三年行动方案》； </w:t>
      </w:r>
    </w:p>
    <w:p w14:paraId="35411604">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8</w:t>
      </w:r>
      <w:r>
        <w:rPr>
          <w:rFonts w:hint="eastAsia" w:ascii="宋体" w:hAnsi="宋体" w:eastAsia="宋体"/>
          <w:sz w:val="24"/>
        </w:rPr>
        <w:t>）《国家新型城镇化规划（</w:t>
      </w:r>
      <w:r>
        <w:rPr>
          <w:rFonts w:ascii="宋体" w:hAnsi="宋体" w:eastAsia="宋体"/>
          <w:sz w:val="24"/>
        </w:rPr>
        <w:t>2014</w:t>
      </w:r>
      <w:r>
        <w:rPr>
          <w:rFonts w:hint="eastAsia" w:ascii="宋体" w:hAnsi="宋体" w:eastAsia="宋体"/>
          <w:sz w:val="24"/>
        </w:rPr>
        <w:t>－</w:t>
      </w:r>
      <w:r>
        <w:rPr>
          <w:rFonts w:ascii="宋体" w:hAnsi="宋体" w:eastAsia="宋体"/>
          <w:sz w:val="24"/>
        </w:rPr>
        <w:t xml:space="preserve">2020 </w:t>
      </w:r>
      <w:r>
        <w:rPr>
          <w:rFonts w:hint="eastAsia" w:ascii="宋体" w:hAnsi="宋体" w:eastAsia="宋体"/>
          <w:sz w:val="24"/>
        </w:rPr>
        <w:t xml:space="preserve">年）》 </w:t>
      </w:r>
    </w:p>
    <w:p w14:paraId="40B9D2F0">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9</w:t>
      </w:r>
      <w:r>
        <w:rPr>
          <w:rFonts w:hint="eastAsia" w:ascii="宋体" w:hAnsi="宋体" w:eastAsia="宋体"/>
          <w:sz w:val="24"/>
        </w:rPr>
        <w:t xml:space="preserve">）《自治区农村人居环境整治三年行动方案》 </w:t>
      </w:r>
    </w:p>
    <w:p w14:paraId="6C860782">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10</w:t>
      </w:r>
      <w:r>
        <w:rPr>
          <w:rFonts w:hint="eastAsia" w:ascii="宋体" w:hAnsi="宋体" w:eastAsia="宋体"/>
          <w:sz w:val="24"/>
        </w:rPr>
        <w:t xml:space="preserve">）《新疆维吾尔自治区国民经济和社会发展第十四个五年规划和 </w:t>
      </w:r>
      <w:r>
        <w:rPr>
          <w:rFonts w:ascii="宋体" w:hAnsi="宋体" w:eastAsia="宋体"/>
          <w:sz w:val="24"/>
        </w:rPr>
        <w:t xml:space="preserve">2035 </w:t>
      </w:r>
      <w:r>
        <w:rPr>
          <w:rFonts w:hint="eastAsia" w:ascii="宋体" w:hAnsi="宋体" w:eastAsia="宋体"/>
          <w:sz w:val="24"/>
        </w:rPr>
        <w:t xml:space="preserve">年远景目标纲要》 </w:t>
      </w:r>
    </w:p>
    <w:p w14:paraId="5DEFD208">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11</w:t>
      </w:r>
      <w:r>
        <w:rPr>
          <w:rFonts w:hint="eastAsia" w:ascii="宋体" w:hAnsi="宋体" w:eastAsia="宋体"/>
          <w:sz w:val="24"/>
        </w:rPr>
        <w:t xml:space="preserve">）《喀什地区国民经济和社会发展第十四个五年规划和 </w:t>
      </w:r>
      <w:r>
        <w:rPr>
          <w:rFonts w:ascii="宋体" w:hAnsi="宋体" w:eastAsia="宋体"/>
          <w:sz w:val="24"/>
        </w:rPr>
        <w:t>2035</w:t>
      </w:r>
      <w:r>
        <w:rPr>
          <w:rFonts w:hint="eastAsia" w:ascii="宋体" w:hAnsi="宋体" w:eastAsia="宋体"/>
          <w:sz w:val="24"/>
        </w:rPr>
        <w:t xml:space="preserve">年远景目标纲要》 </w:t>
      </w:r>
    </w:p>
    <w:p w14:paraId="79D365ED">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12</w:t>
      </w:r>
      <w:r>
        <w:rPr>
          <w:rFonts w:hint="eastAsia" w:ascii="宋体" w:hAnsi="宋体" w:eastAsia="宋体"/>
          <w:sz w:val="24"/>
        </w:rPr>
        <w:t xml:space="preserve">）《叶城县国民经济和社会发展第十四个五年规划和 </w:t>
      </w:r>
      <w:r>
        <w:rPr>
          <w:rFonts w:ascii="宋体" w:hAnsi="宋体" w:eastAsia="宋体"/>
          <w:sz w:val="24"/>
        </w:rPr>
        <w:t>2035</w:t>
      </w:r>
      <w:r>
        <w:rPr>
          <w:rFonts w:hint="eastAsia" w:ascii="宋体" w:hAnsi="宋体" w:eastAsia="宋体"/>
          <w:sz w:val="24"/>
        </w:rPr>
        <w:t xml:space="preserve">年远景目标纲要》 </w:t>
      </w:r>
    </w:p>
    <w:p w14:paraId="49FE1FAD">
      <w:pPr>
        <w:spacing w:line="480" w:lineRule="auto"/>
        <w:rPr>
          <w:rFonts w:hint="eastAsia" w:ascii="宋体" w:hAnsi="宋体" w:eastAsia="宋体"/>
          <w:sz w:val="24"/>
        </w:rPr>
      </w:pPr>
      <w:r>
        <w:rPr>
          <w:rFonts w:hint="eastAsia" w:ascii="宋体" w:hAnsi="宋体" w:eastAsia="宋体"/>
          <w:sz w:val="24"/>
        </w:rPr>
        <w:t>（</w:t>
      </w:r>
      <w:r>
        <w:rPr>
          <w:rFonts w:ascii="宋体" w:hAnsi="宋体" w:eastAsia="宋体"/>
          <w:sz w:val="24"/>
        </w:rPr>
        <w:t>13</w:t>
      </w:r>
      <w:r>
        <w:rPr>
          <w:rFonts w:hint="eastAsia" w:ascii="宋体" w:hAnsi="宋体" w:eastAsia="宋体"/>
          <w:sz w:val="24"/>
        </w:rPr>
        <w:t>）项目建设单位提供的相关资料。</w:t>
      </w:r>
      <w:bookmarkStart w:id="10" w:name="_Toc179900086"/>
    </w:p>
    <w:p w14:paraId="72A06A5B">
      <w:pPr>
        <w:pStyle w:val="2"/>
        <w:jc w:val="both"/>
      </w:pPr>
      <w:r>
        <w:t xml:space="preserve">2 </w:t>
      </w:r>
      <w:r>
        <w:rPr>
          <w:rFonts w:hint="eastAsia"/>
        </w:rPr>
        <w:t>综合说明</w:t>
      </w:r>
      <w:bookmarkEnd w:id="10"/>
    </w:p>
    <w:p w14:paraId="065E0F01">
      <w:pPr>
        <w:pStyle w:val="3"/>
        <w:rPr>
          <w:sz w:val="24"/>
          <w:szCs w:val="24"/>
        </w:rPr>
      </w:pPr>
      <w:bookmarkStart w:id="11" w:name="_Toc179900087"/>
      <w:r>
        <w:rPr>
          <w:sz w:val="24"/>
          <w:szCs w:val="24"/>
        </w:rPr>
        <w:t xml:space="preserve">2.1 </w:t>
      </w:r>
      <w:r>
        <w:rPr>
          <w:rFonts w:hint="eastAsia"/>
          <w:sz w:val="24"/>
          <w:szCs w:val="24"/>
        </w:rPr>
        <w:t>绪言</w:t>
      </w:r>
      <w:bookmarkEnd w:id="11"/>
      <w:r>
        <w:rPr>
          <w:rFonts w:hint="eastAsia"/>
          <w:sz w:val="24"/>
          <w:szCs w:val="24"/>
        </w:rPr>
        <w:t xml:space="preserve"> </w:t>
      </w:r>
    </w:p>
    <w:p w14:paraId="13F02FD7">
      <w:pPr>
        <w:spacing w:line="480" w:lineRule="auto"/>
        <w:rPr>
          <w:rFonts w:ascii="宋体" w:hAnsi="宋体" w:eastAsia="宋体"/>
          <w:sz w:val="24"/>
        </w:rPr>
      </w:pPr>
      <w:r>
        <w:rPr>
          <w:rFonts w:ascii="宋体" w:hAnsi="宋体" w:eastAsia="宋体"/>
          <w:sz w:val="24"/>
        </w:rPr>
        <w:t>“</w:t>
      </w:r>
      <w:r>
        <w:rPr>
          <w:rFonts w:hint="eastAsia" w:ascii="宋体" w:hAnsi="宋体" w:eastAsia="宋体"/>
          <w:sz w:val="24"/>
        </w:rPr>
        <w:t>十四五</w:t>
      </w:r>
      <w:r>
        <w:rPr>
          <w:rFonts w:ascii="宋体" w:hAnsi="宋体" w:eastAsia="宋体"/>
          <w:sz w:val="24"/>
        </w:rPr>
        <w:t>”</w:t>
      </w:r>
      <w:r>
        <w:rPr>
          <w:rFonts w:hint="eastAsia" w:ascii="宋体" w:hAnsi="宋体" w:eastAsia="宋体"/>
          <w:sz w:val="24"/>
        </w:rPr>
        <w:t>时期是我国全面建成小康社会、实现第一个百年奋斗目标之后，乘势而上开启全面建设社会主义现代化国家新征程、向第二个百年奋斗目标进军的第一个五年，</w:t>
      </w:r>
      <w:r>
        <w:rPr>
          <w:rFonts w:ascii="宋体" w:hAnsi="宋体" w:eastAsia="宋体"/>
          <w:sz w:val="24"/>
        </w:rPr>
        <w:t>“</w:t>
      </w:r>
      <w:r>
        <w:rPr>
          <w:rFonts w:hint="eastAsia" w:ascii="宋体" w:hAnsi="宋体" w:eastAsia="宋体"/>
          <w:sz w:val="24"/>
        </w:rPr>
        <w:t>三农</w:t>
      </w:r>
      <w:r>
        <w:rPr>
          <w:rFonts w:ascii="宋体" w:hAnsi="宋体" w:eastAsia="宋体"/>
          <w:sz w:val="24"/>
        </w:rPr>
        <w:t>”</w:t>
      </w:r>
      <w:r>
        <w:rPr>
          <w:rFonts w:hint="eastAsia" w:ascii="宋体" w:hAnsi="宋体" w:eastAsia="宋体"/>
          <w:sz w:val="24"/>
        </w:rPr>
        <w:t>工作重心历史性转向全面推进乡村振兴，加快中国特色农业农村现代化进程。民族要复兴，乡村必振兴。习近平总书记在会上发表重要讲话时强调，坚持把解决好</w:t>
      </w:r>
      <w:r>
        <w:rPr>
          <w:rFonts w:ascii="宋体" w:hAnsi="宋体" w:eastAsia="宋体"/>
          <w:sz w:val="24"/>
        </w:rPr>
        <w:t>“</w:t>
      </w:r>
      <w:r>
        <w:rPr>
          <w:rFonts w:hint="eastAsia" w:ascii="宋体" w:hAnsi="宋体" w:eastAsia="宋体"/>
          <w:sz w:val="24"/>
        </w:rPr>
        <w:t>三农</w:t>
      </w:r>
      <w:r>
        <w:rPr>
          <w:rFonts w:ascii="宋体" w:hAnsi="宋体" w:eastAsia="宋体"/>
          <w:sz w:val="24"/>
        </w:rPr>
        <w:t>”</w:t>
      </w:r>
      <w:r>
        <w:rPr>
          <w:rFonts w:hint="eastAsia" w:ascii="宋体" w:hAnsi="宋体" w:eastAsia="宋体"/>
          <w:sz w:val="24"/>
        </w:rPr>
        <w:t>问题作为全党工作重中之重，举全党全社会之力推动乡村振兴，促进农业高质高效、乡村宜居宜业、农民富裕富足。全国农业农村系统担负着全面推进乡村振兴、加快农业农村现代化的重大政治责任。落实年度任务。近年来，自治区党委和政府结合实际，提出了</w:t>
      </w:r>
      <w:r>
        <w:rPr>
          <w:rFonts w:ascii="宋体" w:hAnsi="宋体" w:eastAsia="宋体"/>
          <w:sz w:val="24"/>
        </w:rPr>
        <w:t>“</w:t>
      </w:r>
      <w:r>
        <w:rPr>
          <w:rFonts w:hint="eastAsia" w:ascii="宋体" w:hAnsi="宋体" w:eastAsia="宋体"/>
          <w:sz w:val="24"/>
        </w:rPr>
        <w:t>水利兴则新疆兴</w:t>
      </w:r>
      <w:r>
        <w:rPr>
          <w:rFonts w:ascii="宋体" w:hAnsi="宋体" w:eastAsia="宋体"/>
          <w:sz w:val="24"/>
        </w:rPr>
        <w:t>”</w:t>
      </w:r>
      <w:r>
        <w:rPr>
          <w:rFonts w:hint="eastAsia" w:ascii="宋体" w:hAnsi="宋体" w:eastAsia="宋体"/>
          <w:sz w:val="24"/>
        </w:rPr>
        <w:t>的治水理念，特别是对南疆地区水利建设予以大力支持。为了适应叶城县国民经济发展的总体要求，响应国家对于“一带一路”的号召，同时贯彻落实中央</w:t>
      </w:r>
      <w:r>
        <w:rPr>
          <w:rFonts w:ascii="宋体" w:hAnsi="宋体" w:eastAsia="宋体"/>
          <w:sz w:val="24"/>
        </w:rPr>
        <w:t>“</w:t>
      </w:r>
      <w:r>
        <w:rPr>
          <w:rFonts w:hint="eastAsia" w:ascii="宋体" w:hAnsi="宋体" w:eastAsia="宋体"/>
          <w:sz w:val="24"/>
        </w:rPr>
        <w:t>要加强以水利为重点的农业基础设施建设</w:t>
      </w:r>
      <w:r>
        <w:rPr>
          <w:rFonts w:ascii="宋体" w:hAnsi="宋体" w:eastAsia="宋体"/>
          <w:sz w:val="24"/>
        </w:rPr>
        <w:t>”</w:t>
      </w:r>
      <w:r>
        <w:rPr>
          <w:rFonts w:hint="eastAsia" w:ascii="宋体" w:hAnsi="宋体" w:eastAsia="宋体"/>
          <w:sz w:val="24"/>
        </w:rPr>
        <w:t>指示精神，以及落实最严格水资源管理制度</w:t>
      </w:r>
      <w:r>
        <w:rPr>
          <w:rFonts w:ascii="宋体" w:hAnsi="宋体" w:eastAsia="宋体"/>
          <w:sz w:val="24"/>
        </w:rPr>
        <w:t>“</w:t>
      </w:r>
      <w:r>
        <w:rPr>
          <w:rFonts w:hint="eastAsia" w:ascii="宋体" w:hAnsi="宋体" w:eastAsia="宋体"/>
          <w:sz w:val="24"/>
        </w:rPr>
        <w:t>三条红线</w:t>
      </w:r>
      <w:r>
        <w:rPr>
          <w:rFonts w:ascii="宋体" w:hAnsi="宋体" w:eastAsia="宋体"/>
          <w:sz w:val="24"/>
        </w:rPr>
        <w:t>”</w:t>
      </w:r>
      <w:r>
        <w:rPr>
          <w:rFonts w:hint="eastAsia" w:ascii="宋体" w:hAnsi="宋体" w:eastAsia="宋体"/>
          <w:sz w:val="24"/>
        </w:rPr>
        <w:t>各项用水指标和对水资源的配置、节约和保护的任务，叶城县水管总站委托我院对《叶城县末级渠系水尺及设备采购安装项目》进行设计咨询。我院派出项目组到项目区进行现场踏勘，收集资料，并与乡、村相关部门充分沟通，充分掌握业主建设需求和建设意图。在项目区各级领导的大力支持和积极配合下，对项目区农田灌溉设施现状进行了翔实的调查，对工程存在的问题深入了解，经过我院各专业人员的不懈努力，于</w:t>
      </w:r>
      <w:r>
        <w:rPr>
          <w:rFonts w:ascii="宋体" w:hAnsi="宋体" w:eastAsia="宋体"/>
          <w:sz w:val="24"/>
        </w:rPr>
        <w:t>2024</w:t>
      </w:r>
      <w:r>
        <w:rPr>
          <w:rFonts w:hint="eastAsia" w:ascii="宋体" w:hAnsi="宋体" w:eastAsia="宋体"/>
          <w:sz w:val="24"/>
        </w:rPr>
        <w:t>年</w:t>
      </w:r>
      <w:r>
        <w:rPr>
          <w:rFonts w:ascii="宋体" w:hAnsi="宋体" w:eastAsia="宋体"/>
          <w:sz w:val="24"/>
        </w:rPr>
        <w:t>4</w:t>
      </w:r>
      <w:r>
        <w:rPr>
          <w:rFonts w:hint="eastAsia" w:ascii="宋体" w:hAnsi="宋体" w:eastAsia="宋体"/>
          <w:sz w:val="24"/>
        </w:rPr>
        <w:t>月完成了实施方案报告的编制。</w:t>
      </w:r>
      <w:r>
        <w:rPr>
          <w:rFonts w:hint="eastAsia" w:ascii="仿宋" w:hAnsi="仿宋" w:eastAsia="仿宋"/>
          <w:b/>
          <w:bCs/>
          <w:sz w:val="21"/>
          <w:szCs w:val="21"/>
        </w:rPr>
        <w:t xml:space="preserve"> </w:t>
      </w:r>
    </w:p>
    <w:p w14:paraId="632EF8EA">
      <w:pPr>
        <w:pStyle w:val="4"/>
        <w:rPr>
          <w:sz w:val="24"/>
          <w:szCs w:val="24"/>
        </w:rPr>
      </w:pPr>
      <w:bookmarkStart w:id="12" w:name="_Toc179900088"/>
      <w:r>
        <w:rPr>
          <w:sz w:val="24"/>
          <w:szCs w:val="24"/>
        </w:rPr>
        <w:t xml:space="preserve">2.1.1 </w:t>
      </w:r>
      <w:r>
        <w:rPr>
          <w:rFonts w:hint="eastAsia"/>
          <w:sz w:val="24"/>
          <w:szCs w:val="24"/>
        </w:rPr>
        <w:t>项目区基本情况</w:t>
      </w:r>
      <w:bookmarkEnd w:id="12"/>
      <w:r>
        <w:rPr>
          <w:rFonts w:hint="eastAsia"/>
          <w:sz w:val="24"/>
          <w:szCs w:val="24"/>
        </w:rPr>
        <w:t xml:space="preserve"> </w:t>
      </w:r>
    </w:p>
    <w:p w14:paraId="3D4CF7E3">
      <w:pPr>
        <w:spacing w:line="480" w:lineRule="auto"/>
        <w:rPr>
          <w:rFonts w:ascii="宋体" w:hAnsi="宋体" w:eastAsia="宋体"/>
          <w:sz w:val="24"/>
        </w:rPr>
      </w:pPr>
      <w:r>
        <w:rPr>
          <w:rFonts w:hint="eastAsia" w:ascii="宋体" w:hAnsi="宋体" w:eastAsia="宋体"/>
          <w:sz w:val="24"/>
        </w:rPr>
        <w:t xml:space="preserve">叶城县位于新疆维吾尔自治区西南部，喀什地区东部，喀喇昆仑山北麓，库山河和依格孜牙河中下游，地理坐标介于东经 </w:t>
      </w:r>
      <w:r>
        <w:rPr>
          <w:rFonts w:ascii="宋体" w:hAnsi="宋体" w:eastAsia="宋体"/>
          <w:sz w:val="24"/>
        </w:rPr>
        <w:t>75</w:t>
      </w:r>
      <w:r>
        <w:rPr>
          <w:rFonts w:hint="eastAsia" w:ascii="宋体" w:hAnsi="宋体" w:eastAsia="宋体"/>
          <w:sz w:val="24"/>
        </w:rPr>
        <w:t>°</w:t>
      </w:r>
      <w:r>
        <w:rPr>
          <w:rFonts w:ascii="宋体" w:hAnsi="宋体" w:eastAsia="宋体"/>
          <w:sz w:val="24"/>
        </w:rPr>
        <w:t>18</w:t>
      </w:r>
      <w:r>
        <w:rPr>
          <w:rFonts w:hint="eastAsia" w:ascii="宋体" w:hAnsi="宋体" w:eastAsia="宋体"/>
          <w:sz w:val="24"/>
        </w:rPr>
        <w:t>′～</w:t>
      </w:r>
      <w:r>
        <w:rPr>
          <w:rFonts w:ascii="宋体" w:hAnsi="宋体" w:eastAsia="宋体"/>
          <w:sz w:val="24"/>
        </w:rPr>
        <w:t>76</w:t>
      </w:r>
      <w:r>
        <w:rPr>
          <w:rFonts w:hint="eastAsia" w:ascii="宋体" w:hAnsi="宋体" w:eastAsia="宋体"/>
          <w:sz w:val="24"/>
        </w:rPr>
        <w:t>°</w:t>
      </w:r>
      <w:r>
        <w:rPr>
          <w:rFonts w:ascii="宋体" w:hAnsi="宋体" w:eastAsia="宋体"/>
          <w:sz w:val="24"/>
        </w:rPr>
        <w:t>30</w:t>
      </w:r>
      <w:r>
        <w:rPr>
          <w:rFonts w:hint="eastAsia" w:ascii="宋体" w:hAnsi="宋体" w:eastAsia="宋体"/>
          <w:sz w:val="24"/>
        </w:rPr>
        <w:t xml:space="preserve">′，北纬 </w:t>
      </w:r>
      <w:r>
        <w:rPr>
          <w:rFonts w:ascii="宋体" w:hAnsi="宋体" w:eastAsia="宋体"/>
          <w:sz w:val="24"/>
        </w:rPr>
        <w:t>38</w:t>
      </w:r>
      <w:r>
        <w:rPr>
          <w:rFonts w:hint="eastAsia" w:ascii="宋体" w:hAnsi="宋体" w:eastAsia="宋体"/>
          <w:sz w:val="24"/>
        </w:rPr>
        <w:t>°</w:t>
      </w:r>
      <w:r>
        <w:rPr>
          <w:rFonts w:ascii="宋体" w:hAnsi="宋体" w:eastAsia="宋体"/>
          <w:sz w:val="24"/>
        </w:rPr>
        <w:t>8</w:t>
      </w:r>
      <w:r>
        <w:rPr>
          <w:rFonts w:hint="eastAsia" w:ascii="宋体" w:hAnsi="宋体" w:eastAsia="宋体"/>
          <w:sz w:val="24"/>
        </w:rPr>
        <w:t>′～</w:t>
      </w:r>
      <w:r>
        <w:rPr>
          <w:rFonts w:ascii="宋体" w:hAnsi="宋体" w:eastAsia="宋体"/>
          <w:sz w:val="24"/>
        </w:rPr>
        <w:t>39</w:t>
      </w:r>
      <w:r>
        <w:rPr>
          <w:rFonts w:hint="eastAsia" w:ascii="宋体" w:hAnsi="宋体" w:eastAsia="宋体"/>
          <w:sz w:val="24"/>
        </w:rPr>
        <w:t>°</w:t>
      </w:r>
      <w:r>
        <w:rPr>
          <w:rFonts w:ascii="宋体" w:hAnsi="宋体" w:eastAsia="宋体"/>
          <w:sz w:val="24"/>
        </w:rPr>
        <w:t>10</w:t>
      </w:r>
      <w:r>
        <w:rPr>
          <w:rFonts w:hint="eastAsia" w:ascii="宋体" w:hAnsi="宋体" w:eastAsia="宋体"/>
          <w:sz w:val="24"/>
        </w:rPr>
        <w:t xml:space="preserve">′之间，海拔 </w:t>
      </w:r>
      <w:r>
        <w:rPr>
          <w:rFonts w:ascii="宋体" w:hAnsi="宋体" w:eastAsia="宋体"/>
          <w:sz w:val="24"/>
        </w:rPr>
        <w:t>1212</w:t>
      </w:r>
      <w:r>
        <w:rPr>
          <w:rFonts w:hint="eastAsia" w:ascii="宋体" w:hAnsi="宋体" w:eastAsia="宋体"/>
          <w:sz w:val="24"/>
        </w:rPr>
        <w:t>～</w:t>
      </w:r>
      <w:r>
        <w:rPr>
          <w:rFonts w:ascii="宋体" w:hAnsi="宋体" w:eastAsia="宋体"/>
          <w:sz w:val="24"/>
        </w:rPr>
        <w:t>2256m</w:t>
      </w:r>
      <w:r>
        <w:rPr>
          <w:rFonts w:hint="eastAsia" w:ascii="宋体" w:hAnsi="宋体" w:eastAsia="宋体"/>
          <w:sz w:val="24"/>
        </w:rPr>
        <w:t xml:space="preserve">，县境东西长约 </w:t>
      </w:r>
      <w:r>
        <w:rPr>
          <w:rFonts w:ascii="宋体" w:hAnsi="宋体" w:eastAsia="宋体"/>
          <w:sz w:val="24"/>
        </w:rPr>
        <w:t>125km</w:t>
      </w:r>
      <w:r>
        <w:rPr>
          <w:rFonts w:hint="eastAsia" w:ascii="宋体" w:hAnsi="宋体" w:eastAsia="宋体"/>
          <w:sz w:val="24"/>
        </w:rPr>
        <w:t>，南北宽约</w:t>
      </w:r>
      <w:r>
        <w:rPr>
          <w:rFonts w:ascii="宋体" w:hAnsi="宋体" w:eastAsia="宋体"/>
          <w:sz w:val="24"/>
        </w:rPr>
        <w:t>70km</w:t>
      </w:r>
      <w:r>
        <w:rPr>
          <w:rFonts w:hint="eastAsia" w:ascii="宋体" w:hAnsi="宋体" w:eastAsia="宋体"/>
          <w:sz w:val="24"/>
        </w:rPr>
        <w:t xml:space="preserve">，总面积约 </w:t>
      </w:r>
      <w:r>
        <w:rPr>
          <w:rFonts w:ascii="宋体" w:hAnsi="宋体" w:eastAsia="宋体"/>
          <w:sz w:val="24"/>
        </w:rPr>
        <w:t xml:space="preserve">3224k </w:t>
      </w:r>
      <w:r>
        <w:rPr>
          <w:rFonts w:hint="eastAsia" w:ascii="宋体" w:hAnsi="宋体" w:eastAsia="宋体"/>
          <w:sz w:val="24"/>
        </w:rPr>
        <w:t xml:space="preserve">㎡，东西长 </w:t>
      </w:r>
      <w:r>
        <w:rPr>
          <w:rFonts w:ascii="宋体" w:hAnsi="宋体" w:eastAsia="宋体"/>
          <w:sz w:val="24"/>
        </w:rPr>
        <w:t>125km</w:t>
      </w:r>
      <w:r>
        <w:rPr>
          <w:rFonts w:hint="eastAsia" w:ascii="宋体" w:hAnsi="宋体" w:eastAsia="宋体"/>
          <w:sz w:val="24"/>
        </w:rPr>
        <w:t xml:space="preserve">，南北宽 </w:t>
      </w:r>
      <w:r>
        <w:rPr>
          <w:rFonts w:ascii="宋体" w:hAnsi="宋体" w:eastAsia="宋体"/>
          <w:sz w:val="24"/>
        </w:rPr>
        <w:t>70km</w:t>
      </w:r>
      <w:r>
        <w:rPr>
          <w:rFonts w:hint="eastAsia" w:ascii="宋体" w:hAnsi="宋体" w:eastAsia="宋体"/>
          <w:sz w:val="24"/>
        </w:rPr>
        <w:t>。西北、西南靠阿克陶县；东北与疏勒县、岳普湖县毗邻；东部是沙丘、荒滩和莎车接壤，南部为昆仑山区。叶城县地处库山河、依格孜牙河中下游，水资源较丰富。地形总地势是西南高，东北低。境内山前地带坡度大，平原及沙漠地带地势平坦，起伏不大。地层以第三系上新统泥岩（</w:t>
      </w:r>
      <w:r>
        <w:rPr>
          <w:rFonts w:ascii="宋体" w:hAnsi="宋体" w:eastAsia="宋体"/>
          <w:sz w:val="24"/>
        </w:rPr>
        <w:t>N2</w:t>
      </w:r>
      <w:r>
        <w:rPr>
          <w:rFonts w:hint="eastAsia" w:ascii="宋体" w:hAnsi="宋体" w:eastAsia="宋体"/>
          <w:sz w:val="24"/>
        </w:rPr>
        <w:t xml:space="preserve">）为主。地势由西南向东北倾斜，地 </w:t>
      </w:r>
    </w:p>
    <w:p w14:paraId="4296511D">
      <w:pPr>
        <w:spacing w:line="480" w:lineRule="auto"/>
        <w:rPr>
          <w:rFonts w:ascii="宋体" w:hAnsi="宋体" w:eastAsia="宋体"/>
          <w:sz w:val="24"/>
        </w:rPr>
      </w:pPr>
      <w:r>
        <w:rPr>
          <w:rFonts w:hint="eastAsia" w:ascii="宋体" w:hAnsi="宋体" w:eastAsia="宋体"/>
          <w:sz w:val="24"/>
        </w:rPr>
        <w:t xml:space="preserve">貌单元可分为低山丘陵、山前戈壁、冲积平原、沙漠四个类型。阿克塔什镇位于县城以东，距县城 </w:t>
      </w:r>
      <w:r>
        <w:rPr>
          <w:rFonts w:ascii="宋体" w:hAnsi="宋体" w:eastAsia="宋体"/>
          <w:sz w:val="24"/>
        </w:rPr>
        <w:t xml:space="preserve">20 </w:t>
      </w:r>
      <w:r>
        <w:rPr>
          <w:rFonts w:hint="eastAsia" w:ascii="宋体" w:hAnsi="宋体" w:eastAsia="宋体"/>
          <w:sz w:val="24"/>
        </w:rPr>
        <w:t xml:space="preserve">公里。面积 </w:t>
      </w:r>
      <w:r>
        <w:rPr>
          <w:rFonts w:ascii="宋体" w:hAnsi="宋体" w:eastAsia="宋体"/>
          <w:sz w:val="24"/>
        </w:rPr>
        <w:t xml:space="preserve">3200 </w:t>
      </w:r>
      <w:r>
        <w:rPr>
          <w:rFonts w:hint="eastAsia" w:ascii="宋体" w:hAnsi="宋体" w:eastAsia="宋体"/>
          <w:sz w:val="24"/>
        </w:rPr>
        <w:t xml:space="preserve">余亩，人口 </w:t>
      </w:r>
      <w:r>
        <w:rPr>
          <w:rFonts w:ascii="宋体" w:hAnsi="宋体" w:eastAsia="宋体"/>
          <w:sz w:val="24"/>
        </w:rPr>
        <w:t xml:space="preserve">13237 </w:t>
      </w:r>
      <w:r>
        <w:rPr>
          <w:rFonts w:hint="eastAsia" w:ascii="宋体" w:hAnsi="宋体" w:eastAsia="宋体"/>
          <w:sz w:val="24"/>
        </w:rPr>
        <w:t xml:space="preserve">人。巴仁乡地处叶城南部冲枳平原区，距县城直线距离 </w:t>
      </w:r>
      <w:r>
        <w:rPr>
          <w:rFonts w:ascii="宋体" w:hAnsi="宋体" w:eastAsia="宋体"/>
          <w:sz w:val="24"/>
        </w:rPr>
        <w:t xml:space="preserve">3.7 </w:t>
      </w:r>
      <w:r>
        <w:rPr>
          <w:rFonts w:hint="eastAsia" w:ascii="宋体" w:hAnsi="宋体" w:eastAsia="宋体"/>
          <w:sz w:val="24"/>
        </w:rPr>
        <w:t xml:space="preserve">千米，东与伯西热克乡为邻，西与依提木孔乡接壤，南与宗朗乡、柯克亚乡毗邻乡南北长 </w:t>
      </w:r>
      <w:r>
        <w:rPr>
          <w:rFonts w:ascii="宋体" w:hAnsi="宋体" w:eastAsia="宋体"/>
          <w:sz w:val="24"/>
        </w:rPr>
        <w:t xml:space="preserve">21 </w:t>
      </w:r>
      <w:r>
        <w:rPr>
          <w:rFonts w:hint="eastAsia" w:ascii="宋体" w:hAnsi="宋体" w:eastAsia="宋体"/>
          <w:sz w:val="24"/>
        </w:rPr>
        <w:t xml:space="preserve">千米，东西宽 </w:t>
      </w:r>
      <w:r>
        <w:rPr>
          <w:rFonts w:ascii="宋体" w:hAnsi="宋体" w:eastAsia="宋体"/>
          <w:sz w:val="24"/>
        </w:rPr>
        <w:t xml:space="preserve">8 </w:t>
      </w:r>
      <w:r>
        <w:rPr>
          <w:rFonts w:hint="eastAsia" w:ascii="宋体" w:hAnsi="宋体" w:eastAsia="宋体"/>
          <w:sz w:val="24"/>
        </w:rPr>
        <w:t xml:space="preserve">千米，全乡占地总面枳约 </w:t>
      </w:r>
      <w:r>
        <w:rPr>
          <w:rFonts w:ascii="宋体" w:hAnsi="宋体" w:eastAsia="宋体"/>
          <w:sz w:val="24"/>
        </w:rPr>
        <w:t xml:space="preserve">170 </w:t>
      </w:r>
      <w:r>
        <w:rPr>
          <w:rFonts w:hint="eastAsia" w:ascii="宋体" w:hAnsi="宋体" w:eastAsia="宋体"/>
          <w:sz w:val="24"/>
        </w:rPr>
        <w:t xml:space="preserve">平方千米。地形东高西低，平均海拔 </w:t>
      </w:r>
      <w:r>
        <w:rPr>
          <w:rFonts w:ascii="宋体" w:hAnsi="宋体" w:eastAsia="宋体"/>
          <w:sz w:val="24"/>
        </w:rPr>
        <w:t xml:space="preserve">1200 </w:t>
      </w:r>
      <w:r>
        <w:rPr>
          <w:rFonts w:hint="eastAsia" w:ascii="宋体" w:hAnsi="宋体" w:eastAsia="宋体"/>
          <w:sz w:val="24"/>
        </w:rPr>
        <w:t xml:space="preserve">米左右。总人口 </w:t>
      </w:r>
      <w:r>
        <w:rPr>
          <w:rFonts w:ascii="宋体" w:hAnsi="宋体" w:eastAsia="宋体"/>
          <w:sz w:val="24"/>
        </w:rPr>
        <w:t xml:space="preserve">2811 </w:t>
      </w:r>
      <w:r>
        <w:rPr>
          <w:rFonts w:hint="eastAsia" w:ascii="宋体" w:hAnsi="宋体" w:eastAsia="宋体"/>
          <w:sz w:val="24"/>
        </w:rPr>
        <w:t xml:space="preserve">户 </w:t>
      </w:r>
      <w:r>
        <w:rPr>
          <w:rFonts w:ascii="宋体" w:hAnsi="宋体" w:eastAsia="宋体"/>
          <w:sz w:val="24"/>
        </w:rPr>
        <w:t>11115</w:t>
      </w:r>
      <w:r>
        <w:rPr>
          <w:rFonts w:hint="eastAsia" w:ascii="宋体" w:hAnsi="宋体" w:eastAsia="宋体"/>
          <w:sz w:val="24"/>
        </w:rPr>
        <w:t xml:space="preserve">人。自然增长率 </w:t>
      </w:r>
      <w:r>
        <w:rPr>
          <w:rFonts w:ascii="宋体" w:hAnsi="宋体" w:eastAsia="宋体"/>
          <w:sz w:val="24"/>
        </w:rPr>
        <w:t>8.52</w:t>
      </w:r>
      <w:r>
        <w:rPr>
          <w:rFonts w:hint="eastAsia" w:ascii="宋体" w:hAnsi="宋体" w:eastAsia="宋体"/>
          <w:sz w:val="24"/>
        </w:rPr>
        <w:t xml:space="preserve">‰，人口密度为每平方千米 </w:t>
      </w:r>
      <w:r>
        <w:rPr>
          <w:rFonts w:ascii="宋体" w:hAnsi="宋体" w:eastAsia="宋体"/>
          <w:sz w:val="24"/>
        </w:rPr>
        <w:t xml:space="preserve">9.7 </w:t>
      </w:r>
      <w:r>
        <w:rPr>
          <w:rFonts w:hint="eastAsia" w:ascii="宋体" w:hAnsi="宋体" w:eastAsia="宋体"/>
          <w:sz w:val="24"/>
        </w:rPr>
        <w:t xml:space="preserve">人。伯西热克镇位于县城以东，距县城 </w:t>
      </w:r>
      <w:r>
        <w:rPr>
          <w:rFonts w:ascii="宋体" w:hAnsi="宋体" w:eastAsia="宋体"/>
          <w:sz w:val="24"/>
        </w:rPr>
        <w:t xml:space="preserve">7 </w:t>
      </w:r>
      <w:r>
        <w:rPr>
          <w:rFonts w:hint="eastAsia" w:ascii="宋体" w:hAnsi="宋体" w:eastAsia="宋体"/>
          <w:sz w:val="24"/>
        </w:rPr>
        <w:t xml:space="preserve">公里。面积 </w:t>
      </w:r>
      <w:r>
        <w:rPr>
          <w:rFonts w:ascii="宋体" w:hAnsi="宋体" w:eastAsia="宋体"/>
          <w:sz w:val="24"/>
        </w:rPr>
        <w:t xml:space="preserve">12.07 </w:t>
      </w:r>
      <w:r>
        <w:rPr>
          <w:rFonts w:hint="eastAsia" w:ascii="宋体" w:hAnsi="宋体" w:eastAsia="宋体"/>
          <w:sz w:val="24"/>
        </w:rPr>
        <w:t xml:space="preserve">平方千 </w:t>
      </w:r>
    </w:p>
    <w:p w14:paraId="66B00E4B">
      <w:pPr>
        <w:spacing w:line="480" w:lineRule="auto"/>
        <w:rPr>
          <w:rFonts w:ascii="宋体" w:hAnsi="宋体" w:eastAsia="宋体"/>
          <w:sz w:val="24"/>
        </w:rPr>
      </w:pPr>
      <w:r>
        <w:rPr>
          <w:rFonts w:hint="eastAsia" w:ascii="宋体" w:hAnsi="宋体" w:eastAsia="宋体"/>
          <w:sz w:val="24"/>
        </w:rPr>
        <w:t xml:space="preserve">米，人口 </w:t>
      </w:r>
      <w:r>
        <w:rPr>
          <w:rFonts w:ascii="宋体" w:hAnsi="宋体" w:eastAsia="宋体"/>
          <w:sz w:val="24"/>
        </w:rPr>
        <w:t xml:space="preserve">44197 </w:t>
      </w:r>
      <w:r>
        <w:rPr>
          <w:rFonts w:hint="eastAsia" w:ascii="宋体" w:hAnsi="宋体" w:eastAsia="宋体"/>
          <w:sz w:val="24"/>
        </w:rPr>
        <w:t>人（</w:t>
      </w:r>
      <w:r>
        <w:rPr>
          <w:rFonts w:ascii="宋体" w:hAnsi="宋体" w:eastAsia="宋体"/>
          <w:sz w:val="24"/>
        </w:rPr>
        <w:t>2019</w:t>
      </w:r>
      <w:r>
        <w:rPr>
          <w:rFonts w:hint="eastAsia" w:ascii="宋体" w:hAnsi="宋体" w:eastAsia="宋体"/>
          <w:sz w:val="24"/>
        </w:rPr>
        <w:t xml:space="preserve">）。 </w:t>
      </w:r>
      <w:r>
        <w:rPr>
          <w:rFonts w:ascii="宋体" w:hAnsi="宋体" w:eastAsia="宋体"/>
          <w:sz w:val="24"/>
        </w:rPr>
        <w:t xml:space="preserve">315 </w:t>
      </w:r>
      <w:r>
        <w:rPr>
          <w:rFonts w:hint="eastAsia" w:ascii="宋体" w:hAnsi="宋体" w:eastAsia="宋体"/>
          <w:sz w:val="24"/>
        </w:rPr>
        <w:t xml:space="preserve">国道过境。辖布克松维、塔热木巴格、坎特伊其、亚博依、斯也克、巴什欧壤、索皮拉、巴什喀拉巴格、喀拉巴格、欧壤、巴格艾日克、色格孜勒克博依、塔木巴格、博亚克恰喀、托万欧壤、巴什也依克、也依克、阿亚格也依克 </w:t>
      </w:r>
      <w:r>
        <w:rPr>
          <w:rFonts w:ascii="宋体" w:hAnsi="宋体" w:eastAsia="宋体"/>
          <w:sz w:val="24"/>
        </w:rPr>
        <w:t xml:space="preserve">18 </w:t>
      </w:r>
      <w:r>
        <w:rPr>
          <w:rFonts w:hint="eastAsia" w:ascii="宋体" w:hAnsi="宋体" w:eastAsia="宋体"/>
          <w:sz w:val="24"/>
        </w:rPr>
        <w:t xml:space="preserve">个村委会。地势平坦缺水。以农业为主，主要种植小麦、玉米、棉花等，盛产葡萄、石榴。河园镇位于叶城县西南方，镇政府驻地距离县城约 </w:t>
      </w:r>
      <w:r>
        <w:rPr>
          <w:rFonts w:ascii="宋体" w:hAnsi="宋体" w:eastAsia="宋体"/>
          <w:sz w:val="24"/>
        </w:rPr>
        <w:t xml:space="preserve">15 </w:t>
      </w:r>
      <w:r>
        <w:rPr>
          <w:rFonts w:hint="eastAsia" w:ascii="宋体" w:hAnsi="宋体" w:eastAsia="宋体"/>
          <w:sz w:val="24"/>
        </w:rPr>
        <w:t xml:space="preserve">公里，辖区南北长 </w:t>
      </w:r>
      <w:r>
        <w:rPr>
          <w:rFonts w:ascii="宋体" w:hAnsi="宋体" w:eastAsia="宋体"/>
          <w:sz w:val="24"/>
        </w:rPr>
        <w:t xml:space="preserve">30 </w:t>
      </w:r>
      <w:r>
        <w:rPr>
          <w:rFonts w:hint="eastAsia" w:ascii="宋体" w:hAnsi="宋体" w:eastAsia="宋体"/>
          <w:sz w:val="24"/>
        </w:rPr>
        <w:t xml:space="preserve">公里、东西宽 </w:t>
      </w:r>
      <w:r>
        <w:rPr>
          <w:rFonts w:ascii="宋体" w:hAnsi="宋体" w:eastAsia="宋体"/>
          <w:sz w:val="24"/>
        </w:rPr>
        <w:t xml:space="preserve">8 </w:t>
      </w:r>
      <w:r>
        <w:rPr>
          <w:rFonts w:hint="eastAsia" w:ascii="宋体" w:hAnsi="宋体" w:eastAsia="宋体"/>
          <w:sz w:val="24"/>
        </w:rPr>
        <w:t xml:space="preserve">公里，面积 </w:t>
      </w:r>
      <w:r>
        <w:rPr>
          <w:rFonts w:ascii="宋体" w:hAnsi="宋体" w:eastAsia="宋体"/>
          <w:sz w:val="24"/>
        </w:rPr>
        <w:t xml:space="preserve">61 </w:t>
      </w:r>
      <w:r>
        <w:rPr>
          <w:rFonts w:hint="eastAsia" w:ascii="宋体" w:hAnsi="宋体" w:eastAsia="宋体"/>
          <w:sz w:val="24"/>
        </w:rPr>
        <w:t xml:space="preserve">平方公里。东与依提木孔乡和铁提乡交界，西与依力克其乡、棋盘乡为邻，南与柯克亚乡相接，北与恰尔巴格镇接壤。全乡耕地面积 </w:t>
      </w:r>
      <w:r>
        <w:rPr>
          <w:rFonts w:ascii="宋体" w:hAnsi="宋体" w:eastAsia="宋体"/>
          <w:sz w:val="24"/>
        </w:rPr>
        <w:t xml:space="preserve">5.6 </w:t>
      </w:r>
      <w:r>
        <w:rPr>
          <w:rFonts w:hint="eastAsia" w:ascii="宋体" w:hAnsi="宋体" w:eastAsia="宋体"/>
          <w:sz w:val="24"/>
        </w:rPr>
        <w:t>万亩，主要农作物核桃种植</w:t>
      </w:r>
      <w:r>
        <w:rPr>
          <w:rFonts w:ascii="宋体" w:hAnsi="宋体" w:eastAsia="宋体"/>
          <w:sz w:val="24"/>
        </w:rPr>
        <w:t>5.1</w:t>
      </w:r>
      <w:r>
        <w:rPr>
          <w:rFonts w:hint="eastAsia" w:ascii="宋体" w:hAnsi="宋体" w:eastAsia="宋体"/>
          <w:sz w:val="24"/>
        </w:rPr>
        <w:t xml:space="preserve">万亩，是一个以核桃为特色支柱产业的农业乡，是远近闻名的“核桃之乡”。辖 </w:t>
      </w:r>
      <w:r>
        <w:rPr>
          <w:rFonts w:ascii="宋体" w:hAnsi="宋体" w:eastAsia="宋体"/>
          <w:sz w:val="24"/>
        </w:rPr>
        <w:t xml:space="preserve">21 </w:t>
      </w:r>
      <w:r>
        <w:rPr>
          <w:rFonts w:hint="eastAsia" w:ascii="宋体" w:hAnsi="宋体" w:eastAsia="宋体"/>
          <w:sz w:val="24"/>
        </w:rPr>
        <w:t>个行政村，</w:t>
      </w:r>
      <w:r>
        <w:rPr>
          <w:rFonts w:ascii="宋体" w:hAnsi="宋体" w:eastAsia="宋体"/>
          <w:sz w:val="24"/>
        </w:rPr>
        <w:t xml:space="preserve">91 </w:t>
      </w:r>
      <w:r>
        <w:rPr>
          <w:rFonts w:hint="eastAsia" w:ascii="宋体" w:hAnsi="宋体" w:eastAsia="宋体"/>
          <w:sz w:val="24"/>
        </w:rPr>
        <w:t xml:space="preserve">个村民小组，总人口 </w:t>
      </w:r>
      <w:r>
        <w:rPr>
          <w:rFonts w:ascii="宋体" w:hAnsi="宋体" w:eastAsia="宋体"/>
          <w:sz w:val="24"/>
        </w:rPr>
        <w:t xml:space="preserve">6170 </w:t>
      </w:r>
      <w:r>
        <w:rPr>
          <w:rFonts w:hint="eastAsia" w:ascii="宋体" w:hAnsi="宋体" w:eastAsia="宋体"/>
          <w:sz w:val="24"/>
        </w:rPr>
        <w:t xml:space="preserve">户 </w:t>
      </w:r>
      <w:r>
        <w:rPr>
          <w:rFonts w:ascii="宋体" w:hAnsi="宋体" w:eastAsia="宋体"/>
          <w:sz w:val="24"/>
        </w:rPr>
        <w:t>26264</w:t>
      </w:r>
      <w:r>
        <w:rPr>
          <w:rFonts w:hint="eastAsia" w:ascii="宋体" w:hAnsi="宋体" w:eastAsia="宋体"/>
          <w:sz w:val="24"/>
        </w:rPr>
        <w:t xml:space="preserve">人。 </w:t>
      </w:r>
    </w:p>
    <w:p w14:paraId="2A9C2DC9">
      <w:pPr>
        <w:spacing w:line="480" w:lineRule="auto"/>
        <w:rPr>
          <w:rFonts w:ascii="宋体" w:hAnsi="宋体" w:eastAsia="宋体"/>
          <w:sz w:val="24"/>
        </w:rPr>
      </w:pPr>
      <w:r>
        <w:rPr>
          <w:rFonts w:hint="eastAsia" w:ascii="宋体" w:hAnsi="宋体" w:eastAsia="宋体"/>
          <w:sz w:val="24"/>
        </w:rPr>
        <w:t xml:space="preserve">江格勒斯乡位于叶城县城东北部，东邻塔克拉玛干沙漠，南邻加依提勒克乡、吐古其乡，西邻加依提勒克乡和泽普县依克苏乡，北邻莎车县、泽普县，距叶城县县城 </w:t>
      </w:r>
      <w:r>
        <w:rPr>
          <w:rFonts w:ascii="宋体" w:hAnsi="宋体" w:eastAsia="宋体"/>
          <w:sz w:val="24"/>
        </w:rPr>
        <w:t>24km</w:t>
      </w:r>
      <w:r>
        <w:rPr>
          <w:rFonts w:hint="eastAsia" w:ascii="宋体" w:hAnsi="宋体" w:eastAsia="宋体"/>
          <w:sz w:val="24"/>
        </w:rPr>
        <w:t xml:space="preserve">。江格勒斯乡地处冲积扇平原，地势平坦，属干燥少雨的温带大陆性气候。全乡总面积约 </w:t>
      </w:r>
      <w:r>
        <w:rPr>
          <w:rFonts w:ascii="宋体" w:hAnsi="宋体" w:eastAsia="宋体"/>
          <w:sz w:val="24"/>
        </w:rPr>
        <w:t xml:space="preserve">280 </w:t>
      </w:r>
      <w:r>
        <w:rPr>
          <w:rFonts w:hint="eastAsia" w:ascii="宋体" w:hAnsi="宋体" w:eastAsia="宋体"/>
          <w:sz w:val="24"/>
        </w:rPr>
        <w:t xml:space="preserve">平方千米。江格勒斯乡粮食作物以小麦、玉米为主，主要经济作物有棉花、西瓜、茴香等；畜牧业以饲养羊、牛、驴、家禽为主；林果业主要品种有苹果、葡萄、香等；工业以棉花加工为主。金果镇地处叶城县西北部，东与零公里社区、叶城县林场、良种场相接，南与铁提乡相连，西与依提木孔镇毗邻，北与吐古其乡接壤，距县城 </w:t>
      </w:r>
      <w:r>
        <w:rPr>
          <w:rFonts w:ascii="宋体" w:hAnsi="宋体" w:eastAsia="宋体"/>
          <w:sz w:val="24"/>
        </w:rPr>
        <w:t xml:space="preserve">2 </w:t>
      </w:r>
      <w:r>
        <w:rPr>
          <w:rFonts w:hint="eastAsia" w:ascii="宋体" w:hAnsi="宋体" w:eastAsia="宋体"/>
          <w:sz w:val="24"/>
        </w:rPr>
        <w:t xml:space="preserve">千米，区域总面积 </w:t>
      </w:r>
      <w:r>
        <w:rPr>
          <w:rFonts w:ascii="宋体" w:hAnsi="宋体" w:eastAsia="宋体"/>
          <w:sz w:val="24"/>
        </w:rPr>
        <w:t xml:space="preserve">13.85 </w:t>
      </w:r>
      <w:r>
        <w:rPr>
          <w:rFonts w:hint="eastAsia" w:ascii="宋体" w:hAnsi="宋体" w:eastAsia="宋体"/>
          <w:sz w:val="24"/>
        </w:rPr>
        <w:t xml:space="preserve">平方千米，户籍 </w:t>
      </w:r>
      <w:r>
        <w:rPr>
          <w:rFonts w:ascii="宋体" w:hAnsi="宋体" w:eastAsia="宋体"/>
          <w:sz w:val="24"/>
        </w:rPr>
        <w:t xml:space="preserve">22095 </w:t>
      </w:r>
      <w:r>
        <w:rPr>
          <w:rFonts w:hint="eastAsia" w:ascii="宋体" w:hAnsi="宋体" w:eastAsia="宋体"/>
          <w:sz w:val="24"/>
        </w:rPr>
        <w:t xml:space="preserve">人。洛克乡位于县城东南方向，距离县城 </w:t>
      </w:r>
      <w:r>
        <w:rPr>
          <w:rFonts w:ascii="宋体" w:hAnsi="宋体" w:eastAsia="宋体"/>
          <w:sz w:val="24"/>
        </w:rPr>
        <w:t xml:space="preserve">11 </w:t>
      </w:r>
      <w:r>
        <w:rPr>
          <w:rFonts w:hint="eastAsia" w:ascii="宋体" w:hAnsi="宋体" w:eastAsia="宋体"/>
          <w:sz w:val="24"/>
        </w:rPr>
        <w:t xml:space="preserve">公里，辖区 </w:t>
      </w:r>
      <w:r>
        <w:rPr>
          <w:rFonts w:ascii="宋体" w:hAnsi="宋体" w:eastAsia="宋体"/>
          <w:sz w:val="24"/>
        </w:rPr>
        <w:t xml:space="preserve">1400 </w:t>
      </w:r>
      <w:r>
        <w:rPr>
          <w:rFonts w:hint="eastAsia" w:ascii="宋体" w:hAnsi="宋体" w:eastAsia="宋体"/>
          <w:sz w:val="24"/>
        </w:rPr>
        <w:t xml:space="preserve">平方公里，地势呈南高北低，辖 </w:t>
      </w:r>
      <w:r>
        <w:rPr>
          <w:rFonts w:ascii="宋体" w:hAnsi="宋体" w:eastAsia="宋体"/>
          <w:sz w:val="24"/>
        </w:rPr>
        <w:t xml:space="preserve">12 </w:t>
      </w:r>
      <w:r>
        <w:rPr>
          <w:rFonts w:hint="eastAsia" w:ascii="宋体" w:hAnsi="宋体" w:eastAsia="宋体"/>
          <w:sz w:val="24"/>
        </w:rPr>
        <w:t>个行政村、</w:t>
      </w:r>
      <w:r>
        <w:rPr>
          <w:rFonts w:ascii="宋体" w:hAnsi="宋体" w:eastAsia="宋体"/>
          <w:sz w:val="24"/>
        </w:rPr>
        <w:t xml:space="preserve">50 </w:t>
      </w:r>
      <w:r>
        <w:rPr>
          <w:rFonts w:hint="eastAsia" w:ascii="宋体" w:hAnsi="宋体" w:eastAsia="宋体"/>
          <w:sz w:val="24"/>
        </w:rPr>
        <w:t xml:space="preserve">个村民小组，截至目前全乡户籍人口 </w:t>
      </w:r>
      <w:r>
        <w:rPr>
          <w:rFonts w:ascii="宋体" w:hAnsi="宋体" w:eastAsia="宋体"/>
          <w:sz w:val="24"/>
        </w:rPr>
        <w:t xml:space="preserve">5344 </w:t>
      </w:r>
      <w:r>
        <w:rPr>
          <w:rFonts w:hint="eastAsia" w:ascii="宋体" w:hAnsi="宋体" w:eastAsia="宋体"/>
          <w:sz w:val="24"/>
        </w:rPr>
        <w:t xml:space="preserve">户 </w:t>
      </w:r>
      <w:r>
        <w:rPr>
          <w:rFonts w:ascii="宋体" w:hAnsi="宋体" w:eastAsia="宋体"/>
          <w:sz w:val="24"/>
        </w:rPr>
        <w:t xml:space="preserve">24841 </w:t>
      </w:r>
      <w:r>
        <w:rPr>
          <w:rFonts w:hint="eastAsia" w:ascii="宋体" w:hAnsi="宋体" w:eastAsia="宋体"/>
          <w:sz w:val="24"/>
        </w:rPr>
        <w:t xml:space="preserve">人。恰尔巴格镇，地处叶城县西北部，东南与依提木孔乡相接，南与萨依巴格乡相连，西隔提孜那甫河与夏合甫乡相望，北与乌吉热克乡接壤，距县城 </w:t>
      </w:r>
      <w:r>
        <w:rPr>
          <w:rFonts w:ascii="宋体" w:hAnsi="宋体" w:eastAsia="宋体"/>
          <w:sz w:val="24"/>
        </w:rPr>
        <w:t xml:space="preserve">12 </w:t>
      </w:r>
      <w:r>
        <w:rPr>
          <w:rFonts w:hint="eastAsia" w:ascii="宋体" w:hAnsi="宋体" w:eastAsia="宋体"/>
          <w:sz w:val="24"/>
        </w:rPr>
        <w:t xml:space="preserve">千米，区域总面积 </w:t>
      </w:r>
      <w:r>
        <w:rPr>
          <w:rFonts w:ascii="宋体" w:hAnsi="宋体" w:eastAsia="宋体"/>
          <w:sz w:val="24"/>
        </w:rPr>
        <w:t xml:space="preserve">42.21 </w:t>
      </w:r>
      <w:r>
        <w:rPr>
          <w:rFonts w:hint="eastAsia" w:ascii="宋体" w:hAnsi="宋体" w:eastAsia="宋体"/>
          <w:sz w:val="24"/>
        </w:rPr>
        <w:t xml:space="preserve">平方千米。截至 </w:t>
      </w:r>
      <w:r>
        <w:rPr>
          <w:rFonts w:ascii="宋体" w:hAnsi="宋体" w:eastAsia="宋体"/>
          <w:sz w:val="24"/>
        </w:rPr>
        <w:t xml:space="preserve">2022 </w:t>
      </w:r>
      <w:r>
        <w:rPr>
          <w:rFonts w:hint="eastAsia" w:ascii="宋体" w:hAnsi="宋体" w:eastAsia="宋体"/>
          <w:sz w:val="24"/>
        </w:rPr>
        <w:t xml:space="preserve">年末，恰尔巴格镇户籍人口为 </w:t>
      </w:r>
      <w:r>
        <w:rPr>
          <w:rFonts w:ascii="宋体" w:hAnsi="宋体" w:eastAsia="宋体"/>
          <w:sz w:val="24"/>
        </w:rPr>
        <w:t xml:space="preserve">25226 </w:t>
      </w:r>
      <w:r>
        <w:rPr>
          <w:rFonts w:hint="eastAsia" w:ascii="宋体" w:hAnsi="宋体" w:eastAsia="宋体"/>
          <w:sz w:val="24"/>
        </w:rPr>
        <w:t xml:space="preserve">人。恰尔巴格镇下辖 </w:t>
      </w:r>
      <w:r>
        <w:rPr>
          <w:rFonts w:ascii="宋体" w:hAnsi="宋体" w:eastAsia="宋体"/>
          <w:sz w:val="24"/>
        </w:rPr>
        <w:t xml:space="preserve">15 </w:t>
      </w:r>
      <w:r>
        <w:rPr>
          <w:rFonts w:hint="eastAsia" w:ascii="宋体" w:hAnsi="宋体" w:eastAsia="宋体"/>
          <w:sz w:val="24"/>
        </w:rPr>
        <w:t>个行政村，人民政府驻赛先拜巴扎村。恰其库木管理区位于叶城县北方，管理区距离县城平均距离约</w:t>
      </w:r>
      <w:r>
        <w:rPr>
          <w:rFonts w:ascii="宋体" w:hAnsi="宋体" w:eastAsia="宋体"/>
          <w:sz w:val="24"/>
        </w:rPr>
        <w:t xml:space="preserve">33 </w:t>
      </w:r>
      <w:r>
        <w:rPr>
          <w:rFonts w:hint="eastAsia" w:ascii="宋体" w:hAnsi="宋体" w:eastAsia="宋体"/>
          <w:sz w:val="24"/>
        </w:rPr>
        <w:t xml:space="preserve">公里，辖阿勒玛勒克村、恰其库木村、英协海尔村、喀拉墩村、萨依克其克村、夏合勒克村 </w:t>
      </w:r>
      <w:r>
        <w:rPr>
          <w:rFonts w:ascii="宋体" w:hAnsi="宋体" w:eastAsia="宋体"/>
          <w:sz w:val="24"/>
        </w:rPr>
        <w:t xml:space="preserve">5 </w:t>
      </w:r>
      <w:r>
        <w:rPr>
          <w:rFonts w:hint="eastAsia" w:ascii="宋体" w:hAnsi="宋体" w:eastAsia="宋体"/>
          <w:sz w:val="24"/>
        </w:rPr>
        <w:t xml:space="preserve">个行政村。铁提乡位于叶城县东南方，乡政府驻地距离县城约 </w:t>
      </w:r>
      <w:r>
        <w:rPr>
          <w:rFonts w:ascii="宋体" w:hAnsi="宋体" w:eastAsia="宋体"/>
          <w:sz w:val="24"/>
        </w:rPr>
        <w:t xml:space="preserve">3.7 </w:t>
      </w:r>
      <w:r>
        <w:rPr>
          <w:rFonts w:hint="eastAsia" w:ascii="宋体" w:hAnsi="宋体" w:eastAsia="宋体"/>
          <w:sz w:val="24"/>
        </w:rPr>
        <w:t xml:space="preserve">公里，辖区南北长 </w:t>
      </w:r>
      <w:r>
        <w:rPr>
          <w:rFonts w:ascii="宋体" w:hAnsi="宋体" w:eastAsia="宋体"/>
          <w:sz w:val="24"/>
        </w:rPr>
        <w:t xml:space="preserve">26 </w:t>
      </w:r>
      <w:r>
        <w:rPr>
          <w:rFonts w:hint="eastAsia" w:ascii="宋体" w:hAnsi="宋体" w:eastAsia="宋体"/>
          <w:sz w:val="24"/>
        </w:rPr>
        <w:t xml:space="preserve">公里、东西宽 </w:t>
      </w:r>
      <w:r>
        <w:rPr>
          <w:rFonts w:ascii="宋体" w:hAnsi="宋体" w:eastAsia="宋体"/>
          <w:sz w:val="24"/>
        </w:rPr>
        <w:t xml:space="preserve">11 </w:t>
      </w:r>
      <w:r>
        <w:rPr>
          <w:rFonts w:hint="eastAsia" w:ascii="宋体" w:hAnsi="宋体" w:eastAsia="宋体"/>
          <w:sz w:val="24"/>
        </w:rPr>
        <w:t xml:space="preserve">公里，面积 </w:t>
      </w:r>
      <w:r>
        <w:rPr>
          <w:rFonts w:ascii="宋体" w:hAnsi="宋体" w:eastAsia="宋体"/>
          <w:sz w:val="24"/>
        </w:rPr>
        <w:t xml:space="preserve">279 </w:t>
      </w:r>
      <w:r>
        <w:rPr>
          <w:rFonts w:hint="eastAsia" w:ascii="宋体" w:hAnsi="宋体" w:eastAsia="宋体"/>
          <w:sz w:val="24"/>
        </w:rPr>
        <w:t>平方公里。东与中城区田园（</w:t>
      </w:r>
      <w:r>
        <w:rPr>
          <w:rFonts w:ascii="宋体" w:hAnsi="宋体" w:eastAsia="宋体"/>
          <w:sz w:val="24"/>
        </w:rPr>
        <w:t>29</w:t>
      </w:r>
      <w:r>
        <w:rPr>
          <w:rFonts w:hint="eastAsia" w:ascii="宋体" w:hAnsi="宋体" w:eastAsia="宋体"/>
          <w:sz w:val="24"/>
        </w:rPr>
        <w:t>）社区、东城区金果（</w:t>
      </w:r>
      <w:r>
        <w:rPr>
          <w:rFonts w:ascii="宋体" w:hAnsi="宋体" w:eastAsia="宋体"/>
          <w:sz w:val="24"/>
        </w:rPr>
        <w:t>30</w:t>
      </w:r>
      <w:r>
        <w:rPr>
          <w:rFonts w:hint="eastAsia" w:ascii="宋体" w:hAnsi="宋体" w:eastAsia="宋体"/>
          <w:sz w:val="24"/>
        </w:rPr>
        <w:t>）社区交界，西与依提木孔乡、萨依巴格乡为邻，南与宗朗乡、乌夏巴什镇、柯克亚乡相接，北与喀格勒克镇尤里昆加依（</w:t>
      </w:r>
      <w:r>
        <w:rPr>
          <w:rFonts w:ascii="宋体" w:hAnsi="宋体" w:eastAsia="宋体"/>
          <w:sz w:val="24"/>
        </w:rPr>
        <w:t>21</w:t>
      </w:r>
      <w:r>
        <w:rPr>
          <w:rFonts w:hint="eastAsia" w:ascii="宋体" w:hAnsi="宋体" w:eastAsia="宋体"/>
          <w:sz w:val="24"/>
        </w:rPr>
        <w:t xml:space="preserve">）社区接壤。辖 </w:t>
      </w:r>
      <w:r>
        <w:rPr>
          <w:rFonts w:ascii="宋体" w:hAnsi="宋体" w:eastAsia="宋体"/>
          <w:sz w:val="24"/>
        </w:rPr>
        <w:t xml:space="preserve">12 </w:t>
      </w:r>
      <w:r>
        <w:rPr>
          <w:rFonts w:hint="eastAsia" w:ascii="宋体" w:hAnsi="宋体" w:eastAsia="宋体"/>
          <w:sz w:val="24"/>
        </w:rPr>
        <w:t>个行政村、</w:t>
      </w:r>
      <w:r>
        <w:rPr>
          <w:rFonts w:ascii="宋体" w:hAnsi="宋体" w:eastAsia="宋体"/>
          <w:sz w:val="24"/>
        </w:rPr>
        <w:t xml:space="preserve">46 </w:t>
      </w:r>
      <w:r>
        <w:rPr>
          <w:rFonts w:hint="eastAsia" w:ascii="宋体" w:hAnsi="宋体" w:eastAsia="宋体"/>
          <w:sz w:val="24"/>
        </w:rPr>
        <w:t xml:space="preserve">个村民小组，共有户籍人口 </w:t>
      </w:r>
      <w:r>
        <w:rPr>
          <w:rFonts w:ascii="宋体" w:hAnsi="宋体" w:eastAsia="宋体"/>
          <w:sz w:val="24"/>
        </w:rPr>
        <w:t xml:space="preserve">4466 </w:t>
      </w:r>
      <w:r>
        <w:rPr>
          <w:rFonts w:hint="eastAsia" w:ascii="宋体" w:hAnsi="宋体" w:eastAsia="宋体"/>
          <w:sz w:val="24"/>
        </w:rPr>
        <w:t xml:space="preserve">户 </w:t>
      </w:r>
      <w:r>
        <w:rPr>
          <w:rFonts w:ascii="宋体" w:hAnsi="宋体" w:eastAsia="宋体"/>
          <w:sz w:val="24"/>
        </w:rPr>
        <w:t xml:space="preserve">19091 </w:t>
      </w:r>
      <w:r>
        <w:rPr>
          <w:rFonts w:hint="eastAsia" w:ascii="宋体" w:hAnsi="宋体" w:eastAsia="宋体"/>
          <w:sz w:val="24"/>
        </w:rPr>
        <w:t xml:space="preserve">人、常住人口 </w:t>
      </w:r>
      <w:r>
        <w:rPr>
          <w:rFonts w:ascii="宋体" w:hAnsi="宋体" w:eastAsia="宋体"/>
          <w:sz w:val="24"/>
        </w:rPr>
        <w:t xml:space="preserve">4451 </w:t>
      </w:r>
      <w:r>
        <w:rPr>
          <w:rFonts w:hint="eastAsia" w:ascii="宋体" w:hAnsi="宋体" w:eastAsia="宋体"/>
          <w:sz w:val="24"/>
        </w:rPr>
        <w:t xml:space="preserve">户 </w:t>
      </w:r>
      <w:r>
        <w:rPr>
          <w:rFonts w:ascii="宋体" w:hAnsi="宋体" w:eastAsia="宋体"/>
          <w:sz w:val="24"/>
        </w:rPr>
        <w:t xml:space="preserve">19116 </w:t>
      </w:r>
      <w:r>
        <w:rPr>
          <w:rFonts w:hint="eastAsia" w:ascii="宋体" w:hAnsi="宋体" w:eastAsia="宋体"/>
          <w:sz w:val="24"/>
        </w:rPr>
        <w:t xml:space="preserve">人，全乡耕地 </w:t>
      </w:r>
      <w:r>
        <w:rPr>
          <w:rFonts w:ascii="宋体" w:hAnsi="宋体" w:eastAsia="宋体"/>
          <w:sz w:val="24"/>
        </w:rPr>
        <w:t xml:space="preserve">4.26 </w:t>
      </w:r>
      <w:r>
        <w:rPr>
          <w:rFonts w:hint="eastAsia" w:ascii="宋体" w:hAnsi="宋体" w:eastAsia="宋体"/>
          <w:sz w:val="24"/>
        </w:rPr>
        <w:t>万亩，主要以种植业、林果业、畜牧业为主，农业种植以</w:t>
      </w:r>
      <w:r>
        <w:rPr>
          <w:rFonts w:hint="eastAsia" w:ascii="仿宋" w:hAnsi="仿宋" w:eastAsia="仿宋"/>
          <w:b/>
          <w:bCs/>
          <w:sz w:val="21"/>
          <w:szCs w:val="21"/>
        </w:rPr>
        <w:t xml:space="preserve">核 </w:t>
      </w:r>
    </w:p>
    <w:p w14:paraId="0C6B35DB">
      <w:pPr>
        <w:spacing w:line="480" w:lineRule="auto"/>
        <w:rPr>
          <w:rFonts w:ascii="宋体" w:hAnsi="宋体" w:eastAsia="宋体"/>
          <w:sz w:val="24"/>
        </w:rPr>
      </w:pPr>
      <w:r>
        <w:rPr>
          <w:rFonts w:hint="eastAsia" w:ascii="宋体" w:hAnsi="宋体" w:eastAsia="宋体"/>
          <w:sz w:val="24"/>
        </w:rPr>
        <w:t xml:space="preserve">桃、大葱为主，铁提乡素有“大葱之乡”的美称。吐古其乡 </w:t>
      </w:r>
      <w:r>
        <w:rPr>
          <w:rFonts w:ascii="宋体" w:hAnsi="宋体" w:eastAsia="宋体"/>
          <w:sz w:val="24"/>
        </w:rPr>
        <w:t xml:space="preserve">17 </w:t>
      </w:r>
      <w:r>
        <w:rPr>
          <w:rFonts w:hint="eastAsia" w:ascii="宋体" w:hAnsi="宋体" w:eastAsia="宋体"/>
          <w:sz w:val="24"/>
        </w:rPr>
        <w:t>个行政村、</w:t>
      </w:r>
      <w:r>
        <w:rPr>
          <w:rFonts w:ascii="宋体" w:hAnsi="宋体" w:eastAsia="宋体"/>
          <w:sz w:val="24"/>
        </w:rPr>
        <w:t xml:space="preserve">65 </w:t>
      </w:r>
      <w:r>
        <w:rPr>
          <w:rFonts w:hint="eastAsia" w:ascii="宋体" w:hAnsi="宋体" w:eastAsia="宋体"/>
          <w:sz w:val="24"/>
        </w:rPr>
        <w:t xml:space="preserve">个村民小组，共有农村户籍人口 </w:t>
      </w:r>
      <w:r>
        <w:rPr>
          <w:rFonts w:ascii="宋体" w:hAnsi="宋体" w:eastAsia="宋体"/>
          <w:sz w:val="24"/>
        </w:rPr>
        <w:t>5286</w:t>
      </w:r>
      <w:r>
        <w:rPr>
          <w:rFonts w:hint="eastAsia" w:ascii="宋体" w:hAnsi="宋体" w:eastAsia="宋体"/>
          <w:sz w:val="24"/>
        </w:rPr>
        <w:t xml:space="preserve">户 </w:t>
      </w:r>
      <w:r>
        <w:rPr>
          <w:rFonts w:ascii="宋体" w:hAnsi="宋体" w:eastAsia="宋体"/>
          <w:sz w:val="24"/>
        </w:rPr>
        <w:t xml:space="preserve">23349 </w:t>
      </w:r>
      <w:r>
        <w:rPr>
          <w:rFonts w:hint="eastAsia" w:ascii="宋体" w:hAnsi="宋体" w:eastAsia="宋体"/>
          <w:sz w:val="24"/>
        </w:rPr>
        <w:t xml:space="preserve">人，其中脱贫户 </w:t>
      </w:r>
      <w:r>
        <w:rPr>
          <w:rFonts w:ascii="宋体" w:hAnsi="宋体" w:eastAsia="宋体"/>
          <w:sz w:val="24"/>
        </w:rPr>
        <w:t xml:space="preserve">1387 </w:t>
      </w:r>
      <w:r>
        <w:rPr>
          <w:rFonts w:hint="eastAsia" w:ascii="宋体" w:hAnsi="宋体" w:eastAsia="宋体"/>
          <w:sz w:val="24"/>
        </w:rPr>
        <w:t xml:space="preserve">户 </w:t>
      </w:r>
      <w:r>
        <w:rPr>
          <w:rFonts w:ascii="宋体" w:hAnsi="宋体" w:eastAsia="宋体"/>
          <w:sz w:val="24"/>
        </w:rPr>
        <w:t xml:space="preserve">6022 </w:t>
      </w:r>
      <w:r>
        <w:rPr>
          <w:rFonts w:hint="eastAsia" w:ascii="宋体" w:hAnsi="宋体" w:eastAsia="宋体"/>
          <w:sz w:val="24"/>
        </w:rPr>
        <w:t xml:space="preserve">人，监测户 </w:t>
      </w:r>
      <w:r>
        <w:rPr>
          <w:rFonts w:ascii="宋体" w:hAnsi="宋体" w:eastAsia="宋体"/>
          <w:sz w:val="24"/>
        </w:rPr>
        <w:t xml:space="preserve">342 </w:t>
      </w:r>
      <w:r>
        <w:rPr>
          <w:rFonts w:hint="eastAsia" w:ascii="宋体" w:hAnsi="宋体" w:eastAsia="宋体"/>
          <w:sz w:val="24"/>
        </w:rPr>
        <w:t xml:space="preserve">户 </w:t>
      </w:r>
      <w:r>
        <w:rPr>
          <w:rFonts w:ascii="宋体" w:hAnsi="宋体" w:eastAsia="宋体"/>
          <w:sz w:val="24"/>
        </w:rPr>
        <w:t xml:space="preserve">1582 </w:t>
      </w:r>
      <w:r>
        <w:rPr>
          <w:rFonts w:hint="eastAsia" w:ascii="宋体" w:hAnsi="宋体" w:eastAsia="宋体"/>
          <w:sz w:val="24"/>
        </w:rPr>
        <w:t>人。</w:t>
      </w:r>
      <w:r>
        <w:rPr>
          <w:rFonts w:ascii="宋体" w:hAnsi="宋体" w:eastAsia="宋体"/>
          <w:sz w:val="24"/>
        </w:rPr>
        <w:t xml:space="preserve">2023 </w:t>
      </w:r>
      <w:r>
        <w:rPr>
          <w:rFonts w:hint="eastAsia" w:ascii="宋体" w:hAnsi="宋体" w:eastAsia="宋体"/>
          <w:sz w:val="24"/>
        </w:rPr>
        <w:t xml:space="preserve">年全乡人均纯收入 </w:t>
      </w:r>
      <w:r>
        <w:rPr>
          <w:rFonts w:ascii="宋体" w:hAnsi="宋体" w:eastAsia="宋体"/>
          <w:sz w:val="24"/>
        </w:rPr>
        <w:t xml:space="preserve">16837 </w:t>
      </w:r>
      <w:r>
        <w:rPr>
          <w:rFonts w:hint="eastAsia" w:ascii="宋体" w:hAnsi="宋体" w:eastAsia="宋体"/>
          <w:sz w:val="24"/>
        </w:rPr>
        <w:t xml:space="preserve">元。合作社 </w:t>
      </w:r>
      <w:r>
        <w:rPr>
          <w:rFonts w:ascii="宋体" w:hAnsi="宋体" w:eastAsia="宋体"/>
          <w:sz w:val="24"/>
        </w:rPr>
        <w:t xml:space="preserve">38 </w:t>
      </w:r>
      <w:r>
        <w:rPr>
          <w:rFonts w:hint="eastAsia" w:ascii="宋体" w:hAnsi="宋体" w:eastAsia="宋体"/>
          <w:sz w:val="24"/>
        </w:rPr>
        <w:t xml:space="preserve">家，其中鸽子合作社 </w:t>
      </w:r>
      <w:r>
        <w:rPr>
          <w:rFonts w:ascii="宋体" w:hAnsi="宋体" w:eastAsia="宋体"/>
          <w:sz w:val="24"/>
        </w:rPr>
        <w:t>18</w:t>
      </w:r>
      <w:r>
        <w:rPr>
          <w:rFonts w:hint="eastAsia" w:ascii="宋体" w:hAnsi="宋体" w:eastAsia="宋体"/>
          <w:sz w:val="24"/>
        </w:rPr>
        <w:t xml:space="preserve">家；冷库 </w:t>
      </w:r>
      <w:r>
        <w:rPr>
          <w:rFonts w:ascii="宋体" w:hAnsi="宋体" w:eastAsia="宋体"/>
          <w:sz w:val="24"/>
        </w:rPr>
        <w:t xml:space="preserve">4 </w:t>
      </w:r>
      <w:r>
        <w:rPr>
          <w:rFonts w:hint="eastAsia" w:ascii="宋体" w:hAnsi="宋体" w:eastAsia="宋体"/>
          <w:sz w:val="24"/>
        </w:rPr>
        <w:t xml:space="preserve">座；养殖小区 </w:t>
      </w:r>
      <w:r>
        <w:rPr>
          <w:rFonts w:ascii="宋体" w:hAnsi="宋体" w:eastAsia="宋体"/>
          <w:sz w:val="24"/>
        </w:rPr>
        <w:t xml:space="preserve">2 </w:t>
      </w:r>
      <w:r>
        <w:rPr>
          <w:rFonts w:hint="eastAsia" w:ascii="宋体" w:hAnsi="宋体" w:eastAsia="宋体"/>
          <w:sz w:val="24"/>
        </w:rPr>
        <w:t xml:space="preserve">座；卫星工厂 </w:t>
      </w:r>
      <w:r>
        <w:rPr>
          <w:rFonts w:ascii="宋体" w:hAnsi="宋体" w:eastAsia="宋体"/>
          <w:sz w:val="24"/>
        </w:rPr>
        <w:t xml:space="preserve">2 </w:t>
      </w:r>
      <w:r>
        <w:rPr>
          <w:rFonts w:hint="eastAsia" w:ascii="宋体" w:hAnsi="宋体" w:eastAsia="宋体"/>
          <w:sz w:val="24"/>
        </w:rPr>
        <w:t xml:space="preserve">家；地区级乡村振兴示范村 </w:t>
      </w:r>
      <w:r>
        <w:rPr>
          <w:rFonts w:ascii="宋体" w:hAnsi="宋体" w:eastAsia="宋体"/>
          <w:sz w:val="24"/>
        </w:rPr>
        <w:t xml:space="preserve">2 </w:t>
      </w:r>
      <w:r>
        <w:rPr>
          <w:rFonts w:hint="eastAsia" w:ascii="宋体" w:hAnsi="宋体" w:eastAsia="宋体"/>
          <w:sz w:val="24"/>
        </w:rPr>
        <w:t xml:space="preserve">个。乌吉热克乡位于叶城县北部，东邻巴仁乡，南邻恰尔巴格镇和依提木孔乡，西北隔提孜那甫河与泽普县相望，距叶城县城 </w:t>
      </w:r>
      <w:r>
        <w:rPr>
          <w:rFonts w:ascii="宋体" w:hAnsi="宋体" w:eastAsia="宋体"/>
          <w:sz w:val="24"/>
        </w:rPr>
        <w:t xml:space="preserve">16 </w:t>
      </w:r>
      <w:r>
        <w:rPr>
          <w:rFonts w:hint="eastAsia" w:ascii="宋体" w:hAnsi="宋体" w:eastAsia="宋体"/>
          <w:sz w:val="24"/>
        </w:rPr>
        <w:t xml:space="preserve">千米。全乡总面积 </w:t>
      </w:r>
      <w:r>
        <w:rPr>
          <w:rFonts w:ascii="宋体" w:hAnsi="宋体" w:eastAsia="宋体"/>
          <w:sz w:val="24"/>
        </w:rPr>
        <w:t xml:space="preserve">57.56 </w:t>
      </w:r>
      <w:r>
        <w:rPr>
          <w:rFonts w:hint="eastAsia" w:ascii="宋体" w:hAnsi="宋体" w:eastAsia="宋体"/>
          <w:sz w:val="24"/>
        </w:rPr>
        <w:t xml:space="preserve">平方千米。户籍人口 </w:t>
      </w:r>
      <w:r>
        <w:rPr>
          <w:rFonts w:ascii="宋体" w:hAnsi="宋体" w:eastAsia="宋体"/>
          <w:sz w:val="24"/>
        </w:rPr>
        <w:t xml:space="preserve">24739 </w:t>
      </w:r>
      <w:r>
        <w:rPr>
          <w:rFonts w:hint="eastAsia" w:ascii="宋体" w:hAnsi="宋体" w:eastAsia="宋体"/>
          <w:sz w:val="24"/>
        </w:rPr>
        <w:t>人。乌夏巴什镇位于叶城县城南部，东邻洛克乡、和田地区皮山县，南邻西合休乡、柯克亚乡，北邻宗朗乡、铁提乡接壤，距离叶城县城</w:t>
      </w:r>
      <w:r>
        <w:rPr>
          <w:rFonts w:ascii="宋体" w:hAnsi="宋体" w:eastAsia="宋体"/>
          <w:sz w:val="24"/>
        </w:rPr>
        <w:t xml:space="preserve">65 </w:t>
      </w:r>
      <w:r>
        <w:rPr>
          <w:rFonts w:hint="eastAsia" w:ascii="宋体" w:hAnsi="宋体" w:eastAsia="宋体"/>
          <w:sz w:val="24"/>
        </w:rPr>
        <w:t xml:space="preserve">千米。全乡总面积 </w:t>
      </w:r>
      <w:r>
        <w:rPr>
          <w:rFonts w:ascii="宋体" w:hAnsi="宋体" w:eastAsia="宋体"/>
          <w:sz w:val="24"/>
        </w:rPr>
        <w:t xml:space="preserve">56 </w:t>
      </w:r>
      <w:r>
        <w:rPr>
          <w:rFonts w:hint="eastAsia" w:ascii="宋体" w:hAnsi="宋体" w:eastAsia="宋体"/>
          <w:sz w:val="24"/>
        </w:rPr>
        <w:t xml:space="preserve">平方千米。地处喀喇昆仑山南蔍，境内地势南高北低；最高点位于南部高山区，海拔 </w:t>
      </w:r>
      <w:r>
        <w:rPr>
          <w:rFonts w:ascii="宋体" w:hAnsi="宋体" w:eastAsia="宋体"/>
          <w:sz w:val="24"/>
        </w:rPr>
        <w:t xml:space="preserve">3500 </w:t>
      </w:r>
      <w:r>
        <w:rPr>
          <w:rFonts w:hint="eastAsia" w:ascii="宋体" w:hAnsi="宋体" w:eastAsia="宋体"/>
          <w:sz w:val="24"/>
        </w:rPr>
        <w:t xml:space="preserve">米；最低点位于北部盆地，海拔 </w:t>
      </w:r>
      <w:r>
        <w:rPr>
          <w:rFonts w:ascii="宋体" w:hAnsi="宋体" w:eastAsia="宋体"/>
          <w:sz w:val="24"/>
        </w:rPr>
        <w:t xml:space="preserve">1800 </w:t>
      </w:r>
      <w:r>
        <w:rPr>
          <w:rFonts w:hint="eastAsia" w:ascii="宋体" w:hAnsi="宋体" w:eastAsia="宋体"/>
          <w:sz w:val="24"/>
        </w:rPr>
        <w:t xml:space="preserve">米。夏合甫乡位于县境西北部，距县城 </w:t>
      </w:r>
      <w:r>
        <w:rPr>
          <w:rFonts w:ascii="宋体" w:hAnsi="宋体" w:eastAsia="宋体"/>
          <w:sz w:val="24"/>
        </w:rPr>
        <w:t xml:space="preserve">18 </w:t>
      </w:r>
      <w:r>
        <w:rPr>
          <w:rFonts w:hint="eastAsia" w:ascii="宋体" w:hAnsi="宋体" w:eastAsia="宋体"/>
          <w:sz w:val="24"/>
        </w:rPr>
        <w:t xml:space="preserve">公里。乡境东邻恰尔巴格镇，西同依力克齐乡接壤，东北与乌吉热克乡相连，西北与泽普县毗连。乡辖区南北长 </w:t>
      </w:r>
      <w:r>
        <w:rPr>
          <w:rFonts w:ascii="宋体" w:hAnsi="宋体" w:eastAsia="宋体"/>
          <w:sz w:val="24"/>
        </w:rPr>
        <w:t xml:space="preserve">16 </w:t>
      </w:r>
      <w:r>
        <w:rPr>
          <w:rFonts w:hint="eastAsia" w:ascii="宋体" w:hAnsi="宋体" w:eastAsia="宋体"/>
          <w:sz w:val="24"/>
        </w:rPr>
        <w:t xml:space="preserve">公里，东西宽 </w:t>
      </w:r>
      <w:r>
        <w:rPr>
          <w:rFonts w:ascii="宋体" w:hAnsi="宋体" w:eastAsia="宋体"/>
          <w:sz w:val="24"/>
        </w:rPr>
        <w:t xml:space="preserve">6 </w:t>
      </w:r>
      <w:r>
        <w:rPr>
          <w:rFonts w:hint="eastAsia" w:ascii="宋体" w:hAnsi="宋体" w:eastAsia="宋体"/>
          <w:sz w:val="24"/>
        </w:rPr>
        <w:t xml:space="preserve">公里，总面积 </w:t>
      </w:r>
      <w:r>
        <w:rPr>
          <w:rFonts w:ascii="宋体" w:hAnsi="宋体" w:eastAsia="宋体"/>
          <w:sz w:val="24"/>
        </w:rPr>
        <w:t xml:space="preserve">64 </w:t>
      </w:r>
      <w:r>
        <w:rPr>
          <w:rFonts w:hint="eastAsia" w:ascii="宋体" w:hAnsi="宋体" w:eastAsia="宋体"/>
          <w:sz w:val="24"/>
        </w:rPr>
        <w:t xml:space="preserve">平方公里，总耕地面积 </w:t>
      </w:r>
      <w:r>
        <w:rPr>
          <w:rFonts w:ascii="宋体" w:hAnsi="宋体" w:eastAsia="宋体"/>
          <w:sz w:val="24"/>
        </w:rPr>
        <w:t xml:space="preserve">57669.9 </w:t>
      </w:r>
      <w:r>
        <w:rPr>
          <w:rFonts w:hint="eastAsia" w:ascii="宋体" w:hAnsi="宋体" w:eastAsia="宋体"/>
          <w:sz w:val="24"/>
        </w:rPr>
        <w:t xml:space="preserve">亩。夏合甫乡入选 </w:t>
      </w:r>
      <w:r>
        <w:rPr>
          <w:rFonts w:ascii="宋体" w:hAnsi="宋体" w:eastAsia="宋体"/>
          <w:sz w:val="24"/>
        </w:rPr>
        <w:t xml:space="preserve">2019 </w:t>
      </w:r>
      <w:r>
        <w:rPr>
          <w:rFonts w:hint="eastAsia" w:ascii="宋体" w:hAnsi="宋体" w:eastAsia="宋体"/>
          <w:sz w:val="24"/>
        </w:rPr>
        <w:t>年全国农业产业强镇建设名单。</w:t>
      </w:r>
      <w:r>
        <w:rPr>
          <w:rFonts w:ascii="宋体" w:hAnsi="宋体" w:eastAsia="宋体"/>
          <w:sz w:val="24"/>
        </w:rPr>
        <w:t xml:space="preserve">2022 </w:t>
      </w:r>
      <w:r>
        <w:rPr>
          <w:rFonts w:hint="eastAsia" w:ascii="宋体" w:hAnsi="宋体" w:eastAsia="宋体"/>
          <w:sz w:val="24"/>
        </w:rPr>
        <w:t xml:space="preserve">年，夏合甫乡总人口 </w:t>
      </w:r>
      <w:r>
        <w:rPr>
          <w:rFonts w:ascii="宋体" w:hAnsi="宋体" w:eastAsia="宋体"/>
          <w:sz w:val="24"/>
        </w:rPr>
        <w:t xml:space="preserve">20583 </w:t>
      </w:r>
      <w:r>
        <w:rPr>
          <w:rFonts w:hint="eastAsia" w:ascii="宋体" w:hAnsi="宋体" w:eastAsia="宋体"/>
          <w:sz w:val="24"/>
        </w:rPr>
        <w:t xml:space="preserve">人，其中城镇常住人口 </w:t>
      </w:r>
      <w:r>
        <w:rPr>
          <w:rFonts w:ascii="宋体" w:hAnsi="宋体" w:eastAsia="宋体"/>
          <w:sz w:val="24"/>
        </w:rPr>
        <w:t xml:space="preserve">139 </w:t>
      </w:r>
    </w:p>
    <w:p w14:paraId="1EED7301">
      <w:pPr>
        <w:spacing w:line="480" w:lineRule="auto"/>
        <w:rPr>
          <w:rFonts w:ascii="宋体" w:hAnsi="宋体" w:eastAsia="宋体"/>
          <w:sz w:val="24"/>
        </w:rPr>
      </w:pPr>
      <w:r>
        <w:rPr>
          <w:rFonts w:hint="eastAsia" w:ascii="宋体" w:hAnsi="宋体" w:eastAsia="宋体"/>
          <w:sz w:val="24"/>
        </w:rPr>
        <w:t xml:space="preserve">人，城镇化率 </w:t>
      </w:r>
      <w:r>
        <w:rPr>
          <w:rFonts w:ascii="宋体" w:hAnsi="宋体" w:eastAsia="宋体"/>
          <w:sz w:val="24"/>
        </w:rPr>
        <w:t>5.53%</w:t>
      </w:r>
      <w:r>
        <w:rPr>
          <w:rFonts w:hint="eastAsia" w:ascii="宋体" w:hAnsi="宋体" w:eastAsia="宋体"/>
          <w:sz w:val="24"/>
        </w:rPr>
        <w:t xml:space="preserve">；另有流动人口 </w:t>
      </w:r>
      <w:r>
        <w:rPr>
          <w:rFonts w:ascii="宋体" w:hAnsi="宋体" w:eastAsia="宋体"/>
          <w:sz w:val="24"/>
        </w:rPr>
        <w:t xml:space="preserve">200 </w:t>
      </w:r>
      <w:r>
        <w:rPr>
          <w:rFonts w:hint="eastAsia" w:ascii="宋体" w:hAnsi="宋体" w:eastAsia="宋体"/>
          <w:sz w:val="24"/>
        </w:rPr>
        <w:t xml:space="preserve">人。依力克其乡，辖巴什兰干村、阿亚格兰干村、萨依吾斯村、阿孜干村、艾肯博依村等 </w:t>
      </w:r>
      <w:r>
        <w:rPr>
          <w:rFonts w:ascii="宋体" w:hAnsi="宋体" w:eastAsia="宋体"/>
          <w:sz w:val="24"/>
        </w:rPr>
        <w:t xml:space="preserve">17 </w:t>
      </w:r>
      <w:r>
        <w:rPr>
          <w:rFonts w:hint="eastAsia" w:ascii="宋体" w:hAnsi="宋体" w:eastAsia="宋体"/>
          <w:sz w:val="24"/>
        </w:rPr>
        <w:t xml:space="preserve">个行政村，乡政府驻琼艾日克村。位于叶城县西北部，东邻夏合甫乡，南邻萨依巴格乡，西邻棋盘乡、泽普县，北与泽普县接壤，距叶城县城 </w:t>
      </w:r>
      <w:r>
        <w:rPr>
          <w:rFonts w:ascii="宋体" w:hAnsi="宋体" w:eastAsia="宋体"/>
          <w:sz w:val="24"/>
        </w:rPr>
        <w:t xml:space="preserve">18 </w:t>
      </w:r>
      <w:r>
        <w:rPr>
          <w:rFonts w:hint="eastAsia" w:ascii="宋体" w:hAnsi="宋体" w:eastAsia="宋体"/>
          <w:sz w:val="24"/>
        </w:rPr>
        <w:t xml:space="preserve">千米。属暖温带大陆性气候全乡总面积 </w:t>
      </w:r>
      <w:r>
        <w:rPr>
          <w:rFonts w:ascii="宋体" w:hAnsi="宋体" w:eastAsia="宋体"/>
          <w:sz w:val="24"/>
        </w:rPr>
        <w:t xml:space="preserve">312.5 </w:t>
      </w:r>
      <w:r>
        <w:rPr>
          <w:rFonts w:hint="eastAsia" w:ascii="宋体" w:hAnsi="宋体" w:eastAsia="宋体"/>
          <w:sz w:val="24"/>
        </w:rPr>
        <w:t xml:space="preserve">平方千米。依提木孔镇位于叶城县西部，东邻肖塔大渠、金果镇、铁提乡、巴仁乡，南邻铁提乡，西邻萨依巴格乡，北邻恰尔巴格镇，距叶城县城 </w:t>
      </w:r>
      <w:r>
        <w:rPr>
          <w:rFonts w:ascii="宋体" w:hAnsi="宋体" w:eastAsia="宋体"/>
          <w:sz w:val="24"/>
        </w:rPr>
        <w:t xml:space="preserve">1 </w:t>
      </w:r>
      <w:r>
        <w:rPr>
          <w:rFonts w:hint="eastAsia" w:ascii="宋体" w:hAnsi="宋体" w:eastAsia="宋体"/>
          <w:sz w:val="24"/>
        </w:rPr>
        <w:t xml:space="preserve">千米。辖区南北长 </w:t>
      </w:r>
      <w:r>
        <w:rPr>
          <w:rFonts w:ascii="宋体" w:hAnsi="宋体" w:eastAsia="宋体"/>
          <w:sz w:val="24"/>
        </w:rPr>
        <w:t xml:space="preserve">24 </w:t>
      </w:r>
      <w:r>
        <w:rPr>
          <w:rFonts w:hint="eastAsia" w:ascii="宋体" w:hAnsi="宋体" w:eastAsia="宋体"/>
          <w:sz w:val="24"/>
        </w:rPr>
        <w:t xml:space="preserve">千米，东西宽 </w:t>
      </w:r>
      <w:r>
        <w:rPr>
          <w:rFonts w:ascii="宋体" w:hAnsi="宋体" w:eastAsia="宋体"/>
          <w:sz w:val="24"/>
        </w:rPr>
        <w:t xml:space="preserve">6 </w:t>
      </w:r>
      <w:r>
        <w:rPr>
          <w:rFonts w:hint="eastAsia" w:ascii="宋体" w:hAnsi="宋体" w:eastAsia="宋体"/>
          <w:sz w:val="24"/>
        </w:rPr>
        <w:t xml:space="preserve">千米，总面积 </w:t>
      </w:r>
      <w:r>
        <w:rPr>
          <w:rFonts w:ascii="宋体" w:hAnsi="宋体" w:eastAsia="宋体"/>
          <w:sz w:val="24"/>
        </w:rPr>
        <w:t xml:space="preserve">101.5 </w:t>
      </w:r>
      <w:r>
        <w:rPr>
          <w:rFonts w:hint="eastAsia" w:ascii="宋体" w:hAnsi="宋体" w:eastAsia="宋体"/>
          <w:sz w:val="24"/>
        </w:rPr>
        <w:t xml:space="preserve">平方千米。境内海拔高度在 </w:t>
      </w:r>
      <w:r>
        <w:rPr>
          <w:rFonts w:ascii="宋体" w:hAnsi="宋体" w:eastAsia="宋体"/>
          <w:sz w:val="24"/>
        </w:rPr>
        <w:t>1350</w:t>
      </w:r>
      <w:r>
        <w:rPr>
          <w:rFonts w:hint="eastAsia" w:ascii="宋体" w:hAnsi="宋体" w:eastAsia="宋体"/>
          <w:sz w:val="24"/>
        </w:rPr>
        <w:t>～</w:t>
      </w:r>
      <w:r>
        <w:rPr>
          <w:rFonts w:ascii="宋体" w:hAnsi="宋体" w:eastAsia="宋体"/>
          <w:sz w:val="24"/>
        </w:rPr>
        <w:t xml:space="preserve">1370 </w:t>
      </w:r>
      <w:r>
        <w:rPr>
          <w:rFonts w:hint="eastAsia" w:ascii="宋体" w:hAnsi="宋体" w:eastAsia="宋体"/>
          <w:sz w:val="24"/>
        </w:rPr>
        <w:t xml:space="preserve">米之间。宗朗乡辖清泉村、阿亚格宗朗村、巴什宗朗村、阿依坎特村、阿亚格康萨依村、巴什康萨依村 </w:t>
      </w:r>
      <w:r>
        <w:rPr>
          <w:rFonts w:ascii="宋体" w:hAnsi="宋体" w:eastAsia="宋体"/>
          <w:sz w:val="24"/>
        </w:rPr>
        <w:t xml:space="preserve">6 </w:t>
      </w:r>
      <w:r>
        <w:rPr>
          <w:rFonts w:hint="eastAsia" w:ascii="宋体" w:hAnsi="宋体" w:eastAsia="宋体"/>
          <w:sz w:val="24"/>
        </w:rPr>
        <w:t xml:space="preserve">个行政村。位于喀什地区叶城县南部，东邻洛克乡，南、西邻乌夏克巴什镇，北邻佰西热克乡、铁提乡，距叶城县城 </w:t>
      </w:r>
      <w:r>
        <w:rPr>
          <w:rFonts w:ascii="宋体" w:hAnsi="宋体" w:eastAsia="宋体"/>
          <w:sz w:val="24"/>
        </w:rPr>
        <w:t xml:space="preserve">50 </w:t>
      </w:r>
      <w:r>
        <w:rPr>
          <w:rFonts w:hint="eastAsia" w:ascii="宋体" w:hAnsi="宋体" w:eastAsia="宋体"/>
          <w:sz w:val="24"/>
        </w:rPr>
        <w:t xml:space="preserve">千米。宗朗乡属温带大陆性气候，全乡总面积 </w:t>
      </w:r>
      <w:r>
        <w:rPr>
          <w:rFonts w:ascii="宋体" w:hAnsi="宋体" w:eastAsia="宋体"/>
          <w:sz w:val="24"/>
        </w:rPr>
        <w:t xml:space="preserve">72.75 </w:t>
      </w:r>
      <w:r>
        <w:rPr>
          <w:rFonts w:hint="eastAsia" w:ascii="宋体" w:hAnsi="宋体" w:eastAsia="宋体"/>
          <w:sz w:val="24"/>
        </w:rPr>
        <w:t xml:space="preserve">平方千米。全乡户籍人口 </w:t>
      </w:r>
      <w:r>
        <w:rPr>
          <w:rFonts w:ascii="宋体" w:hAnsi="宋体" w:eastAsia="宋体"/>
          <w:sz w:val="24"/>
        </w:rPr>
        <w:t xml:space="preserve">7939 </w:t>
      </w:r>
      <w:r>
        <w:rPr>
          <w:rFonts w:hint="eastAsia" w:ascii="宋体" w:hAnsi="宋体" w:eastAsia="宋体"/>
          <w:sz w:val="24"/>
        </w:rPr>
        <w:t xml:space="preserve">人。白杨镇位于叶城县北部，东、南邻与吐古其乡，西邻巴仁乡、乌吉热克乡和泽普县，北邻江格勒斯乡，距离叶城县城 </w:t>
      </w:r>
      <w:r>
        <w:rPr>
          <w:rFonts w:ascii="宋体" w:hAnsi="宋体" w:eastAsia="宋体"/>
          <w:sz w:val="24"/>
        </w:rPr>
        <w:t xml:space="preserve">11 </w:t>
      </w:r>
      <w:r>
        <w:rPr>
          <w:rFonts w:hint="eastAsia" w:ascii="宋体" w:hAnsi="宋体" w:eastAsia="宋体"/>
          <w:sz w:val="24"/>
        </w:rPr>
        <w:t xml:space="preserve">千米。全乡总面积 </w:t>
      </w:r>
      <w:r>
        <w:rPr>
          <w:rFonts w:ascii="宋体" w:hAnsi="宋体" w:eastAsia="宋体"/>
          <w:sz w:val="24"/>
        </w:rPr>
        <w:t xml:space="preserve">87.77 </w:t>
      </w:r>
      <w:r>
        <w:rPr>
          <w:rFonts w:hint="eastAsia" w:ascii="宋体" w:hAnsi="宋体" w:eastAsia="宋体"/>
          <w:sz w:val="24"/>
        </w:rPr>
        <w:t xml:space="preserve">平方千米。乡地处冲积扇平原，地势平坦，平均海拔 </w:t>
      </w:r>
      <w:r>
        <w:rPr>
          <w:rFonts w:ascii="宋体" w:hAnsi="宋体" w:eastAsia="宋体"/>
          <w:sz w:val="24"/>
        </w:rPr>
        <w:t>1320</w:t>
      </w:r>
      <w:r>
        <w:rPr>
          <w:rFonts w:hint="eastAsia" w:ascii="宋体" w:hAnsi="宋体" w:eastAsia="宋体"/>
          <w:sz w:val="24"/>
        </w:rPr>
        <w:t xml:space="preserve">米。目前项目区已建渠道计量设施不完善，量水工作开展困难，造成水资源浪费严重。为了提高水利用系数，利于水资源合理开发利用，提出了本项目的建设。 </w:t>
      </w:r>
    </w:p>
    <w:p w14:paraId="76E7707A">
      <w:pPr>
        <w:pStyle w:val="3"/>
      </w:pPr>
      <w:bookmarkStart w:id="13" w:name="_Toc179900089"/>
      <w:r>
        <w:t xml:space="preserve">2.2 </w:t>
      </w:r>
      <w:r>
        <w:rPr>
          <w:rFonts w:hint="eastAsia"/>
        </w:rPr>
        <w:t>水文</w:t>
      </w:r>
      <w:bookmarkEnd w:id="13"/>
      <w:r>
        <w:rPr>
          <w:rFonts w:hint="eastAsia"/>
        </w:rPr>
        <w:t xml:space="preserve"> </w:t>
      </w:r>
    </w:p>
    <w:p w14:paraId="1168C5DA">
      <w:pPr>
        <w:pStyle w:val="4"/>
        <w:rPr>
          <w:sz w:val="24"/>
          <w:szCs w:val="24"/>
        </w:rPr>
      </w:pPr>
      <w:bookmarkStart w:id="14" w:name="_Toc179900090"/>
      <w:r>
        <w:rPr>
          <w:sz w:val="24"/>
          <w:szCs w:val="24"/>
        </w:rPr>
        <w:t xml:space="preserve">2.2.1 </w:t>
      </w:r>
      <w:r>
        <w:rPr>
          <w:rFonts w:hint="eastAsia"/>
          <w:sz w:val="24"/>
          <w:szCs w:val="24"/>
        </w:rPr>
        <w:t>水文</w:t>
      </w:r>
      <w:bookmarkEnd w:id="14"/>
      <w:r>
        <w:rPr>
          <w:rFonts w:hint="eastAsia"/>
          <w:sz w:val="24"/>
          <w:szCs w:val="24"/>
        </w:rPr>
        <w:t xml:space="preserve"> </w:t>
      </w:r>
    </w:p>
    <w:p w14:paraId="05884AF0">
      <w:pPr>
        <w:spacing w:line="480" w:lineRule="auto"/>
        <w:rPr>
          <w:rFonts w:ascii="宋体" w:hAnsi="宋体" w:eastAsia="宋体"/>
          <w:sz w:val="24"/>
        </w:rPr>
      </w:pPr>
      <w:r>
        <w:rPr>
          <w:rFonts w:hint="eastAsia" w:ascii="宋体" w:hAnsi="宋体" w:eastAsia="宋体"/>
          <w:sz w:val="24"/>
        </w:rPr>
        <w:t>依据《新疆叶尔羌河流域水资源评价报告》叶城县主要有</w:t>
      </w:r>
      <w:r>
        <w:rPr>
          <w:rFonts w:ascii="宋体" w:hAnsi="宋体" w:eastAsia="宋体"/>
          <w:sz w:val="24"/>
        </w:rPr>
        <w:t>4</w:t>
      </w:r>
      <w:r>
        <w:rPr>
          <w:rFonts w:hint="eastAsia" w:ascii="宋体" w:hAnsi="宋体" w:eastAsia="宋体"/>
          <w:sz w:val="24"/>
        </w:rPr>
        <w:t xml:space="preserve">条河流，即提孜那甫河、乌鲁克河、柯克亚河和棋盘河，多年平均径流总量 </w:t>
      </w:r>
      <w:r>
        <w:rPr>
          <w:rFonts w:ascii="宋体" w:hAnsi="宋体" w:eastAsia="宋体"/>
          <w:sz w:val="24"/>
        </w:rPr>
        <w:t>13.87</w:t>
      </w:r>
      <w:r>
        <w:rPr>
          <w:rFonts w:hint="eastAsia" w:ascii="宋体" w:hAnsi="宋体" w:eastAsia="宋体"/>
          <w:sz w:val="24"/>
        </w:rPr>
        <w:t>×</w:t>
      </w:r>
      <w:r>
        <w:rPr>
          <w:rFonts w:ascii="宋体" w:hAnsi="宋体" w:eastAsia="宋体"/>
          <w:sz w:val="24"/>
        </w:rPr>
        <w:t>108m3</w:t>
      </w:r>
      <w:r>
        <w:rPr>
          <w:rFonts w:hint="eastAsia" w:ascii="宋体" w:hAnsi="宋体" w:eastAsia="宋体"/>
          <w:sz w:val="24"/>
        </w:rPr>
        <w:t xml:space="preserve">（含叶河水 </w:t>
      </w:r>
      <w:r>
        <w:rPr>
          <w:rFonts w:ascii="宋体" w:hAnsi="宋体" w:eastAsia="宋体"/>
          <w:sz w:val="24"/>
        </w:rPr>
        <w:t>1.71</w:t>
      </w:r>
      <w:r>
        <w:rPr>
          <w:rFonts w:hint="eastAsia" w:ascii="宋体" w:hAnsi="宋体" w:eastAsia="宋体"/>
          <w:sz w:val="24"/>
        </w:rPr>
        <w:t>×</w:t>
      </w:r>
      <w:r>
        <w:rPr>
          <w:rFonts w:ascii="宋体" w:hAnsi="宋体" w:eastAsia="宋体"/>
          <w:sz w:val="24"/>
        </w:rPr>
        <w:t>108m3 )</w:t>
      </w:r>
      <w:r>
        <w:rPr>
          <w:rFonts w:hint="eastAsia" w:ascii="宋体" w:hAnsi="宋体" w:eastAsia="宋体"/>
          <w:sz w:val="24"/>
        </w:rPr>
        <w:t xml:space="preserve">。各河水量大都集中在 </w:t>
      </w:r>
      <w:r>
        <w:rPr>
          <w:rFonts w:ascii="宋体" w:hAnsi="宋体" w:eastAsia="宋体"/>
          <w:sz w:val="24"/>
        </w:rPr>
        <w:t>6~8</w:t>
      </w:r>
      <w:r>
        <w:rPr>
          <w:rFonts w:hint="eastAsia" w:ascii="宋体" w:hAnsi="宋体" w:eastAsia="宋体"/>
          <w:sz w:val="24"/>
        </w:rPr>
        <w:t xml:space="preserve">月的洪水期，其余时间水量很小。平原区泉水主要集中在扇缘潜水溢出带，分布在叶城和泽普县境及莎车与麦盖提县的南部地区。近年来，由于上游水利工程防渗、田间节水措施及农田排水渠系等的作用，昔日泉域、沼泽有所退化，泉水流量呈逐年衰减之趋势。据评价区泉水多年调查资料，其中叶城县泉水溢出量为 </w:t>
      </w:r>
      <w:r>
        <w:rPr>
          <w:rFonts w:ascii="宋体" w:hAnsi="宋体" w:eastAsia="宋体"/>
          <w:sz w:val="24"/>
        </w:rPr>
        <w:t>1.50</w:t>
      </w:r>
      <w:r>
        <w:rPr>
          <w:rFonts w:hint="eastAsia" w:ascii="宋体" w:hAnsi="宋体" w:eastAsia="宋体"/>
          <w:sz w:val="24"/>
        </w:rPr>
        <w:t>×</w:t>
      </w:r>
      <w:r>
        <w:rPr>
          <w:rFonts w:ascii="宋体" w:hAnsi="宋体" w:eastAsia="宋体"/>
          <w:sz w:val="24"/>
        </w:rPr>
        <w:t>108m3</w:t>
      </w:r>
      <w:r>
        <w:rPr>
          <w:rFonts w:hint="eastAsia" w:ascii="宋体" w:hAnsi="宋体" w:eastAsia="宋体"/>
          <w:sz w:val="24"/>
        </w:rPr>
        <w:t xml:space="preserve">。提孜那甫河流域山区降水量 </w:t>
      </w:r>
      <w:r>
        <w:rPr>
          <w:rFonts w:ascii="宋体" w:hAnsi="宋体" w:eastAsia="宋体"/>
          <w:sz w:val="24"/>
        </w:rPr>
        <w:t>100</w:t>
      </w:r>
      <w:r>
        <w:rPr>
          <w:rFonts w:hint="eastAsia" w:ascii="宋体" w:hAnsi="宋体" w:eastAsia="宋体"/>
          <w:sz w:val="24"/>
        </w:rPr>
        <w:t>～</w:t>
      </w:r>
      <w:r>
        <w:rPr>
          <w:rFonts w:ascii="宋体" w:hAnsi="宋体" w:eastAsia="宋体"/>
          <w:sz w:val="24"/>
        </w:rPr>
        <w:t>200mm</w:t>
      </w:r>
      <w:r>
        <w:rPr>
          <w:rFonts w:hint="eastAsia" w:ascii="宋体" w:hAnsi="宋体" w:eastAsia="宋体"/>
          <w:sz w:val="24"/>
        </w:rPr>
        <w:t>，较丰沛的降水形成山区十分发育的水文网。河流在径流过程中不断汇集山区的地表水与地下水，径流量越来越大，到出山口处达到最大值，而后流向平原区。平原降水量极少，一般都小于</w:t>
      </w:r>
      <w:r>
        <w:rPr>
          <w:rFonts w:ascii="宋体" w:hAnsi="宋体" w:eastAsia="宋体"/>
          <w:sz w:val="24"/>
        </w:rPr>
        <w:t>55mm</w:t>
      </w:r>
      <w:r>
        <w:rPr>
          <w:rFonts w:hint="eastAsia" w:ascii="宋体" w:hAnsi="宋体" w:eastAsia="宋体"/>
          <w:sz w:val="24"/>
        </w:rPr>
        <w:t xml:space="preserve">，对地下水的补给不具实际意义，灌区地表水、地下水资源大都来源于河水。 </w:t>
      </w:r>
    </w:p>
    <w:p w14:paraId="600BFB9A">
      <w:pPr>
        <w:pStyle w:val="4"/>
        <w:rPr>
          <w:sz w:val="24"/>
          <w:szCs w:val="24"/>
        </w:rPr>
      </w:pPr>
      <w:bookmarkStart w:id="15" w:name="_Toc179900091"/>
      <w:r>
        <w:rPr>
          <w:sz w:val="24"/>
          <w:szCs w:val="24"/>
        </w:rPr>
        <w:t xml:space="preserve">2.2.2 </w:t>
      </w:r>
      <w:r>
        <w:rPr>
          <w:rFonts w:hint="eastAsia"/>
          <w:sz w:val="24"/>
          <w:szCs w:val="24"/>
        </w:rPr>
        <w:t>气象</w:t>
      </w:r>
      <w:bookmarkEnd w:id="15"/>
      <w:r>
        <w:rPr>
          <w:rFonts w:hint="eastAsia"/>
          <w:sz w:val="24"/>
          <w:szCs w:val="24"/>
        </w:rPr>
        <w:t xml:space="preserve"> </w:t>
      </w:r>
    </w:p>
    <w:p w14:paraId="7BF29FBB">
      <w:pPr>
        <w:spacing w:line="480" w:lineRule="auto"/>
        <w:rPr>
          <w:rFonts w:ascii="宋体" w:hAnsi="宋体" w:eastAsia="宋体"/>
          <w:sz w:val="24"/>
        </w:rPr>
      </w:pPr>
      <w:r>
        <w:rPr>
          <w:rFonts w:hint="eastAsia" w:ascii="宋体" w:hAnsi="宋体" w:eastAsia="宋体"/>
          <w:sz w:val="24"/>
        </w:rPr>
        <w:t xml:space="preserve">叶城县地处亚欧大陆腹地的荒漠地带，离海洋较远。南部和西部有高大的昆仑山脉和喀喇昆仑山脉阻挡季风的深入；北部地形开阔，干燥的大陆气流和北冰洋寒冷气流长驱直入，从而形成典型的暖温带大陆性干旱气候。总的气候特点是：夏热冬冷温差大，少雨多风空气燥，光热充沛，蒸发强烈。地形地貌差异大，气候垂直分布悬殊，分为北部平原、中部中山、南部高山和麻扎达拉以南 </w:t>
      </w:r>
      <w:r>
        <w:rPr>
          <w:rFonts w:ascii="宋体" w:hAnsi="宋体" w:eastAsia="宋体"/>
          <w:sz w:val="24"/>
        </w:rPr>
        <w:t xml:space="preserve">4 </w:t>
      </w:r>
      <w:r>
        <w:rPr>
          <w:rFonts w:hint="eastAsia" w:ascii="宋体" w:hAnsi="宋体" w:eastAsia="宋体"/>
          <w:sz w:val="24"/>
        </w:rPr>
        <w:t xml:space="preserve">个气候区。叶城因地处喀喇昆仑北坡，冬季形成较为稳定的逆温层，温度往往偏高于喀什地区北部其他各县，随着全球气候变暖，这种情况从 </w:t>
      </w:r>
      <w:r>
        <w:rPr>
          <w:rFonts w:ascii="宋体" w:hAnsi="宋体" w:eastAsia="宋体"/>
          <w:sz w:val="24"/>
        </w:rPr>
        <w:t xml:space="preserve">20 </w:t>
      </w:r>
      <w:r>
        <w:rPr>
          <w:rFonts w:hint="eastAsia" w:ascii="宋体" w:hAnsi="宋体" w:eastAsia="宋体"/>
          <w:sz w:val="24"/>
        </w:rPr>
        <w:t xml:space="preserve">世纪 </w:t>
      </w:r>
      <w:r>
        <w:rPr>
          <w:rFonts w:ascii="宋体" w:hAnsi="宋体" w:eastAsia="宋体"/>
          <w:sz w:val="24"/>
        </w:rPr>
        <w:t xml:space="preserve">90 </w:t>
      </w:r>
    </w:p>
    <w:p w14:paraId="58B4D1C5">
      <w:pPr>
        <w:spacing w:line="480" w:lineRule="auto"/>
        <w:rPr>
          <w:rFonts w:ascii="宋体" w:hAnsi="宋体" w:eastAsia="宋体"/>
          <w:sz w:val="24"/>
        </w:rPr>
      </w:pPr>
      <w:r>
        <w:rPr>
          <w:rFonts w:hint="eastAsia" w:ascii="宋体" w:hAnsi="宋体" w:eastAsia="宋体"/>
          <w:sz w:val="24"/>
        </w:rPr>
        <w:t>年代中后期以后较为突出。本项目区地处亚欧大陆腹地，土壤沙性，属典型干旱大陆性温带气候，由于受地理位置、季节环流、地形条件的综合影响，使该区降水稀少，蒸发强烈，昼夜温差大，光热时间长，特殊的地形和气候条件形成了春早夏涝的特点。项目区位于叶城县金果镇，金果镇无气象观测资料，但灌区靠近叶城县城，县城设有气象观测站，因此本工程设计选用叶城县气象站观测资料作为参考设计资料。</w:t>
      </w:r>
    </w:p>
    <w:p w14:paraId="416AA262">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）气温 </w:t>
      </w:r>
    </w:p>
    <w:p w14:paraId="772B1DFF">
      <w:pPr>
        <w:spacing w:line="480" w:lineRule="auto"/>
        <w:rPr>
          <w:rFonts w:ascii="宋体" w:hAnsi="宋体" w:eastAsia="宋体"/>
          <w:sz w:val="24"/>
        </w:rPr>
      </w:pPr>
      <w:r>
        <w:rPr>
          <w:rFonts w:hint="eastAsia" w:ascii="宋体" w:hAnsi="宋体" w:eastAsia="宋体"/>
          <w:sz w:val="24"/>
        </w:rPr>
        <w:t xml:space="preserve">叶城县属温带大陆性干旱气候，叶城县气温的空间分布北高南低，东西差异很小。海拔每增高 </w:t>
      </w:r>
      <w:r>
        <w:rPr>
          <w:rFonts w:ascii="宋体" w:hAnsi="宋体" w:eastAsia="宋体"/>
          <w:sz w:val="24"/>
        </w:rPr>
        <w:t xml:space="preserve">100 </w:t>
      </w:r>
      <w:r>
        <w:rPr>
          <w:rFonts w:hint="eastAsia" w:ascii="宋体" w:hAnsi="宋体" w:eastAsia="宋体"/>
          <w:sz w:val="24"/>
        </w:rPr>
        <w:t xml:space="preserve">米，气温降低 </w:t>
      </w:r>
      <w:r>
        <w:rPr>
          <w:rFonts w:ascii="宋体" w:hAnsi="宋体" w:eastAsia="宋体"/>
          <w:sz w:val="24"/>
        </w:rPr>
        <w:t>0.6</w:t>
      </w:r>
      <w:r>
        <w:rPr>
          <w:rFonts w:hint="eastAsia" w:ascii="宋体" w:hAnsi="宋体" w:eastAsia="宋体"/>
          <w:sz w:val="24"/>
        </w:rPr>
        <w:t xml:space="preserve">℃左右。气温的变化体现大陆性气候特点，而同周围各县比较，又显示出春较稳、夏略低、秋不足、冬偏暖的地方特点。平均气温北部平原地带 </w:t>
      </w:r>
      <w:r>
        <w:rPr>
          <w:rFonts w:ascii="宋体" w:hAnsi="宋体" w:eastAsia="宋体"/>
          <w:sz w:val="24"/>
        </w:rPr>
        <w:t xml:space="preserve">12.2 </w:t>
      </w:r>
      <w:r>
        <w:rPr>
          <w:rFonts w:hint="eastAsia" w:ascii="宋体" w:hAnsi="宋体" w:eastAsia="宋体"/>
          <w:sz w:val="24"/>
        </w:rPr>
        <w:t xml:space="preserve">℃，中部海拔 </w:t>
      </w:r>
      <w:r>
        <w:rPr>
          <w:rFonts w:ascii="宋体" w:hAnsi="宋体" w:eastAsia="宋体"/>
          <w:sz w:val="24"/>
        </w:rPr>
        <w:t xml:space="preserve">2000 </w:t>
      </w:r>
      <w:r>
        <w:rPr>
          <w:rFonts w:hint="eastAsia" w:ascii="宋体" w:hAnsi="宋体" w:eastAsia="宋体"/>
          <w:sz w:val="24"/>
        </w:rPr>
        <w:t xml:space="preserve">米中山地带 </w:t>
      </w:r>
      <w:r>
        <w:rPr>
          <w:rFonts w:ascii="宋体" w:hAnsi="宋体" w:eastAsia="宋体"/>
          <w:sz w:val="24"/>
        </w:rPr>
        <w:t>10.7</w:t>
      </w:r>
      <w:r>
        <w:rPr>
          <w:rFonts w:hint="eastAsia" w:ascii="宋体" w:hAnsi="宋体" w:eastAsia="宋体"/>
          <w:sz w:val="24"/>
        </w:rPr>
        <w:t xml:space="preserve">℃，南部海拔 </w:t>
      </w:r>
      <w:r>
        <w:rPr>
          <w:rFonts w:ascii="宋体" w:hAnsi="宋体" w:eastAsia="宋体"/>
          <w:sz w:val="24"/>
        </w:rPr>
        <w:t xml:space="preserve">3500 </w:t>
      </w:r>
      <w:r>
        <w:rPr>
          <w:rFonts w:hint="eastAsia" w:ascii="宋体" w:hAnsi="宋体" w:eastAsia="宋体"/>
          <w:sz w:val="24"/>
        </w:rPr>
        <w:t xml:space="preserve">米高山地带 </w:t>
      </w:r>
      <w:r>
        <w:rPr>
          <w:rFonts w:ascii="宋体" w:hAnsi="宋体" w:eastAsia="宋体"/>
          <w:sz w:val="24"/>
        </w:rPr>
        <w:t>2.6</w:t>
      </w:r>
      <w:r>
        <w:rPr>
          <w:rFonts w:hint="eastAsia" w:ascii="宋体" w:hAnsi="宋体" w:eastAsia="宋体"/>
          <w:sz w:val="24"/>
        </w:rPr>
        <w:t xml:space="preserve">℃，麻扎达拉以南海拔 </w:t>
      </w:r>
      <w:r>
        <w:rPr>
          <w:rFonts w:ascii="宋体" w:hAnsi="宋体" w:eastAsia="宋体"/>
          <w:sz w:val="24"/>
        </w:rPr>
        <w:t xml:space="preserve">4500 </w:t>
      </w:r>
      <w:r>
        <w:rPr>
          <w:rFonts w:hint="eastAsia" w:ascii="宋体" w:hAnsi="宋体" w:eastAsia="宋体"/>
          <w:sz w:val="24"/>
        </w:rPr>
        <w:t>米以上</w:t>
      </w:r>
      <w:r>
        <w:rPr>
          <w:rFonts w:ascii="宋体" w:hAnsi="宋体" w:eastAsia="宋体"/>
          <w:sz w:val="24"/>
        </w:rPr>
        <w:t>-4.0</w:t>
      </w:r>
      <w:r>
        <w:rPr>
          <w:rFonts w:hint="eastAsia" w:ascii="宋体" w:hAnsi="宋体" w:eastAsia="宋体"/>
          <w:sz w:val="24"/>
        </w:rPr>
        <w:t xml:space="preserve">℃。叶城县北部平原地带因受塔里木热低压稳定控制，天气炎热，极端最高气温达 </w:t>
      </w:r>
      <w:r>
        <w:rPr>
          <w:rFonts w:ascii="宋体" w:hAnsi="宋体" w:eastAsia="宋体"/>
          <w:sz w:val="24"/>
        </w:rPr>
        <w:t>39</w:t>
      </w:r>
      <w:r>
        <w:rPr>
          <w:rFonts w:hint="eastAsia" w:ascii="宋体" w:hAnsi="宋体" w:eastAsia="宋体"/>
          <w:sz w:val="24"/>
        </w:rPr>
        <w:t xml:space="preserve">℃以上。有稳定日最高气温 </w:t>
      </w:r>
      <w:r>
        <w:rPr>
          <w:rFonts w:ascii="宋体" w:hAnsi="宋体" w:eastAsia="宋体"/>
          <w:sz w:val="24"/>
        </w:rPr>
        <w:t>30</w:t>
      </w:r>
      <w:r>
        <w:rPr>
          <w:rFonts w:hint="eastAsia" w:ascii="宋体" w:hAnsi="宋体" w:eastAsia="宋体"/>
          <w:sz w:val="24"/>
        </w:rPr>
        <w:t xml:space="preserve">℃的炎热期和年平均 </w:t>
      </w:r>
      <w:r>
        <w:rPr>
          <w:rFonts w:ascii="宋体" w:hAnsi="宋体" w:eastAsia="宋体"/>
          <w:sz w:val="24"/>
        </w:rPr>
        <w:t xml:space="preserve">6 </w:t>
      </w:r>
      <w:r>
        <w:rPr>
          <w:rFonts w:hint="eastAsia" w:ascii="宋体" w:hAnsi="宋体" w:eastAsia="宋体"/>
          <w:sz w:val="24"/>
        </w:rPr>
        <w:t>天左右的日最高气温</w:t>
      </w:r>
      <w:r>
        <w:rPr>
          <w:rFonts w:ascii="宋体" w:hAnsi="宋体" w:eastAsia="宋体"/>
          <w:sz w:val="24"/>
        </w:rPr>
        <w:t>&gt;35</w:t>
      </w:r>
      <w:r>
        <w:rPr>
          <w:rFonts w:hint="eastAsia" w:ascii="宋体" w:hAnsi="宋体" w:eastAsia="宋体"/>
          <w:sz w:val="24"/>
        </w:rPr>
        <w:t xml:space="preserve">℃的酷热日，出现在 </w:t>
      </w:r>
      <w:r>
        <w:rPr>
          <w:rFonts w:ascii="宋体" w:hAnsi="宋体" w:eastAsia="宋体"/>
          <w:sz w:val="24"/>
        </w:rPr>
        <w:t xml:space="preserve">6 </w:t>
      </w:r>
      <w:r>
        <w:rPr>
          <w:rFonts w:hint="eastAsia" w:ascii="宋体" w:hAnsi="宋体" w:eastAsia="宋体"/>
          <w:sz w:val="24"/>
        </w:rPr>
        <w:t xml:space="preserve">月 </w:t>
      </w:r>
      <w:r>
        <w:rPr>
          <w:rFonts w:ascii="宋体" w:hAnsi="宋体" w:eastAsia="宋体"/>
          <w:sz w:val="24"/>
        </w:rPr>
        <w:t xml:space="preserve">24 </w:t>
      </w:r>
      <w:r>
        <w:rPr>
          <w:rFonts w:hint="eastAsia" w:ascii="宋体" w:hAnsi="宋体" w:eastAsia="宋体"/>
          <w:sz w:val="24"/>
        </w:rPr>
        <w:t xml:space="preserve">日至 </w:t>
      </w:r>
      <w:r>
        <w:rPr>
          <w:rFonts w:ascii="宋体" w:hAnsi="宋体" w:eastAsia="宋体"/>
          <w:sz w:val="24"/>
        </w:rPr>
        <w:t xml:space="preserve">7 </w:t>
      </w:r>
      <w:r>
        <w:rPr>
          <w:rFonts w:hint="eastAsia" w:ascii="宋体" w:hAnsi="宋体" w:eastAsia="宋体"/>
          <w:sz w:val="24"/>
        </w:rPr>
        <w:t xml:space="preserve">月 </w:t>
      </w:r>
      <w:r>
        <w:rPr>
          <w:rFonts w:ascii="宋体" w:hAnsi="宋体" w:eastAsia="宋体"/>
          <w:sz w:val="24"/>
        </w:rPr>
        <w:t xml:space="preserve">29 </w:t>
      </w:r>
      <w:r>
        <w:rPr>
          <w:rFonts w:hint="eastAsia" w:ascii="宋体" w:hAnsi="宋体" w:eastAsia="宋体"/>
          <w:sz w:val="24"/>
        </w:rPr>
        <w:t xml:space="preserve">日，最高可达 </w:t>
      </w:r>
      <w:r>
        <w:rPr>
          <w:rFonts w:ascii="宋体" w:hAnsi="宋体" w:eastAsia="宋体"/>
          <w:sz w:val="24"/>
        </w:rPr>
        <w:t>40.2</w:t>
      </w:r>
      <w:r>
        <w:rPr>
          <w:rFonts w:hint="eastAsia" w:ascii="宋体" w:hAnsi="宋体" w:eastAsia="宋体"/>
          <w:sz w:val="24"/>
        </w:rPr>
        <w:t>℃。冬季因受极地冷气团控制，平均最低气温</w:t>
      </w:r>
      <w:r>
        <w:rPr>
          <w:rFonts w:ascii="宋体" w:hAnsi="宋体" w:eastAsia="宋体"/>
          <w:sz w:val="24"/>
        </w:rPr>
        <w:t>-14.4</w:t>
      </w:r>
      <w:r>
        <w:rPr>
          <w:rFonts w:hint="eastAsia" w:ascii="宋体" w:hAnsi="宋体" w:eastAsia="宋体"/>
          <w:sz w:val="24"/>
        </w:rPr>
        <w:t>℃，极端最低气温</w:t>
      </w:r>
      <w:r>
        <w:rPr>
          <w:rFonts w:ascii="宋体" w:hAnsi="宋体" w:eastAsia="宋体"/>
          <w:sz w:val="24"/>
        </w:rPr>
        <w:t>-19.2</w:t>
      </w:r>
      <w:r>
        <w:rPr>
          <w:rFonts w:hint="eastAsia" w:ascii="宋体" w:hAnsi="宋体" w:eastAsia="宋体"/>
          <w:sz w:val="24"/>
        </w:rPr>
        <w:t xml:space="preserve">℃。 </w:t>
      </w:r>
    </w:p>
    <w:p w14:paraId="482EABCB">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）无霜期 </w:t>
      </w:r>
    </w:p>
    <w:p w14:paraId="165A8DB3">
      <w:pPr>
        <w:spacing w:line="480" w:lineRule="auto"/>
        <w:rPr>
          <w:rFonts w:ascii="宋体" w:hAnsi="宋体" w:eastAsia="宋体"/>
          <w:sz w:val="24"/>
        </w:rPr>
      </w:pPr>
      <w:r>
        <w:rPr>
          <w:rFonts w:hint="eastAsia" w:ascii="宋体" w:hAnsi="宋体" w:eastAsia="宋体"/>
          <w:sz w:val="24"/>
        </w:rPr>
        <w:t xml:space="preserve">叶城县因气候干燥，往往气温降到 </w:t>
      </w:r>
      <w:r>
        <w:rPr>
          <w:rFonts w:ascii="宋体" w:hAnsi="宋体" w:eastAsia="宋体"/>
          <w:sz w:val="24"/>
        </w:rPr>
        <w:t>0</w:t>
      </w:r>
      <w:r>
        <w:rPr>
          <w:rFonts w:hint="eastAsia" w:ascii="宋体" w:hAnsi="宋体" w:eastAsia="宋体"/>
          <w:sz w:val="24"/>
        </w:rPr>
        <w:t xml:space="preserve">℃以下尚不见白霜。平原地区气温高于 </w:t>
      </w:r>
      <w:r>
        <w:rPr>
          <w:rFonts w:ascii="宋体" w:hAnsi="宋体" w:eastAsia="宋体"/>
          <w:sz w:val="24"/>
        </w:rPr>
        <w:t>0</w:t>
      </w:r>
      <w:r>
        <w:rPr>
          <w:rFonts w:hint="eastAsia" w:ascii="宋体" w:hAnsi="宋体" w:eastAsia="宋体"/>
          <w:sz w:val="24"/>
        </w:rPr>
        <w:t>℃的持续日期即无霜期的初日为</w:t>
      </w:r>
      <w:r>
        <w:rPr>
          <w:rFonts w:ascii="宋体" w:hAnsi="宋体" w:eastAsia="宋体"/>
          <w:sz w:val="24"/>
        </w:rPr>
        <w:t>3</w:t>
      </w:r>
      <w:r>
        <w:rPr>
          <w:rFonts w:hint="eastAsia" w:ascii="宋体" w:hAnsi="宋体" w:eastAsia="宋体"/>
          <w:sz w:val="24"/>
        </w:rPr>
        <w:t>月</w:t>
      </w:r>
      <w:r>
        <w:rPr>
          <w:rFonts w:ascii="宋体" w:hAnsi="宋体" w:eastAsia="宋体"/>
          <w:sz w:val="24"/>
        </w:rPr>
        <w:t>16</w:t>
      </w:r>
      <w:r>
        <w:rPr>
          <w:rFonts w:hint="eastAsia" w:ascii="宋体" w:hAnsi="宋体" w:eastAsia="宋体"/>
          <w:sz w:val="24"/>
        </w:rPr>
        <w:t>日，终日为</w:t>
      </w:r>
      <w:r>
        <w:rPr>
          <w:rFonts w:ascii="宋体" w:hAnsi="宋体" w:eastAsia="宋体"/>
          <w:sz w:val="24"/>
        </w:rPr>
        <w:t>11</w:t>
      </w:r>
      <w:r>
        <w:rPr>
          <w:rFonts w:hint="eastAsia" w:ascii="宋体" w:hAnsi="宋体" w:eastAsia="宋体"/>
          <w:sz w:val="24"/>
        </w:rPr>
        <w:t>月</w:t>
      </w:r>
      <w:r>
        <w:rPr>
          <w:rFonts w:ascii="宋体" w:hAnsi="宋体" w:eastAsia="宋体"/>
          <w:sz w:val="24"/>
        </w:rPr>
        <w:t>5</w:t>
      </w:r>
      <w:r>
        <w:rPr>
          <w:rFonts w:hint="eastAsia" w:ascii="宋体" w:hAnsi="宋体" w:eastAsia="宋体"/>
          <w:sz w:val="24"/>
        </w:rPr>
        <w:t>日，无霜期约</w:t>
      </w:r>
      <w:r>
        <w:rPr>
          <w:rFonts w:ascii="宋体" w:hAnsi="宋体" w:eastAsia="宋体"/>
          <w:sz w:val="24"/>
        </w:rPr>
        <w:t>235</w:t>
      </w:r>
      <w:r>
        <w:rPr>
          <w:rFonts w:hint="eastAsia" w:ascii="宋体" w:hAnsi="宋体" w:eastAsia="宋体"/>
          <w:sz w:val="24"/>
        </w:rPr>
        <w:t>天。</w:t>
      </w:r>
      <w:r>
        <w:rPr>
          <w:rFonts w:ascii="宋体" w:hAnsi="宋体" w:eastAsia="宋体"/>
          <w:sz w:val="24"/>
        </w:rPr>
        <w:t>80%</w:t>
      </w:r>
      <w:r>
        <w:rPr>
          <w:rFonts w:hint="eastAsia" w:ascii="宋体" w:hAnsi="宋体" w:eastAsia="宋体"/>
          <w:sz w:val="24"/>
        </w:rPr>
        <w:t>保证率的日数</w:t>
      </w:r>
      <w:r>
        <w:rPr>
          <w:rFonts w:ascii="宋体" w:hAnsi="宋体" w:eastAsia="宋体"/>
          <w:sz w:val="24"/>
        </w:rPr>
        <w:t>227</w:t>
      </w:r>
      <w:r>
        <w:rPr>
          <w:rFonts w:hint="eastAsia" w:ascii="宋体" w:hAnsi="宋体" w:eastAsia="宋体"/>
          <w:sz w:val="24"/>
        </w:rPr>
        <w:t>天，地面最低温度</w:t>
      </w:r>
      <w:r>
        <w:rPr>
          <w:rFonts w:ascii="宋体" w:hAnsi="宋体" w:eastAsia="宋体"/>
          <w:sz w:val="24"/>
        </w:rPr>
        <w:t>&gt;0</w:t>
      </w:r>
      <w:r>
        <w:rPr>
          <w:rFonts w:hint="eastAsia" w:ascii="宋体" w:hAnsi="宋体" w:eastAsia="宋体"/>
          <w:sz w:val="24"/>
        </w:rPr>
        <w:t xml:space="preserve">℃的绝对无霜期约 </w:t>
      </w:r>
      <w:r>
        <w:rPr>
          <w:rFonts w:ascii="宋体" w:hAnsi="宋体" w:eastAsia="宋体"/>
          <w:sz w:val="24"/>
        </w:rPr>
        <w:t xml:space="preserve">205 </w:t>
      </w:r>
      <w:r>
        <w:rPr>
          <w:rFonts w:hint="eastAsia" w:ascii="宋体" w:hAnsi="宋体" w:eastAsia="宋体"/>
          <w:sz w:val="24"/>
        </w:rPr>
        <w:t xml:space="preserve">天。山区则下降很快，中部海拔 </w:t>
      </w:r>
      <w:r>
        <w:rPr>
          <w:rFonts w:ascii="宋体" w:hAnsi="宋体" w:eastAsia="宋体"/>
          <w:sz w:val="24"/>
        </w:rPr>
        <w:t xml:space="preserve">2000 </w:t>
      </w:r>
      <w:r>
        <w:rPr>
          <w:rFonts w:hint="eastAsia" w:ascii="宋体" w:hAnsi="宋体" w:eastAsia="宋体"/>
          <w:sz w:val="24"/>
        </w:rPr>
        <w:t xml:space="preserve">米中山地带绝对无霜期仅 </w:t>
      </w:r>
      <w:r>
        <w:rPr>
          <w:rFonts w:ascii="宋体" w:hAnsi="宋体" w:eastAsia="宋体"/>
          <w:sz w:val="24"/>
        </w:rPr>
        <w:t>120</w:t>
      </w:r>
      <w:r>
        <w:rPr>
          <w:rFonts w:hint="eastAsia" w:ascii="宋体" w:hAnsi="宋体" w:eastAsia="宋体"/>
          <w:sz w:val="24"/>
        </w:rPr>
        <w:t>～</w:t>
      </w:r>
      <w:r>
        <w:rPr>
          <w:rFonts w:ascii="宋体" w:hAnsi="宋体" w:eastAsia="宋体"/>
          <w:sz w:val="24"/>
        </w:rPr>
        <w:t xml:space="preserve">130 </w:t>
      </w:r>
      <w:r>
        <w:rPr>
          <w:rFonts w:hint="eastAsia" w:ascii="宋体" w:hAnsi="宋体" w:eastAsia="宋体"/>
          <w:sz w:val="24"/>
        </w:rPr>
        <w:t xml:space="preserve">天，最短 </w:t>
      </w:r>
      <w:r>
        <w:rPr>
          <w:rFonts w:ascii="宋体" w:hAnsi="宋体" w:eastAsia="宋体"/>
          <w:sz w:val="24"/>
        </w:rPr>
        <w:t xml:space="preserve">105 </w:t>
      </w:r>
      <w:r>
        <w:rPr>
          <w:rFonts w:hint="eastAsia" w:ascii="宋体" w:hAnsi="宋体" w:eastAsia="宋体"/>
          <w:sz w:val="24"/>
        </w:rPr>
        <w:t xml:space="preserve">天左右；南部海拔 </w:t>
      </w:r>
      <w:r>
        <w:rPr>
          <w:rFonts w:ascii="宋体" w:hAnsi="宋体" w:eastAsia="宋体"/>
          <w:sz w:val="24"/>
        </w:rPr>
        <w:t xml:space="preserve">3500 </w:t>
      </w:r>
      <w:r>
        <w:rPr>
          <w:rFonts w:hint="eastAsia" w:ascii="宋体" w:hAnsi="宋体" w:eastAsia="宋体"/>
          <w:sz w:val="24"/>
        </w:rPr>
        <w:t xml:space="preserve">米高山地带平均无霜期仅 </w:t>
      </w:r>
      <w:r>
        <w:rPr>
          <w:rFonts w:ascii="宋体" w:hAnsi="宋体" w:eastAsia="宋体"/>
          <w:sz w:val="24"/>
        </w:rPr>
        <w:t xml:space="preserve">45 ~50 </w:t>
      </w:r>
      <w:r>
        <w:rPr>
          <w:rFonts w:hint="eastAsia" w:ascii="宋体" w:hAnsi="宋体" w:eastAsia="宋体"/>
          <w:sz w:val="24"/>
        </w:rPr>
        <w:t xml:space="preserve">天，最长也仅 </w:t>
      </w:r>
      <w:r>
        <w:rPr>
          <w:rFonts w:ascii="宋体" w:hAnsi="宋体" w:eastAsia="宋体"/>
          <w:sz w:val="24"/>
        </w:rPr>
        <w:t xml:space="preserve">60 </w:t>
      </w:r>
      <w:r>
        <w:rPr>
          <w:rFonts w:hint="eastAsia" w:ascii="宋体" w:hAnsi="宋体" w:eastAsia="宋体"/>
          <w:sz w:val="24"/>
        </w:rPr>
        <w:t>天左右。</w:t>
      </w:r>
    </w:p>
    <w:p w14:paraId="1C46FB28">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）地温、冻土 </w:t>
      </w:r>
    </w:p>
    <w:p w14:paraId="07F36E9F">
      <w:pPr>
        <w:spacing w:line="480" w:lineRule="auto"/>
        <w:rPr>
          <w:rFonts w:ascii="宋体" w:hAnsi="宋体" w:eastAsia="宋体"/>
          <w:sz w:val="24"/>
        </w:rPr>
      </w:pPr>
      <w:r>
        <w:rPr>
          <w:rFonts w:hint="eastAsia" w:ascii="宋体" w:hAnsi="宋体" w:eastAsia="宋体"/>
          <w:sz w:val="24"/>
        </w:rPr>
        <w:t>叶城县地面温度的周期变化基本和气温一致，但变化幅度比气温大。叶城县平原地区平均冻结期为</w:t>
      </w:r>
      <w:r>
        <w:rPr>
          <w:rFonts w:ascii="宋体" w:hAnsi="宋体" w:eastAsia="宋体"/>
          <w:sz w:val="24"/>
        </w:rPr>
        <w:t>11</w:t>
      </w:r>
      <w:r>
        <w:rPr>
          <w:rFonts w:hint="eastAsia" w:ascii="宋体" w:hAnsi="宋体" w:eastAsia="宋体"/>
          <w:sz w:val="24"/>
        </w:rPr>
        <w:t>月</w:t>
      </w:r>
      <w:r>
        <w:rPr>
          <w:rFonts w:ascii="宋体" w:hAnsi="宋体" w:eastAsia="宋体"/>
          <w:sz w:val="24"/>
        </w:rPr>
        <w:t>28</w:t>
      </w:r>
      <w:r>
        <w:rPr>
          <w:rFonts w:hint="eastAsia" w:ascii="宋体" w:hAnsi="宋体" w:eastAsia="宋体"/>
          <w:sz w:val="24"/>
        </w:rPr>
        <w:t>日到次年</w:t>
      </w:r>
      <w:r>
        <w:rPr>
          <w:rFonts w:ascii="宋体" w:hAnsi="宋体" w:eastAsia="宋体"/>
          <w:sz w:val="24"/>
        </w:rPr>
        <w:t>2</w:t>
      </w:r>
      <w:r>
        <w:rPr>
          <w:rFonts w:hint="eastAsia" w:ascii="宋体" w:hAnsi="宋体" w:eastAsia="宋体"/>
          <w:sz w:val="24"/>
        </w:rPr>
        <w:t>月</w:t>
      </w:r>
      <w:r>
        <w:rPr>
          <w:rFonts w:ascii="宋体" w:hAnsi="宋体" w:eastAsia="宋体"/>
          <w:sz w:val="24"/>
        </w:rPr>
        <w:t>20</w:t>
      </w:r>
      <w:r>
        <w:rPr>
          <w:rFonts w:hint="eastAsia" w:ascii="宋体" w:hAnsi="宋体" w:eastAsia="宋体"/>
          <w:sz w:val="24"/>
        </w:rPr>
        <w:t xml:space="preserve">日，一般深度小于 </w:t>
      </w:r>
      <w:r>
        <w:rPr>
          <w:rFonts w:ascii="宋体" w:hAnsi="宋体" w:eastAsia="宋体"/>
          <w:sz w:val="24"/>
        </w:rPr>
        <w:t xml:space="preserve">50 </w:t>
      </w:r>
      <w:r>
        <w:rPr>
          <w:rFonts w:hint="eastAsia" w:ascii="宋体" w:hAnsi="宋体" w:eastAsia="宋体"/>
          <w:sz w:val="24"/>
        </w:rPr>
        <w:t>厘米，最深</w:t>
      </w:r>
      <w:r>
        <w:rPr>
          <w:rFonts w:ascii="宋体" w:hAnsi="宋体" w:eastAsia="宋体"/>
          <w:sz w:val="24"/>
        </w:rPr>
        <w:t>75</w:t>
      </w:r>
      <w:r>
        <w:rPr>
          <w:rFonts w:hint="eastAsia" w:ascii="宋体" w:hAnsi="宋体" w:eastAsia="宋体"/>
          <w:sz w:val="24"/>
        </w:rPr>
        <w:t>厘米。</w:t>
      </w:r>
      <w:r>
        <w:rPr>
          <w:rFonts w:ascii="宋体" w:hAnsi="宋体" w:eastAsia="宋体"/>
          <w:sz w:val="24"/>
        </w:rPr>
        <w:t xml:space="preserve">3000 </w:t>
      </w:r>
      <w:r>
        <w:rPr>
          <w:rFonts w:hint="eastAsia" w:ascii="宋体" w:hAnsi="宋体" w:eastAsia="宋体"/>
          <w:sz w:val="24"/>
        </w:rPr>
        <w:t>高山地带冻结期为</w:t>
      </w:r>
      <w:r>
        <w:rPr>
          <w:rFonts w:ascii="宋体" w:hAnsi="宋体" w:eastAsia="宋体"/>
          <w:sz w:val="24"/>
        </w:rPr>
        <w:t>9</w:t>
      </w:r>
      <w:r>
        <w:rPr>
          <w:rFonts w:hint="eastAsia" w:ascii="宋体" w:hAnsi="宋体" w:eastAsia="宋体"/>
          <w:sz w:val="24"/>
        </w:rPr>
        <w:t xml:space="preserve">月底到次年 </w:t>
      </w:r>
      <w:r>
        <w:rPr>
          <w:rFonts w:ascii="宋体" w:hAnsi="宋体" w:eastAsia="宋体"/>
          <w:sz w:val="24"/>
        </w:rPr>
        <w:t xml:space="preserve">5 </w:t>
      </w:r>
      <w:r>
        <w:rPr>
          <w:rFonts w:hint="eastAsia" w:ascii="宋体" w:hAnsi="宋体" w:eastAsia="宋体"/>
          <w:sz w:val="24"/>
        </w:rPr>
        <w:t xml:space="preserve">月初，最深可达 </w:t>
      </w:r>
      <w:r>
        <w:rPr>
          <w:rFonts w:ascii="宋体" w:hAnsi="宋体" w:eastAsia="宋体"/>
          <w:sz w:val="24"/>
        </w:rPr>
        <w:t xml:space="preserve">150 </w:t>
      </w:r>
      <w:r>
        <w:rPr>
          <w:rFonts w:hint="eastAsia" w:ascii="宋体" w:hAnsi="宋体" w:eastAsia="宋体"/>
          <w:sz w:val="24"/>
        </w:rPr>
        <w:t xml:space="preserve">厘米左右。 </w:t>
      </w:r>
    </w:p>
    <w:p w14:paraId="704260F7">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）降水 </w:t>
      </w:r>
    </w:p>
    <w:p w14:paraId="2F299EAC">
      <w:pPr>
        <w:spacing w:line="480" w:lineRule="auto"/>
        <w:rPr>
          <w:rFonts w:ascii="宋体" w:hAnsi="宋体" w:eastAsia="宋体"/>
          <w:sz w:val="24"/>
        </w:rPr>
      </w:pPr>
      <w:r>
        <w:rPr>
          <w:rFonts w:hint="eastAsia" w:ascii="宋体" w:hAnsi="宋体" w:eastAsia="宋体"/>
          <w:sz w:val="24"/>
        </w:rPr>
        <w:t>叶城县降水稀少，地区和时间分布差异显著，平原地区多年平均仅</w:t>
      </w:r>
      <w:r>
        <w:rPr>
          <w:rFonts w:ascii="宋体" w:hAnsi="宋体" w:eastAsia="宋体"/>
          <w:sz w:val="24"/>
        </w:rPr>
        <w:t>66.7</w:t>
      </w:r>
      <w:r>
        <w:rPr>
          <w:rFonts w:hint="eastAsia" w:ascii="宋体" w:hAnsi="宋体" w:eastAsia="宋体"/>
          <w:sz w:val="24"/>
        </w:rPr>
        <w:t>毫米，最少年只有</w:t>
      </w:r>
      <w:r>
        <w:rPr>
          <w:rFonts w:ascii="宋体" w:hAnsi="宋体" w:eastAsia="宋体"/>
          <w:sz w:val="24"/>
        </w:rPr>
        <w:t>18.2</w:t>
      </w:r>
      <w:r>
        <w:rPr>
          <w:rFonts w:hint="eastAsia" w:ascii="宋体" w:hAnsi="宋体" w:eastAsia="宋体"/>
          <w:sz w:val="24"/>
        </w:rPr>
        <w:t xml:space="preserve">毫米（出现于 </w:t>
      </w:r>
      <w:r>
        <w:rPr>
          <w:rFonts w:ascii="宋体" w:hAnsi="宋体" w:eastAsia="宋体"/>
          <w:sz w:val="24"/>
        </w:rPr>
        <w:t xml:space="preserve">1999 </w:t>
      </w:r>
      <w:r>
        <w:rPr>
          <w:rFonts w:hint="eastAsia" w:ascii="宋体" w:hAnsi="宋体" w:eastAsia="宋体"/>
          <w:sz w:val="24"/>
        </w:rPr>
        <w:t>年），最多年</w:t>
      </w:r>
      <w:r>
        <w:rPr>
          <w:rFonts w:ascii="宋体" w:hAnsi="宋体" w:eastAsia="宋体"/>
          <w:sz w:val="24"/>
        </w:rPr>
        <w:t>162.7</w:t>
      </w:r>
      <w:r>
        <w:rPr>
          <w:rFonts w:hint="eastAsia" w:ascii="宋体" w:hAnsi="宋体" w:eastAsia="宋体"/>
          <w:sz w:val="24"/>
        </w:rPr>
        <w:t xml:space="preserve">毫米（出现于 </w:t>
      </w:r>
      <w:r>
        <w:rPr>
          <w:rFonts w:ascii="宋体" w:hAnsi="宋体" w:eastAsia="宋体"/>
          <w:sz w:val="24"/>
        </w:rPr>
        <w:t xml:space="preserve">1996 </w:t>
      </w:r>
      <w:r>
        <w:rPr>
          <w:rFonts w:hint="eastAsia" w:ascii="宋体" w:hAnsi="宋体" w:eastAsia="宋体"/>
          <w:sz w:val="24"/>
        </w:rPr>
        <w:t>年）。多年平均降水日（凡一日降水量≥</w:t>
      </w:r>
      <w:r>
        <w:rPr>
          <w:rFonts w:ascii="宋体" w:hAnsi="宋体" w:eastAsia="宋体"/>
          <w:sz w:val="24"/>
        </w:rPr>
        <w:t>0.1</w:t>
      </w:r>
      <w:r>
        <w:rPr>
          <w:rFonts w:hint="eastAsia" w:ascii="宋体" w:hAnsi="宋体" w:eastAsia="宋体"/>
          <w:sz w:val="24"/>
        </w:rPr>
        <w:t>毫米为一降水日）</w:t>
      </w:r>
      <w:r>
        <w:rPr>
          <w:rFonts w:ascii="宋体" w:hAnsi="宋体" w:eastAsia="宋体"/>
          <w:sz w:val="24"/>
        </w:rPr>
        <w:t xml:space="preserve">70 </w:t>
      </w:r>
      <w:r>
        <w:rPr>
          <w:rFonts w:hint="eastAsia" w:ascii="宋体" w:hAnsi="宋体" w:eastAsia="宋体"/>
          <w:sz w:val="24"/>
        </w:rPr>
        <w:t xml:space="preserve">天。降水的地区分布差异显著。总的分布规律是；南部高山地带最多，海拔 </w:t>
      </w:r>
      <w:r>
        <w:rPr>
          <w:rFonts w:ascii="宋体" w:hAnsi="宋体" w:eastAsia="宋体"/>
          <w:sz w:val="24"/>
        </w:rPr>
        <w:t>3000</w:t>
      </w:r>
      <w:r>
        <w:rPr>
          <w:rFonts w:hint="eastAsia" w:ascii="宋体" w:hAnsi="宋体" w:eastAsia="宋体"/>
          <w:sz w:val="24"/>
        </w:rPr>
        <w:t>～</w:t>
      </w:r>
      <w:r>
        <w:rPr>
          <w:rFonts w:ascii="宋体" w:hAnsi="宋体" w:eastAsia="宋体"/>
          <w:sz w:val="24"/>
        </w:rPr>
        <w:t xml:space="preserve">3500 </w:t>
      </w:r>
      <w:r>
        <w:rPr>
          <w:rFonts w:hint="eastAsia" w:ascii="宋体" w:hAnsi="宋体" w:eastAsia="宋体"/>
          <w:sz w:val="24"/>
        </w:rPr>
        <w:t xml:space="preserve">米的迎风坡（北坡）年降水量可达 </w:t>
      </w:r>
      <w:r>
        <w:rPr>
          <w:rFonts w:ascii="宋体" w:hAnsi="宋体" w:eastAsia="宋体"/>
          <w:sz w:val="24"/>
        </w:rPr>
        <w:t>350</w:t>
      </w:r>
      <w:r>
        <w:rPr>
          <w:rFonts w:hint="eastAsia" w:ascii="宋体" w:hAnsi="宋体" w:eastAsia="宋体"/>
          <w:sz w:val="24"/>
        </w:rPr>
        <w:t>～</w:t>
      </w:r>
      <w:r>
        <w:rPr>
          <w:rFonts w:ascii="宋体" w:hAnsi="宋体" w:eastAsia="宋体"/>
          <w:sz w:val="24"/>
        </w:rPr>
        <w:t xml:space="preserve">400 </w:t>
      </w:r>
      <w:r>
        <w:rPr>
          <w:rFonts w:hint="eastAsia" w:ascii="宋体" w:hAnsi="宋体" w:eastAsia="宋体"/>
          <w:sz w:val="24"/>
        </w:rPr>
        <w:t xml:space="preserve">毫米，向北向南迅速减少，中部海拔 </w:t>
      </w:r>
      <w:r>
        <w:rPr>
          <w:rFonts w:ascii="宋体" w:hAnsi="宋体" w:eastAsia="宋体"/>
          <w:sz w:val="24"/>
        </w:rPr>
        <w:t xml:space="preserve">2000 </w:t>
      </w:r>
      <w:r>
        <w:rPr>
          <w:rFonts w:hint="eastAsia" w:ascii="宋体" w:hAnsi="宋体" w:eastAsia="宋体"/>
          <w:sz w:val="24"/>
        </w:rPr>
        <w:t xml:space="preserve">米中山地带年降水 </w:t>
      </w:r>
      <w:r>
        <w:rPr>
          <w:rFonts w:ascii="宋体" w:hAnsi="宋体" w:eastAsia="宋体"/>
          <w:sz w:val="24"/>
        </w:rPr>
        <w:t>70</w:t>
      </w:r>
      <w:r>
        <w:rPr>
          <w:rFonts w:hint="eastAsia" w:ascii="宋体" w:hAnsi="宋体" w:eastAsia="宋体"/>
          <w:sz w:val="24"/>
        </w:rPr>
        <w:t>～</w:t>
      </w:r>
      <w:r>
        <w:rPr>
          <w:rFonts w:ascii="宋体" w:hAnsi="宋体" w:eastAsia="宋体"/>
          <w:sz w:val="24"/>
        </w:rPr>
        <w:t xml:space="preserve">100 </w:t>
      </w:r>
      <w:r>
        <w:rPr>
          <w:rFonts w:hint="eastAsia" w:ascii="宋体" w:hAnsi="宋体" w:eastAsia="宋体"/>
          <w:sz w:val="24"/>
        </w:rPr>
        <w:t xml:space="preserve">毫米，麻扎达拉以南海拔 </w:t>
      </w:r>
      <w:r>
        <w:rPr>
          <w:rFonts w:ascii="宋体" w:hAnsi="宋体" w:eastAsia="宋体"/>
          <w:sz w:val="24"/>
        </w:rPr>
        <w:t xml:space="preserve">4000 </w:t>
      </w:r>
      <w:r>
        <w:rPr>
          <w:rFonts w:hint="eastAsia" w:ascii="宋体" w:hAnsi="宋体" w:eastAsia="宋体"/>
          <w:sz w:val="24"/>
        </w:rPr>
        <w:t>米以上年降水量</w:t>
      </w:r>
      <w:r>
        <w:rPr>
          <w:rFonts w:ascii="宋体" w:hAnsi="宋体" w:eastAsia="宋体"/>
          <w:sz w:val="24"/>
        </w:rPr>
        <w:t>40</w:t>
      </w:r>
      <w:r>
        <w:rPr>
          <w:rFonts w:hint="eastAsia" w:ascii="宋体" w:hAnsi="宋体" w:eastAsia="宋体"/>
          <w:sz w:val="24"/>
        </w:rPr>
        <w:t xml:space="preserve">毫米以下。即无霜期的降水的季节分布差异显著，平原地区春季最多，夏季次之，春夏降水量占全年降水量的 </w:t>
      </w:r>
      <w:r>
        <w:rPr>
          <w:rFonts w:ascii="宋体" w:hAnsi="宋体" w:eastAsia="宋体"/>
          <w:sz w:val="24"/>
        </w:rPr>
        <w:t>70%</w:t>
      </w:r>
      <w:r>
        <w:rPr>
          <w:rFonts w:hint="eastAsia" w:ascii="宋体" w:hAnsi="宋体" w:eastAsia="宋体"/>
          <w:sz w:val="24"/>
        </w:rPr>
        <w:t>以上，秋冬度</w:t>
      </w:r>
      <w:r>
        <w:rPr>
          <w:rFonts w:ascii="宋体" w:hAnsi="宋体" w:eastAsia="宋体"/>
          <w:sz w:val="24"/>
        </w:rPr>
        <w:t>&gt;0</w:t>
      </w:r>
      <w:r>
        <w:rPr>
          <w:rFonts w:hint="eastAsia" w:ascii="宋体" w:hAnsi="宋体" w:eastAsia="宋体"/>
          <w:sz w:val="24"/>
        </w:rPr>
        <w:t xml:space="preserve">℃的 季度不到 </w:t>
      </w:r>
      <w:r>
        <w:rPr>
          <w:rFonts w:ascii="宋体" w:hAnsi="宋体" w:eastAsia="宋体"/>
          <w:sz w:val="24"/>
        </w:rPr>
        <w:t>30%</w:t>
      </w:r>
      <w:r>
        <w:rPr>
          <w:rFonts w:hint="eastAsia" w:ascii="宋体" w:hAnsi="宋体" w:eastAsia="宋体"/>
          <w:sz w:val="24"/>
        </w:rPr>
        <w:t xml:space="preserve">，山区降水则集中于春末到夏季，约占全年降水量的 </w:t>
      </w:r>
      <w:r>
        <w:rPr>
          <w:rFonts w:ascii="宋体" w:hAnsi="宋体" w:eastAsia="宋体"/>
          <w:sz w:val="24"/>
        </w:rPr>
        <w:t>60%</w:t>
      </w:r>
      <w:r>
        <w:rPr>
          <w:rFonts w:hint="eastAsia" w:ascii="宋体" w:hAnsi="宋体" w:eastAsia="宋体"/>
          <w:sz w:val="24"/>
        </w:rPr>
        <w:t>～</w:t>
      </w:r>
      <w:r>
        <w:rPr>
          <w:rFonts w:ascii="宋体" w:hAnsi="宋体" w:eastAsia="宋体"/>
          <w:sz w:val="24"/>
        </w:rPr>
        <w:t>80%</w:t>
      </w:r>
      <w:r>
        <w:rPr>
          <w:rFonts w:hint="eastAsia" w:ascii="宋体" w:hAnsi="宋体" w:eastAsia="宋体"/>
          <w:sz w:val="24"/>
        </w:rPr>
        <w:t>。平原地区降雪稀少，积雪薄且不稳定。冬季降雪量多年平均仅</w:t>
      </w:r>
      <w:r>
        <w:rPr>
          <w:rFonts w:ascii="宋体" w:hAnsi="宋体" w:eastAsia="宋体"/>
          <w:sz w:val="24"/>
        </w:rPr>
        <w:t xml:space="preserve">11.8 </w:t>
      </w:r>
      <w:r>
        <w:rPr>
          <w:rFonts w:hint="eastAsia" w:ascii="宋体" w:hAnsi="宋体" w:eastAsia="宋体"/>
          <w:sz w:val="24"/>
        </w:rPr>
        <w:t>毫米，仅占年降水量的</w:t>
      </w:r>
      <w:r>
        <w:rPr>
          <w:rFonts w:ascii="宋体" w:hAnsi="宋体" w:eastAsia="宋体"/>
          <w:sz w:val="24"/>
        </w:rPr>
        <w:t>15.1%</w:t>
      </w:r>
      <w:r>
        <w:rPr>
          <w:rFonts w:hint="eastAsia" w:ascii="宋体" w:hAnsi="宋体" w:eastAsia="宋体"/>
          <w:sz w:val="24"/>
        </w:rPr>
        <w:t xml:space="preserve">，降雪时间一般是 </w:t>
      </w:r>
      <w:r>
        <w:rPr>
          <w:rFonts w:ascii="宋体" w:hAnsi="宋体" w:eastAsia="宋体"/>
          <w:sz w:val="24"/>
        </w:rPr>
        <w:t xml:space="preserve">11 </w:t>
      </w:r>
      <w:r>
        <w:rPr>
          <w:rFonts w:hint="eastAsia" w:ascii="宋体" w:hAnsi="宋体" w:eastAsia="宋体"/>
          <w:sz w:val="24"/>
        </w:rPr>
        <w:t>月下旬至次年</w:t>
      </w:r>
      <w:r>
        <w:rPr>
          <w:rFonts w:ascii="宋体" w:hAnsi="宋体" w:eastAsia="宋体"/>
          <w:sz w:val="24"/>
        </w:rPr>
        <w:t>2</w:t>
      </w:r>
      <w:r>
        <w:rPr>
          <w:rFonts w:hint="eastAsia" w:ascii="宋体" w:hAnsi="宋体" w:eastAsia="宋体"/>
          <w:sz w:val="24"/>
        </w:rPr>
        <w:t>月底，中部海拔</w:t>
      </w:r>
      <w:r>
        <w:rPr>
          <w:rFonts w:ascii="宋体" w:hAnsi="宋体" w:eastAsia="宋体"/>
          <w:sz w:val="24"/>
        </w:rPr>
        <w:t>2000</w:t>
      </w:r>
      <w:r>
        <w:rPr>
          <w:rFonts w:hint="eastAsia" w:ascii="宋体" w:hAnsi="宋体" w:eastAsia="宋体"/>
          <w:sz w:val="24"/>
        </w:rPr>
        <w:t>米中山地带是</w:t>
      </w:r>
      <w:r>
        <w:rPr>
          <w:rFonts w:ascii="宋体" w:hAnsi="宋体" w:eastAsia="宋体"/>
          <w:sz w:val="24"/>
        </w:rPr>
        <w:t>11</w:t>
      </w:r>
      <w:r>
        <w:rPr>
          <w:rFonts w:hint="eastAsia" w:ascii="宋体" w:hAnsi="宋体" w:eastAsia="宋体"/>
          <w:sz w:val="24"/>
        </w:rPr>
        <w:t>月至次年</w:t>
      </w:r>
      <w:r>
        <w:rPr>
          <w:rFonts w:ascii="宋体" w:hAnsi="宋体" w:eastAsia="宋体"/>
          <w:sz w:val="24"/>
        </w:rPr>
        <w:t>4</w:t>
      </w:r>
      <w:r>
        <w:rPr>
          <w:rFonts w:hint="eastAsia" w:ascii="宋体" w:hAnsi="宋体" w:eastAsia="宋体"/>
          <w:sz w:val="24"/>
        </w:rPr>
        <w:t xml:space="preserve">月上旬，南部海拔 </w:t>
      </w:r>
      <w:r>
        <w:rPr>
          <w:rFonts w:ascii="宋体" w:hAnsi="宋体" w:eastAsia="宋体"/>
          <w:sz w:val="24"/>
        </w:rPr>
        <w:t xml:space="preserve">3000 </w:t>
      </w:r>
      <w:r>
        <w:rPr>
          <w:rFonts w:hint="eastAsia" w:ascii="宋体" w:hAnsi="宋体" w:eastAsia="宋体"/>
          <w:sz w:val="24"/>
        </w:rPr>
        <w:t>米地带是</w:t>
      </w:r>
      <w:r>
        <w:rPr>
          <w:rFonts w:ascii="宋体" w:hAnsi="宋体" w:eastAsia="宋体"/>
          <w:sz w:val="24"/>
        </w:rPr>
        <w:t>9</w:t>
      </w:r>
      <w:r>
        <w:rPr>
          <w:rFonts w:hint="eastAsia" w:ascii="宋体" w:hAnsi="宋体" w:eastAsia="宋体"/>
          <w:sz w:val="24"/>
        </w:rPr>
        <w:t>月至次年</w:t>
      </w:r>
      <w:r>
        <w:rPr>
          <w:rFonts w:ascii="宋体" w:hAnsi="宋体" w:eastAsia="宋体"/>
          <w:sz w:val="24"/>
        </w:rPr>
        <w:t>5</w:t>
      </w:r>
      <w:r>
        <w:rPr>
          <w:rFonts w:hint="eastAsia" w:ascii="宋体" w:hAnsi="宋体" w:eastAsia="宋体"/>
          <w:sz w:val="24"/>
        </w:rPr>
        <w:t xml:space="preserve">月，麻扎达拉以南海拔 </w:t>
      </w:r>
      <w:r>
        <w:rPr>
          <w:rFonts w:ascii="宋体" w:hAnsi="宋体" w:eastAsia="宋体"/>
          <w:sz w:val="24"/>
        </w:rPr>
        <w:t xml:space="preserve">4000 </w:t>
      </w:r>
      <w:r>
        <w:rPr>
          <w:rFonts w:hint="eastAsia" w:ascii="宋体" w:hAnsi="宋体" w:eastAsia="宋体"/>
          <w:sz w:val="24"/>
        </w:rPr>
        <w:t>米以上地带全年均以降雪为主。平原地区的积雪，一般在</w:t>
      </w:r>
      <w:r>
        <w:rPr>
          <w:rFonts w:ascii="宋体" w:hAnsi="宋体" w:eastAsia="宋体"/>
          <w:sz w:val="24"/>
        </w:rPr>
        <w:t>12</w:t>
      </w:r>
      <w:r>
        <w:rPr>
          <w:rFonts w:hint="eastAsia" w:ascii="宋体" w:hAnsi="宋体" w:eastAsia="宋体"/>
          <w:sz w:val="24"/>
        </w:rPr>
        <w:t xml:space="preserve">月中旬开始，次年 </w:t>
      </w:r>
      <w:r>
        <w:rPr>
          <w:rFonts w:ascii="宋体" w:hAnsi="宋体" w:eastAsia="宋体"/>
          <w:sz w:val="24"/>
        </w:rPr>
        <w:t xml:space="preserve">2 </w:t>
      </w:r>
      <w:r>
        <w:rPr>
          <w:rFonts w:hint="eastAsia" w:ascii="宋体" w:hAnsi="宋体" w:eastAsia="宋体"/>
          <w:sz w:val="24"/>
        </w:rPr>
        <w:t xml:space="preserve">月中旬结束，一般年份无 </w:t>
      </w:r>
      <w:r>
        <w:rPr>
          <w:rFonts w:ascii="宋体" w:hAnsi="宋体" w:eastAsia="宋体"/>
          <w:sz w:val="24"/>
        </w:rPr>
        <w:t xml:space="preserve">5 </w:t>
      </w:r>
      <w:r>
        <w:rPr>
          <w:rFonts w:hint="eastAsia" w:ascii="宋体" w:hAnsi="宋体" w:eastAsia="宋体"/>
          <w:sz w:val="24"/>
        </w:rPr>
        <w:t xml:space="preserve">毫米以上稳定积雪。山区积雪薄厚受地貌的影响很大，注地、阴坡底部和河谷积雪厚，阴坡基本无积雪；山脊和风口因风大，积雪时间持续短；南部海拔 </w:t>
      </w:r>
      <w:r>
        <w:rPr>
          <w:rFonts w:ascii="宋体" w:hAnsi="宋体" w:eastAsia="宋体"/>
          <w:sz w:val="24"/>
        </w:rPr>
        <w:t xml:space="preserve">3000 </w:t>
      </w:r>
      <w:r>
        <w:rPr>
          <w:rFonts w:hint="eastAsia" w:ascii="宋体" w:hAnsi="宋体" w:eastAsia="宋体"/>
          <w:sz w:val="24"/>
        </w:rPr>
        <w:t xml:space="preserve">米以上高山地带最长连续积雪可达 </w:t>
      </w:r>
      <w:r>
        <w:rPr>
          <w:rFonts w:ascii="宋体" w:hAnsi="宋体" w:eastAsia="宋体"/>
          <w:sz w:val="24"/>
        </w:rPr>
        <w:t xml:space="preserve">2 </w:t>
      </w:r>
      <w:r>
        <w:rPr>
          <w:rFonts w:hint="eastAsia" w:ascii="宋体" w:hAnsi="宋体" w:eastAsia="宋体"/>
          <w:sz w:val="24"/>
        </w:rPr>
        <w:t xml:space="preserve">个月以上，最大厚度 </w:t>
      </w:r>
      <w:r>
        <w:rPr>
          <w:rFonts w:ascii="宋体" w:hAnsi="宋体" w:eastAsia="宋体"/>
          <w:sz w:val="24"/>
        </w:rPr>
        <w:t>40</w:t>
      </w:r>
      <w:r>
        <w:rPr>
          <w:rFonts w:hint="eastAsia" w:ascii="宋体" w:hAnsi="宋体" w:eastAsia="宋体"/>
          <w:sz w:val="24"/>
        </w:rPr>
        <w:t>～</w:t>
      </w:r>
      <w:r>
        <w:rPr>
          <w:rFonts w:ascii="宋体" w:hAnsi="宋体" w:eastAsia="宋体"/>
          <w:sz w:val="24"/>
        </w:rPr>
        <w:t xml:space="preserve">70 </w:t>
      </w:r>
      <w:r>
        <w:rPr>
          <w:rFonts w:hint="eastAsia" w:ascii="宋体" w:hAnsi="宋体" w:eastAsia="宋体"/>
          <w:sz w:val="24"/>
        </w:rPr>
        <w:t xml:space="preserve">厘米，少数地段曾达 </w:t>
      </w:r>
      <w:r>
        <w:rPr>
          <w:rFonts w:ascii="宋体" w:hAnsi="宋体" w:eastAsia="宋体"/>
          <w:sz w:val="24"/>
        </w:rPr>
        <w:t xml:space="preserve">100 </w:t>
      </w:r>
      <w:r>
        <w:rPr>
          <w:rFonts w:hint="eastAsia" w:ascii="宋体" w:hAnsi="宋体" w:eastAsia="宋体"/>
          <w:sz w:val="24"/>
        </w:rPr>
        <w:t xml:space="preserve">厘米以上；海拔 </w:t>
      </w:r>
      <w:r>
        <w:rPr>
          <w:rFonts w:ascii="宋体" w:hAnsi="宋体" w:eastAsia="宋体"/>
          <w:sz w:val="24"/>
        </w:rPr>
        <w:t xml:space="preserve">4000 </w:t>
      </w:r>
      <w:r>
        <w:rPr>
          <w:rFonts w:hint="eastAsia" w:ascii="宋体" w:hAnsi="宋体" w:eastAsia="宋体"/>
          <w:sz w:val="24"/>
        </w:rPr>
        <w:t xml:space="preserve">米以上地区为终年积雪带，有冰川。 </w:t>
      </w:r>
    </w:p>
    <w:p w14:paraId="5EC70EE6">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5</w:t>
      </w:r>
      <w:r>
        <w:rPr>
          <w:rFonts w:hint="eastAsia" w:ascii="宋体" w:hAnsi="宋体" w:eastAsia="宋体"/>
          <w:sz w:val="24"/>
        </w:rPr>
        <w:t xml:space="preserve">）蒸发 </w:t>
      </w:r>
    </w:p>
    <w:p w14:paraId="5F9ACD0E">
      <w:pPr>
        <w:spacing w:line="480" w:lineRule="auto"/>
        <w:rPr>
          <w:rFonts w:ascii="宋体" w:hAnsi="宋体" w:eastAsia="宋体"/>
          <w:sz w:val="24"/>
        </w:rPr>
      </w:pPr>
      <w:r>
        <w:rPr>
          <w:rFonts w:hint="eastAsia" w:ascii="宋体" w:hAnsi="宋体" w:eastAsia="宋体"/>
          <w:sz w:val="24"/>
        </w:rPr>
        <w:t xml:space="preserve">叶城县北部平原多年平均蒸发量 </w:t>
      </w:r>
      <w:r>
        <w:rPr>
          <w:rFonts w:ascii="宋体" w:hAnsi="宋体" w:eastAsia="宋体"/>
          <w:sz w:val="24"/>
        </w:rPr>
        <w:t xml:space="preserve">2327 </w:t>
      </w:r>
      <w:r>
        <w:rPr>
          <w:rFonts w:hint="eastAsia" w:ascii="宋体" w:hAnsi="宋体" w:eastAsia="宋体"/>
          <w:sz w:val="24"/>
        </w:rPr>
        <w:t xml:space="preserve">毫米，为降水量的 </w:t>
      </w:r>
      <w:r>
        <w:rPr>
          <w:rFonts w:ascii="宋体" w:hAnsi="宋体" w:eastAsia="宋体"/>
          <w:sz w:val="24"/>
        </w:rPr>
        <w:t>46</w:t>
      </w:r>
      <w:r>
        <w:rPr>
          <w:rFonts w:hint="eastAsia" w:ascii="宋体" w:hAnsi="宋体" w:eastAsia="宋体"/>
          <w:sz w:val="24"/>
        </w:rPr>
        <w:t>～</w:t>
      </w:r>
      <w:r>
        <w:rPr>
          <w:rFonts w:ascii="宋体" w:hAnsi="宋体" w:eastAsia="宋体"/>
          <w:sz w:val="24"/>
        </w:rPr>
        <w:t>47</w:t>
      </w:r>
      <w:r>
        <w:rPr>
          <w:rFonts w:hint="eastAsia" w:ascii="宋体" w:hAnsi="宋体" w:eastAsia="宋体"/>
          <w:sz w:val="24"/>
        </w:rPr>
        <w:t>倍。蒸发量在地域分布上，随着海拔的增加而逐渐减少，而平原地区的边缘地带因临近沙漠，蒸发量大于城区附近。在时间分布上，</w:t>
      </w:r>
      <w:r>
        <w:rPr>
          <w:rFonts w:ascii="宋体" w:hAnsi="宋体" w:eastAsia="宋体"/>
          <w:sz w:val="24"/>
        </w:rPr>
        <w:t>4</w:t>
      </w:r>
      <w:r>
        <w:rPr>
          <w:rFonts w:hint="eastAsia" w:ascii="宋体" w:hAnsi="宋体" w:eastAsia="宋体"/>
          <w:sz w:val="24"/>
        </w:rPr>
        <w:t>～</w:t>
      </w:r>
      <w:r>
        <w:rPr>
          <w:rFonts w:ascii="宋体" w:hAnsi="宋体" w:eastAsia="宋体"/>
          <w:sz w:val="24"/>
        </w:rPr>
        <w:t>8</w:t>
      </w:r>
      <w:r>
        <w:rPr>
          <w:rFonts w:hint="eastAsia" w:ascii="宋体" w:hAnsi="宋体" w:eastAsia="宋体"/>
          <w:sz w:val="24"/>
        </w:rPr>
        <w:t>月蒸发量最大（每月均接近</w:t>
      </w:r>
      <w:r>
        <w:rPr>
          <w:rFonts w:ascii="宋体" w:hAnsi="宋体" w:eastAsia="宋体"/>
          <w:sz w:val="24"/>
        </w:rPr>
        <w:t xml:space="preserve">300 </w:t>
      </w:r>
      <w:r>
        <w:rPr>
          <w:rFonts w:hint="eastAsia" w:ascii="宋体" w:hAnsi="宋体" w:eastAsia="宋体"/>
          <w:sz w:val="24"/>
        </w:rPr>
        <w:t xml:space="preserve">毫米或以上），占年蒸发量的 </w:t>
      </w:r>
      <w:r>
        <w:rPr>
          <w:rFonts w:ascii="宋体" w:hAnsi="宋体" w:eastAsia="宋体"/>
          <w:sz w:val="24"/>
        </w:rPr>
        <w:t>68.7%</w:t>
      </w:r>
      <w:r>
        <w:rPr>
          <w:rFonts w:hint="eastAsia" w:ascii="宋体" w:hAnsi="宋体" w:eastAsia="宋体"/>
          <w:sz w:val="24"/>
        </w:rPr>
        <w:t xml:space="preserve">；冬季最小（各月均少于 </w:t>
      </w:r>
      <w:r>
        <w:rPr>
          <w:rFonts w:ascii="宋体" w:hAnsi="宋体" w:eastAsia="宋体"/>
          <w:sz w:val="24"/>
        </w:rPr>
        <w:t xml:space="preserve">60 </w:t>
      </w:r>
      <w:r>
        <w:rPr>
          <w:rFonts w:hint="eastAsia" w:ascii="宋体" w:hAnsi="宋体" w:eastAsia="宋体"/>
          <w:sz w:val="24"/>
        </w:rPr>
        <w:t xml:space="preserve">毫米），占蒸发量的 </w:t>
      </w:r>
      <w:r>
        <w:rPr>
          <w:rFonts w:ascii="宋体" w:hAnsi="宋体" w:eastAsia="宋体"/>
          <w:sz w:val="24"/>
        </w:rPr>
        <w:t>5.6%</w:t>
      </w:r>
      <w:r>
        <w:rPr>
          <w:rFonts w:hint="eastAsia" w:ascii="宋体" w:hAnsi="宋体" w:eastAsia="宋体"/>
          <w:sz w:val="24"/>
        </w:rPr>
        <w:t xml:space="preserve">。 </w:t>
      </w:r>
    </w:p>
    <w:p w14:paraId="3CDEAE6D">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6</w:t>
      </w:r>
      <w:r>
        <w:rPr>
          <w:rFonts w:hint="eastAsia" w:ascii="宋体" w:hAnsi="宋体" w:eastAsia="宋体"/>
          <w:sz w:val="24"/>
        </w:rPr>
        <w:t xml:space="preserve">）湿度 </w:t>
      </w:r>
    </w:p>
    <w:p w14:paraId="7F7124D5">
      <w:pPr>
        <w:spacing w:line="480" w:lineRule="auto"/>
        <w:rPr>
          <w:rFonts w:ascii="宋体" w:hAnsi="宋体" w:eastAsia="宋体"/>
          <w:sz w:val="24"/>
        </w:rPr>
      </w:pPr>
      <w:r>
        <w:rPr>
          <w:rFonts w:hint="eastAsia" w:ascii="宋体" w:hAnsi="宋体" w:eastAsia="宋体"/>
          <w:sz w:val="24"/>
        </w:rPr>
        <w:t xml:space="preserve">叶城县因为降水稀少，蒸发强烈，所以近地层水汽含量很少，多年平均水汽压仅 </w:t>
      </w:r>
      <w:r>
        <w:rPr>
          <w:rFonts w:ascii="宋体" w:hAnsi="宋体" w:eastAsia="宋体"/>
          <w:sz w:val="24"/>
        </w:rPr>
        <w:t xml:space="preserve">6.8 </w:t>
      </w:r>
      <w:r>
        <w:rPr>
          <w:rFonts w:hint="eastAsia" w:ascii="宋体" w:hAnsi="宋体" w:eastAsia="宋体"/>
          <w:sz w:val="24"/>
        </w:rPr>
        <w:t xml:space="preserve">百帕，其中夏季约 </w:t>
      </w:r>
      <w:r>
        <w:rPr>
          <w:rFonts w:ascii="宋体" w:hAnsi="宋体" w:eastAsia="宋体"/>
          <w:sz w:val="24"/>
        </w:rPr>
        <w:t>10</w:t>
      </w:r>
      <w:r>
        <w:rPr>
          <w:rFonts w:hint="eastAsia" w:ascii="宋体" w:hAnsi="宋体" w:eastAsia="宋体"/>
          <w:sz w:val="24"/>
        </w:rPr>
        <w:t>～</w:t>
      </w:r>
      <w:r>
        <w:rPr>
          <w:rFonts w:ascii="宋体" w:hAnsi="宋体" w:eastAsia="宋体"/>
          <w:sz w:val="24"/>
        </w:rPr>
        <w:t xml:space="preserve">14 </w:t>
      </w:r>
      <w:r>
        <w:rPr>
          <w:rFonts w:hint="eastAsia" w:ascii="宋体" w:hAnsi="宋体" w:eastAsia="宋体"/>
          <w:sz w:val="24"/>
        </w:rPr>
        <w:t xml:space="preserve">百帕，春秋季约 </w:t>
      </w:r>
      <w:r>
        <w:rPr>
          <w:rFonts w:ascii="宋体" w:hAnsi="宋体" w:eastAsia="宋体"/>
          <w:sz w:val="24"/>
        </w:rPr>
        <w:t>4</w:t>
      </w:r>
      <w:r>
        <w:rPr>
          <w:rFonts w:hint="eastAsia" w:ascii="宋体" w:hAnsi="宋体" w:eastAsia="宋体"/>
          <w:sz w:val="24"/>
        </w:rPr>
        <w:t>～</w:t>
      </w:r>
      <w:r>
        <w:rPr>
          <w:rFonts w:ascii="宋体" w:hAnsi="宋体" w:eastAsia="宋体"/>
          <w:sz w:val="24"/>
        </w:rPr>
        <w:t>10</w:t>
      </w:r>
      <w:r>
        <w:rPr>
          <w:rFonts w:hint="eastAsia" w:ascii="宋体" w:hAnsi="宋体" w:eastAsia="宋体"/>
          <w:sz w:val="24"/>
        </w:rPr>
        <w:t xml:space="preserve">百帕，冬季仅 </w:t>
      </w:r>
      <w:r>
        <w:rPr>
          <w:rFonts w:ascii="宋体" w:hAnsi="宋体" w:eastAsia="宋体"/>
          <w:sz w:val="24"/>
        </w:rPr>
        <w:t>2</w:t>
      </w:r>
      <w:r>
        <w:rPr>
          <w:rFonts w:hint="eastAsia" w:ascii="宋体" w:hAnsi="宋体" w:eastAsia="宋体"/>
          <w:sz w:val="24"/>
        </w:rPr>
        <w:t>～</w:t>
      </w:r>
      <w:r>
        <w:rPr>
          <w:rFonts w:ascii="宋体" w:hAnsi="宋体" w:eastAsia="宋体"/>
          <w:sz w:val="24"/>
        </w:rPr>
        <w:t xml:space="preserve">3 </w:t>
      </w:r>
      <w:r>
        <w:rPr>
          <w:rFonts w:hint="eastAsia" w:ascii="宋体" w:hAnsi="宋体" w:eastAsia="宋体"/>
          <w:sz w:val="24"/>
        </w:rPr>
        <w:t xml:space="preserve">百帕。年平均相对湿度 </w:t>
      </w:r>
      <w:r>
        <w:rPr>
          <w:rFonts w:ascii="宋体" w:hAnsi="宋体" w:eastAsia="宋体"/>
          <w:sz w:val="24"/>
        </w:rPr>
        <w:t>48%</w:t>
      </w:r>
      <w:r>
        <w:rPr>
          <w:rFonts w:hint="eastAsia" w:ascii="宋体" w:hAnsi="宋体" w:eastAsia="宋体"/>
          <w:sz w:val="24"/>
        </w:rPr>
        <w:t xml:space="preserve">；冬季最大，为 </w:t>
      </w:r>
      <w:r>
        <w:rPr>
          <w:rFonts w:ascii="宋体" w:hAnsi="宋体" w:eastAsia="宋体"/>
          <w:sz w:val="24"/>
        </w:rPr>
        <w:t>50%</w:t>
      </w:r>
      <w:r>
        <w:rPr>
          <w:rFonts w:hint="eastAsia" w:ascii="宋体" w:hAnsi="宋体" w:eastAsia="宋体"/>
          <w:sz w:val="24"/>
        </w:rPr>
        <w:t>～</w:t>
      </w:r>
      <w:r>
        <w:rPr>
          <w:rFonts w:ascii="宋体" w:hAnsi="宋体" w:eastAsia="宋体"/>
          <w:sz w:val="24"/>
        </w:rPr>
        <w:t xml:space="preserve">60% </w:t>
      </w:r>
      <w:r>
        <w:rPr>
          <w:rFonts w:hint="eastAsia" w:ascii="宋体" w:hAnsi="宋体" w:eastAsia="宋体"/>
          <w:sz w:val="24"/>
        </w:rPr>
        <w:t xml:space="preserve">；春季最小，仅 </w:t>
      </w:r>
      <w:r>
        <w:rPr>
          <w:rFonts w:ascii="宋体" w:hAnsi="宋体" w:eastAsia="宋体"/>
          <w:sz w:val="24"/>
        </w:rPr>
        <w:t>30%</w:t>
      </w:r>
      <w:r>
        <w:rPr>
          <w:rFonts w:hint="eastAsia" w:ascii="宋体" w:hAnsi="宋体" w:eastAsia="宋体"/>
          <w:sz w:val="24"/>
        </w:rPr>
        <w:t>～</w:t>
      </w:r>
      <w:r>
        <w:rPr>
          <w:rFonts w:ascii="宋体" w:hAnsi="宋体" w:eastAsia="宋体"/>
          <w:sz w:val="24"/>
        </w:rPr>
        <w:t>40%</w:t>
      </w:r>
      <w:r>
        <w:rPr>
          <w:rFonts w:hint="eastAsia" w:ascii="宋体" w:hAnsi="宋体" w:eastAsia="宋体"/>
          <w:sz w:val="24"/>
        </w:rPr>
        <w:t xml:space="preserve">。 </w:t>
      </w:r>
    </w:p>
    <w:p w14:paraId="00A29A98">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7</w:t>
      </w:r>
      <w:r>
        <w:rPr>
          <w:rFonts w:hint="eastAsia" w:ascii="宋体" w:hAnsi="宋体" w:eastAsia="宋体"/>
          <w:sz w:val="24"/>
        </w:rPr>
        <w:t xml:space="preserve">）气象灾害 </w:t>
      </w:r>
    </w:p>
    <w:p w14:paraId="04AE874D">
      <w:pPr>
        <w:spacing w:line="480" w:lineRule="auto"/>
        <w:rPr>
          <w:rFonts w:ascii="宋体" w:hAnsi="宋体" w:eastAsia="宋体"/>
          <w:sz w:val="24"/>
        </w:rPr>
      </w:pPr>
      <w:r>
        <w:rPr>
          <w:rFonts w:hint="eastAsia" w:ascii="宋体" w:hAnsi="宋体" w:eastAsia="宋体"/>
          <w:sz w:val="24"/>
        </w:rPr>
        <w:t xml:space="preserve">叶城县气象灾害占自然灾害 </w:t>
      </w:r>
      <w:r>
        <w:rPr>
          <w:rFonts w:ascii="宋体" w:hAnsi="宋体" w:eastAsia="宋体"/>
          <w:sz w:val="24"/>
        </w:rPr>
        <w:t>70%</w:t>
      </w:r>
      <w:r>
        <w:rPr>
          <w:rFonts w:hint="eastAsia" w:ascii="宋体" w:hAnsi="宋体" w:eastAsia="宋体"/>
          <w:sz w:val="24"/>
        </w:rPr>
        <w:t>左右，每年都造成较严重经济损失和人员伤亡。在全球气候变暖的大背景下一些气象灾害的发生趋多趋强，这主要是因为气候变暖，导致海陆温差、南北向温差变化，从而影响到大气环流异常。今后一段时间内，极端天气气候事件发生的可能性将增加，强度将增强，引发灾害的程度也会越来越重。随着经济的发展，灾害造成的经济损失也越来越大。</w:t>
      </w:r>
      <w:r>
        <w:rPr>
          <w:rFonts w:ascii="宋体" w:hAnsi="宋体" w:eastAsia="宋体"/>
          <w:sz w:val="24"/>
        </w:rPr>
        <w:t xml:space="preserve">1996 </w:t>
      </w:r>
      <w:r>
        <w:rPr>
          <w:rFonts w:hint="eastAsia" w:ascii="宋体" w:hAnsi="宋体" w:eastAsia="宋体"/>
          <w:sz w:val="24"/>
        </w:rPr>
        <w:t xml:space="preserve">年 </w:t>
      </w:r>
      <w:r>
        <w:rPr>
          <w:rFonts w:ascii="宋体" w:hAnsi="宋体" w:eastAsia="宋体"/>
          <w:sz w:val="24"/>
        </w:rPr>
        <w:t xml:space="preserve">3 </w:t>
      </w:r>
      <w:r>
        <w:rPr>
          <w:rFonts w:hint="eastAsia" w:ascii="宋体" w:hAnsi="宋体" w:eastAsia="宋体"/>
          <w:sz w:val="24"/>
        </w:rPr>
        <w:t xml:space="preserve">月 </w:t>
      </w:r>
      <w:r>
        <w:rPr>
          <w:rFonts w:ascii="宋体" w:hAnsi="宋体" w:eastAsia="宋体"/>
          <w:sz w:val="24"/>
        </w:rPr>
        <w:t xml:space="preserve">29 </w:t>
      </w:r>
      <w:r>
        <w:rPr>
          <w:rFonts w:hint="eastAsia" w:ascii="宋体" w:hAnsi="宋体" w:eastAsia="宋体"/>
          <w:sz w:val="24"/>
        </w:rPr>
        <w:t xml:space="preserve">日起叶城连续降雨、降雪。降水量 </w:t>
      </w:r>
      <w:r>
        <w:rPr>
          <w:rFonts w:ascii="宋体" w:hAnsi="宋体" w:eastAsia="宋体"/>
          <w:sz w:val="24"/>
        </w:rPr>
        <w:t xml:space="preserve">66.7 </w:t>
      </w:r>
      <w:r>
        <w:rPr>
          <w:rFonts w:hint="eastAsia" w:ascii="宋体" w:hAnsi="宋体" w:eastAsia="宋体"/>
          <w:sz w:val="24"/>
        </w:rPr>
        <w:t>毫米，有些地方积雪</w:t>
      </w:r>
      <w:r>
        <w:rPr>
          <w:rFonts w:ascii="宋体" w:hAnsi="宋体" w:eastAsia="宋体"/>
          <w:sz w:val="24"/>
        </w:rPr>
        <w:t>1</w:t>
      </w:r>
      <w:r>
        <w:rPr>
          <w:rFonts w:hint="eastAsia" w:ascii="宋体" w:hAnsi="宋体" w:eastAsia="宋体"/>
          <w:sz w:val="24"/>
        </w:rPr>
        <w:t xml:space="preserve">米以上。这次灾害死亡 </w:t>
      </w:r>
      <w:r>
        <w:rPr>
          <w:rFonts w:ascii="宋体" w:hAnsi="宋体" w:eastAsia="宋体"/>
          <w:sz w:val="24"/>
        </w:rPr>
        <w:t xml:space="preserve">2 </w:t>
      </w:r>
      <w:r>
        <w:rPr>
          <w:rFonts w:hint="eastAsia" w:ascii="宋体" w:hAnsi="宋体" w:eastAsia="宋体"/>
          <w:sz w:val="24"/>
        </w:rPr>
        <w:t xml:space="preserve">人，受伤 </w:t>
      </w:r>
      <w:r>
        <w:rPr>
          <w:rFonts w:ascii="宋体" w:hAnsi="宋体" w:eastAsia="宋体"/>
          <w:sz w:val="24"/>
        </w:rPr>
        <w:t xml:space="preserve">16 </w:t>
      </w:r>
      <w:r>
        <w:rPr>
          <w:rFonts w:hint="eastAsia" w:ascii="宋体" w:hAnsi="宋体" w:eastAsia="宋体"/>
          <w:sz w:val="24"/>
        </w:rPr>
        <w:t xml:space="preserve">人，牲畜死亡 </w:t>
      </w:r>
      <w:r>
        <w:rPr>
          <w:rFonts w:ascii="宋体" w:hAnsi="宋体" w:eastAsia="宋体"/>
          <w:sz w:val="24"/>
        </w:rPr>
        <w:t xml:space="preserve">35500 </w:t>
      </w:r>
      <w:r>
        <w:rPr>
          <w:rFonts w:hint="eastAsia" w:ascii="宋体" w:hAnsi="宋体" w:eastAsia="宋体"/>
          <w:sz w:val="24"/>
        </w:rPr>
        <w:t xml:space="preserve">头，房屋倒塌 </w:t>
      </w:r>
      <w:r>
        <w:rPr>
          <w:rFonts w:ascii="宋体" w:hAnsi="宋体" w:eastAsia="宋体"/>
          <w:sz w:val="24"/>
        </w:rPr>
        <w:t xml:space="preserve">4580 </w:t>
      </w:r>
      <w:r>
        <w:rPr>
          <w:rFonts w:hint="eastAsia" w:ascii="宋体" w:hAnsi="宋体" w:eastAsia="宋体"/>
          <w:sz w:val="24"/>
        </w:rPr>
        <w:t xml:space="preserve">间，直接经济损失 </w:t>
      </w:r>
      <w:r>
        <w:rPr>
          <w:rFonts w:ascii="宋体" w:hAnsi="宋体" w:eastAsia="宋体"/>
          <w:sz w:val="24"/>
        </w:rPr>
        <w:t xml:space="preserve">3752 </w:t>
      </w:r>
      <w:r>
        <w:rPr>
          <w:rFonts w:hint="eastAsia" w:ascii="宋体" w:hAnsi="宋体" w:eastAsia="宋体"/>
          <w:sz w:val="24"/>
        </w:rPr>
        <w:t>万元。</w:t>
      </w:r>
      <w:r>
        <w:rPr>
          <w:rFonts w:ascii="宋体" w:hAnsi="宋体" w:eastAsia="宋体"/>
          <w:sz w:val="24"/>
        </w:rPr>
        <w:t xml:space="preserve">2004 </w:t>
      </w:r>
      <w:r>
        <w:rPr>
          <w:rFonts w:hint="eastAsia" w:ascii="宋体" w:hAnsi="宋体" w:eastAsia="宋体"/>
          <w:sz w:val="24"/>
        </w:rPr>
        <w:t xml:space="preserve">年 </w:t>
      </w:r>
      <w:r>
        <w:rPr>
          <w:rFonts w:ascii="宋体" w:hAnsi="宋体" w:eastAsia="宋体"/>
          <w:sz w:val="24"/>
        </w:rPr>
        <w:t xml:space="preserve">4 </w:t>
      </w:r>
      <w:r>
        <w:rPr>
          <w:rFonts w:hint="eastAsia" w:ascii="宋体" w:hAnsi="宋体" w:eastAsia="宋体"/>
          <w:sz w:val="24"/>
        </w:rPr>
        <w:t xml:space="preserve">月 </w:t>
      </w:r>
      <w:r>
        <w:rPr>
          <w:rFonts w:ascii="宋体" w:hAnsi="宋体" w:eastAsia="宋体"/>
          <w:sz w:val="24"/>
        </w:rPr>
        <w:t xml:space="preserve">23 </w:t>
      </w:r>
      <w:r>
        <w:rPr>
          <w:rFonts w:hint="eastAsia" w:ascii="宋体" w:hAnsi="宋体" w:eastAsia="宋体"/>
          <w:sz w:val="24"/>
        </w:rPr>
        <w:t xml:space="preserve">日夜间 </w:t>
      </w:r>
      <w:r>
        <w:rPr>
          <w:rFonts w:ascii="宋体" w:hAnsi="宋体" w:eastAsia="宋体"/>
          <w:sz w:val="24"/>
        </w:rPr>
        <w:t xml:space="preserve">23 </w:t>
      </w:r>
      <w:r>
        <w:rPr>
          <w:rFonts w:hint="eastAsia" w:ascii="宋体" w:hAnsi="宋体" w:eastAsia="宋体"/>
          <w:sz w:val="24"/>
        </w:rPr>
        <w:t>时～</w:t>
      </w:r>
      <w:r>
        <w:rPr>
          <w:rFonts w:ascii="宋体" w:hAnsi="宋体" w:eastAsia="宋体"/>
          <w:sz w:val="24"/>
        </w:rPr>
        <w:t xml:space="preserve">24 </w:t>
      </w:r>
      <w:r>
        <w:rPr>
          <w:rFonts w:hint="eastAsia" w:ascii="宋体" w:hAnsi="宋体" w:eastAsia="宋体"/>
          <w:sz w:val="24"/>
        </w:rPr>
        <w:t xml:space="preserve">日凌晨 </w:t>
      </w:r>
      <w:r>
        <w:rPr>
          <w:rFonts w:ascii="宋体" w:hAnsi="宋体" w:eastAsia="宋体"/>
          <w:sz w:val="24"/>
        </w:rPr>
        <w:t xml:space="preserve">1 </w:t>
      </w:r>
      <w:r>
        <w:rPr>
          <w:rFonts w:hint="eastAsia" w:ascii="宋体" w:hAnsi="宋体" w:eastAsia="宋体"/>
          <w:sz w:val="24"/>
        </w:rPr>
        <w:t xml:space="preserve">时，叶城县刮 </w:t>
      </w:r>
      <w:r>
        <w:rPr>
          <w:rFonts w:ascii="宋体" w:hAnsi="宋体" w:eastAsia="宋体"/>
          <w:sz w:val="24"/>
        </w:rPr>
        <w:t xml:space="preserve">6 </w:t>
      </w:r>
      <w:r>
        <w:rPr>
          <w:rFonts w:hint="eastAsia" w:ascii="宋体" w:hAnsi="宋体" w:eastAsia="宋体"/>
          <w:sz w:val="24"/>
        </w:rPr>
        <w:t xml:space="preserve">级以上大风，瞬间最大风速 </w:t>
      </w:r>
      <w:r>
        <w:rPr>
          <w:rFonts w:ascii="宋体" w:hAnsi="宋体" w:eastAsia="宋体"/>
          <w:sz w:val="24"/>
        </w:rPr>
        <w:t xml:space="preserve">17 </w:t>
      </w:r>
      <w:r>
        <w:rPr>
          <w:rFonts w:hint="eastAsia" w:ascii="宋体" w:hAnsi="宋体" w:eastAsia="宋体"/>
          <w:sz w:val="24"/>
        </w:rPr>
        <w:t>米</w:t>
      </w:r>
      <w:r>
        <w:rPr>
          <w:rFonts w:ascii="宋体" w:hAnsi="宋体" w:eastAsia="宋体"/>
          <w:sz w:val="24"/>
        </w:rPr>
        <w:t>/</w:t>
      </w:r>
      <w:r>
        <w:rPr>
          <w:rFonts w:hint="eastAsia" w:ascii="宋体" w:hAnsi="宋体" w:eastAsia="宋体"/>
          <w:sz w:val="24"/>
        </w:rPr>
        <w:t xml:space="preserve">秒，农作物受灾面积 </w:t>
      </w:r>
      <w:r>
        <w:rPr>
          <w:rFonts w:ascii="宋体" w:hAnsi="宋体" w:eastAsia="宋体"/>
          <w:sz w:val="24"/>
        </w:rPr>
        <w:t xml:space="preserve">704 </w:t>
      </w:r>
      <w:r>
        <w:rPr>
          <w:rFonts w:hint="eastAsia" w:ascii="宋体" w:hAnsi="宋体" w:eastAsia="宋体"/>
          <w:sz w:val="24"/>
        </w:rPr>
        <w:t xml:space="preserve">公顷，经济损失 </w:t>
      </w:r>
      <w:r>
        <w:rPr>
          <w:rFonts w:ascii="宋体" w:hAnsi="宋体" w:eastAsia="宋体"/>
          <w:sz w:val="24"/>
        </w:rPr>
        <w:t xml:space="preserve">200 </w:t>
      </w:r>
      <w:r>
        <w:rPr>
          <w:rFonts w:hint="eastAsia" w:ascii="宋体" w:hAnsi="宋体" w:eastAsia="宋体"/>
          <w:sz w:val="24"/>
        </w:rPr>
        <w:t xml:space="preserve">多万元。叶城的气象灾害包括大风、沙尘暴、暴雨（暴雪）、洪水、干旱、霜冻、冰雹、雷电、高低温等，集中于 </w:t>
      </w:r>
      <w:r>
        <w:rPr>
          <w:rFonts w:ascii="宋体" w:hAnsi="宋体" w:eastAsia="宋体"/>
          <w:sz w:val="24"/>
        </w:rPr>
        <w:t>3</w:t>
      </w:r>
      <w:r>
        <w:rPr>
          <w:rFonts w:hint="eastAsia" w:ascii="宋体" w:hAnsi="宋体" w:eastAsia="宋体"/>
          <w:sz w:val="24"/>
        </w:rPr>
        <w:t>～</w:t>
      </w:r>
      <w:r>
        <w:rPr>
          <w:rFonts w:ascii="宋体" w:hAnsi="宋体" w:eastAsia="宋体"/>
          <w:sz w:val="24"/>
        </w:rPr>
        <w:t xml:space="preserve">6 </w:t>
      </w:r>
      <w:r>
        <w:rPr>
          <w:rFonts w:hint="eastAsia" w:ascii="宋体" w:hAnsi="宋体" w:eastAsia="宋体"/>
          <w:sz w:val="24"/>
        </w:rPr>
        <w:t xml:space="preserve">月，占全年灾害性天气的 </w:t>
      </w:r>
      <w:r>
        <w:rPr>
          <w:rFonts w:ascii="宋体" w:hAnsi="宋体" w:eastAsia="宋体"/>
          <w:sz w:val="24"/>
        </w:rPr>
        <w:t>70%</w:t>
      </w:r>
      <w:r>
        <w:rPr>
          <w:rFonts w:hint="eastAsia" w:ascii="宋体" w:hAnsi="宋体" w:eastAsia="宋体"/>
          <w:sz w:val="24"/>
        </w:rPr>
        <w:t xml:space="preserve">。 </w:t>
      </w:r>
    </w:p>
    <w:p w14:paraId="394252A3">
      <w:pPr>
        <w:pStyle w:val="3"/>
      </w:pPr>
      <w:bookmarkStart w:id="16" w:name="_Toc179900092"/>
      <w:r>
        <w:t xml:space="preserve">2.3 </w:t>
      </w:r>
      <w:r>
        <w:rPr>
          <w:rFonts w:hint="eastAsia"/>
        </w:rPr>
        <w:t>工程地质</w:t>
      </w:r>
      <w:bookmarkEnd w:id="16"/>
      <w:r>
        <w:rPr>
          <w:rFonts w:hint="eastAsia"/>
        </w:rPr>
        <w:t xml:space="preserve"> </w:t>
      </w:r>
    </w:p>
    <w:p w14:paraId="1BB94EE0">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、地层岩性 </w:t>
      </w:r>
    </w:p>
    <w:p w14:paraId="0A1C15AE">
      <w:pPr>
        <w:spacing w:line="480" w:lineRule="auto"/>
        <w:rPr>
          <w:rFonts w:ascii="宋体" w:hAnsi="宋体" w:eastAsia="宋体"/>
          <w:sz w:val="24"/>
        </w:rPr>
      </w:pPr>
      <w:r>
        <w:rPr>
          <w:rFonts w:hint="eastAsia" w:ascii="宋体" w:hAnsi="宋体" w:eastAsia="宋体"/>
          <w:sz w:val="24"/>
        </w:rPr>
        <w:t xml:space="preserve">项目区内出露的主要地层为全新统冲～洪积物， 在Ⅱ级阶地上，分布有土黄色粉土粉砂层，厚度渠底以下 </w:t>
      </w:r>
      <w:r>
        <w:rPr>
          <w:rFonts w:ascii="宋体" w:hAnsi="宋体" w:eastAsia="宋体"/>
          <w:sz w:val="24"/>
        </w:rPr>
        <w:t>0.5</w:t>
      </w:r>
      <w:r>
        <w:rPr>
          <w:rFonts w:hint="eastAsia" w:ascii="宋体" w:hAnsi="宋体" w:eastAsia="宋体"/>
          <w:sz w:val="24"/>
        </w:rPr>
        <w:t>～</w:t>
      </w:r>
      <w:r>
        <w:rPr>
          <w:rFonts w:ascii="宋体" w:hAnsi="宋体" w:eastAsia="宋体"/>
          <w:sz w:val="24"/>
        </w:rPr>
        <w:t xml:space="preserve">2m </w:t>
      </w:r>
      <w:r>
        <w:rPr>
          <w:rFonts w:hint="eastAsia" w:ascii="宋体" w:hAnsi="宋体" w:eastAsia="宋体"/>
          <w:sz w:val="24"/>
        </w:rPr>
        <w:t xml:space="preserve">不等，主要分布在表层，其以下为砂卵砾石层。 </w:t>
      </w:r>
    </w:p>
    <w:p w14:paraId="3AC1AD77">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、项目区工程地质条件 </w:t>
      </w:r>
    </w:p>
    <w:p w14:paraId="4C075C8D">
      <w:pPr>
        <w:spacing w:line="480" w:lineRule="auto"/>
        <w:rPr>
          <w:rFonts w:ascii="宋体" w:hAnsi="宋体" w:eastAsia="宋体"/>
          <w:sz w:val="24"/>
        </w:rPr>
      </w:pPr>
      <w:r>
        <w:rPr>
          <w:rFonts w:hint="eastAsia" w:ascii="宋体" w:hAnsi="宋体" w:eastAsia="宋体"/>
          <w:sz w:val="24"/>
        </w:rPr>
        <w:t xml:space="preserve">各场址地基土层均为第四系冲洪积物，岩性较复杂，地层以耕土、低液限粉土、粉土质砂、低液限黏土和粉土质砂为主，地层岩性描述如下： </w:t>
      </w:r>
    </w:p>
    <w:p w14:paraId="11E80946">
      <w:pPr>
        <w:spacing w:line="480" w:lineRule="auto"/>
        <w:rPr>
          <w:rFonts w:ascii="宋体" w:hAnsi="宋体" w:eastAsia="宋体"/>
          <w:sz w:val="24"/>
        </w:rPr>
      </w:pPr>
      <w:r>
        <w:rPr>
          <w:rFonts w:hint="eastAsia" w:ascii="宋体" w:hAnsi="宋体" w:eastAsia="宋体"/>
          <w:sz w:val="24"/>
        </w:rPr>
        <w:t xml:space="preserve">①耕土，层厚 </w:t>
      </w:r>
      <w:r>
        <w:rPr>
          <w:rFonts w:ascii="宋体" w:hAnsi="宋体" w:eastAsia="宋体"/>
          <w:sz w:val="24"/>
        </w:rPr>
        <w:t>0.4</w:t>
      </w:r>
      <w:r>
        <w:rPr>
          <w:rFonts w:hint="eastAsia" w:ascii="宋体" w:hAnsi="宋体" w:eastAsia="宋体"/>
          <w:sz w:val="24"/>
        </w:rPr>
        <w:t>～</w:t>
      </w:r>
      <w:r>
        <w:rPr>
          <w:rFonts w:ascii="宋体" w:hAnsi="宋体" w:eastAsia="宋体"/>
          <w:sz w:val="24"/>
        </w:rPr>
        <w:t>0.6m</w:t>
      </w:r>
      <w:r>
        <w:rPr>
          <w:rFonts w:hint="eastAsia" w:ascii="宋体" w:hAnsi="宋体" w:eastAsia="宋体"/>
          <w:sz w:val="24"/>
        </w:rPr>
        <w:t xml:space="preserve">，浅黄色，湿，松散，以粉土质砂和低液限粉土为主，含大量植物根系。荒地和林地处该层缺失。 </w:t>
      </w:r>
    </w:p>
    <w:p w14:paraId="2779B6D2">
      <w:pPr>
        <w:spacing w:line="480" w:lineRule="auto"/>
        <w:rPr>
          <w:rFonts w:ascii="宋体" w:hAnsi="宋体" w:eastAsia="宋体"/>
          <w:sz w:val="24"/>
        </w:rPr>
      </w:pPr>
      <w:r>
        <w:rPr>
          <w:rFonts w:hint="eastAsia" w:ascii="宋体" w:hAnsi="宋体" w:eastAsia="宋体"/>
          <w:sz w:val="24"/>
        </w:rPr>
        <w:t>②低液限粉土，</w:t>
      </w:r>
      <w:r>
        <w:rPr>
          <w:rFonts w:ascii="宋体" w:hAnsi="宋体" w:eastAsia="宋体"/>
          <w:sz w:val="24"/>
        </w:rPr>
        <w:t>0.0</w:t>
      </w:r>
      <w:r>
        <w:rPr>
          <w:rFonts w:hint="eastAsia" w:ascii="宋体" w:hAnsi="宋体" w:eastAsia="宋体"/>
          <w:sz w:val="24"/>
        </w:rPr>
        <w:t>～</w:t>
      </w:r>
      <w:r>
        <w:rPr>
          <w:rFonts w:ascii="宋体" w:hAnsi="宋体" w:eastAsia="宋体"/>
          <w:sz w:val="24"/>
        </w:rPr>
        <w:t>0.6m</w:t>
      </w:r>
      <w:r>
        <w:rPr>
          <w:rFonts w:hint="eastAsia" w:ascii="宋体" w:hAnsi="宋体" w:eastAsia="宋体"/>
          <w:sz w:val="24"/>
        </w:rPr>
        <w:t xml:space="preserve">，层厚 </w:t>
      </w:r>
      <w:r>
        <w:rPr>
          <w:rFonts w:ascii="宋体" w:hAnsi="宋体" w:eastAsia="宋体"/>
          <w:sz w:val="24"/>
        </w:rPr>
        <w:t>0.5</w:t>
      </w:r>
      <w:r>
        <w:rPr>
          <w:rFonts w:hint="eastAsia" w:ascii="宋体" w:hAnsi="宋体" w:eastAsia="宋体"/>
          <w:sz w:val="24"/>
        </w:rPr>
        <w:t>～</w:t>
      </w:r>
      <w:r>
        <w:rPr>
          <w:rFonts w:ascii="宋体" w:hAnsi="宋体" w:eastAsia="宋体"/>
          <w:sz w:val="24"/>
        </w:rPr>
        <w:t>2.7m</w:t>
      </w:r>
      <w:r>
        <w:rPr>
          <w:rFonts w:hint="eastAsia" w:ascii="宋体" w:hAnsi="宋体" w:eastAsia="宋体"/>
          <w:sz w:val="24"/>
        </w:rPr>
        <w:t>，灰黄色，松散，略有塑性，天然密度：</w:t>
      </w:r>
      <w:r>
        <w:rPr>
          <w:rFonts w:ascii="宋体" w:hAnsi="宋体" w:eastAsia="宋体"/>
          <w:sz w:val="24"/>
        </w:rPr>
        <w:t>1.71</w:t>
      </w:r>
      <w:r>
        <w:rPr>
          <w:rFonts w:hint="eastAsia" w:ascii="宋体" w:hAnsi="宋体" w:eastAsia="宋体"/>
          <w:sz w:val="24"/>
        </w:rPr>
        <w:t>～</w:t>
      </w:r>
      <w:r>
        <w:rPr>
          <w:rFonts w:ascii="宋体" w:hAnsi="宋体" w:eastAsia="宋体"/>
          <w:sz w:val="24"/>
        </w:rPr>
        <w:t>1.75g/cm3</w:t>
      </w:r>
      <w:r>
        <w:rPr>
          <w:rFonts w:hint="eastAsia" w:ascii="宋体" w:hAnsi="宋体" w:eastAsia="宋体"/>
          <w:sz w:val="24"/>
        </w:rPr>
        <w:t>，干密度：</w:t>
      </w:r>
      <w:r>
        <w:rPr>
          <w:rFonts w:ascii="宋体" w:hAnsi="宋体" w:eastAsia="宋体"/>
          <w:sz w:val="24"/>
        </w:rPr>
        <w:t>1.37</w:t>
      </w:r>
      <w:r>
        <w:rPr>
          <w:rFonts w:hint="eastAsia" w:ascii="宋体" w:hAnsi="宋体" w:eastAsia="宋体"/>
          <w:sz w:val="24"/>
        </w:rPr>
        <w:t>～</w:t>
      </w:r>
      <w:r>
        <w:rPr>
          <w:rFonts w:ascii="宋体" w:hAnsi="宋体" w:eastAsia="宋体"/>
          <w:sz w:val="24"/>
        </w:rPr>
        <w:t>1.42g/cm3</w:t>
      </w:r>
      <w:r>
        <w:rPr>
          <w:rFonts w:hint="eastAsia" w:ascii="宋体" w:hAnsi="宋体" w:eastAsia="宋体"/>
          <w:sz w:val="24"/>
        </w:rPr>
        <w:t>，天然含水量：</w:t>
      </w:r>
      <w:r>
        <w:rPr>
          <w:rFonts w:ascii="宋体" w:hAnsi="宋体" w:eastAsia="宋体"/>
          <w:sz w:val="24"/>
        </w:rPr>
        <w:t>17.1%</w:t>
      </w:r>
      <w:r>
        <w:rPr>
          <w:rFonts w:hint="eastAsia" w:ascii="宋体" w:hAnsi="宋体" w:eastAsia="宋体"/>
          <w:sz w:val="24"/>
        </w:rPr>
        <w:t>～</w:t>
      </w:r>
      <w:r>
        <w:rPr>
          <w:rFonts w:ascii="宋体" w:hAnsi="宋体" w:eastAsia="宋体"/>
          <w:sz w:val="24"/>
        </w:rPr>
        <w:t>23.2%</w:t>
      </w:r>
      <w:r>
        <w:rPr>
          <w:rFonts w:hint="eastAsia" w:ascii="宋体" w:hAnsi="宋体" w:eastAsia="宋体"/>
          <w:sz w:val="24"/>
        </w:rPr>
        <w:t>，比重：</w:t>
      </w:r>
      <w:r>
        <w:rPr>
          <w:rFonts w:ascii="宋体" w:hAnsi="宋体" w:eastAsia="宋体"/>
          <w:sz w:val="24"/>
        </w:rPr>
        <w:t>2.70</w:t>
      </w:r>
      <w:r>
        <w:rPr>
          <w:rFonts w:hint="eastAsia" w:ascii="宋体" w:hAnsi="宋体" w:eastAsia="宋体"/>
          <w:sz w:val="24"/>
        </w:rPr>
        <w:t>，孔隙比：</w:t>
      </w:r>
      <w:r>
        <w:rPr>
          <w:rFonts w:ascii="宋体" w:hAnsi="宋体" w:eastAsia="宋体"/>
          <w:sz w:val="24"/>
        </w:rPr>
        <w:t>0.90</w:t>
      </w:r>
      <w:r>
        <w:rPr>
          <w:rFonts w:hint="eastAsia" w:ascii="宋体" w:hAnsi="宋体" w:eastAsia="宋体"/>
          <w:sz w:val="24"/>
        </w:rPr>
        <w:t>，内摩擦角：</w:t>
      </w:r>
      <w:r>
        <w:rPr>
          <w:rFonts w:ascii="宋体" w:hAnsi="宋体" w:eastAsia="宋体"/>
          <w:sz w:val="24"/>
        </w:rPr>
        <w:t>23</w:t>
      </w:r>
      <w:r>
        <w:rPr>
          <w:rFonts w:hint="eastAsia" w:ascii="宋体" w:hAnsi="宋体" w:eastAsia="宋体"/>
          <w:sz w:val="24"/>
        </w:rPr>
        <w:t>°，渗透系数：</w:t>
      </w:r>
      <w:r>
        <w:rPr>
          <w:rFonts w:ascii="宋体" w:hAnsi="宋体" w:eastAsia="宋体"/>
          <w:sz w:val="24"/>
        </w:rPr>
        <w:t>5.6</w:t>
      </w:r>
      <w:r>
        <w:rPr>
          <w:rFonts w:hint="eastAsia" w:ascii="宋体" w:hAnsi="宋体" w:eastAsia="宋体"/>
          <w:sz w:val="24"/>
        </w:rPr>
        <w:t>×</w:t>
      </w:r>
      <w:r>
        <w:rPr>
          <w:rFonts w:ascii="宋体" w:hAnsi="宋体" w:eastAsia="宋体"/>
          <w:sz w:val="24"/>
        </w:rPr>
        <w:t>10</w:t>
      </w:r>
      <w:r>
        <w:rPr>
          <w:rFonts w:hint="eastAsia" w:ascii="宋体" w:hAnsi="宋体" w:eastAsia="宋体"/>
          <w:sz w:val="24"/>
        </w:rPr>
        <w:t>—</w:t>
      </w:r>
      <w:r>
        <w:rPr>
          <w:rFonts w:ascii="宋体" w:hAnsi="宋体" w:eastAsia="宋体"/>
          <w:sz w:val="24"/>
        </w:rPr>
        <w:t>5cm/s</w:t>
      </w:r>
      <w:r>
        <w:rPr>
          <w:rFonts w:hint="eastAsia" w:ascii="宋体" w:hAnsi="宋体" w:eastAsia="宋体"/>
          <w:sz w:val="24"/>
        </w:rPr>
        <w:t xml:space="preserve">。承载力容许值 </w:t>
      </w:r>
      <w:r>
        <w:rPr>
          <w:rFonts w:ascii="宋体" w:hAnsi="宋体" w:eastAsia="宋体"/>
          <w:sz w:val="24"/>
        </w:rPr>
        <w:t>120kPa</w:t>
      </w:r>
      <w:r>
        <w:rPr>
          <w:rFonts w:hint="eastAsia" w:ascii="宋体" w:hAnsi="宋体" w:eastAsia="宋体"/>
          <w:sz w:val="24"/>
        </w:rPr>
        <w:t>，变形模量</w:t>
      </w:r>
      <w:r>
        <w:rPr>
          <w:rFonts w:ascii="宋体" w:hAnsi="宋体" w:eastAsia="宋体"/>
          <w:sz w:val="24"/>
        </w:rPr>
        <w:t>6.0MPa</w:t>
      </w:r>
      <w:r>
        <w:rPr>
          <w:rFonts w:hint="eastAsia" w:ascii="宋体" w:hAnsi="宋体" w:eastAsia="宋体"/>
          <w:sz w:val="24"/>
        </w:rPr>
        <w:t xml:space="preserve">。局部片区含粉土质砂透镜体。 </w:t>
      </w:r>
    </w:p>
    <w:p w14:paraId="1C0DEDA6">
      <w:pPr>
        <w:spacing w:line="480" w:lineRule="auto"/>
        <w:rPr>
          <w:rFonts w:ascii="宋体" w:hAnsi="宋体" w:eastAsia="宋体"/>
          <w:sz w:val="24"/>
        </w:rPr>
      </w:pPr>
      <w:r>
        <w:rPr>
          <w:rFonts w:hint="eastAsia" w:ascii="宋体" w:hAnsi="宋体" w:eastAsia="宋体"/>
          <w:sz w:val="24"/>
        </w:rPr>
        <w:t xml:space="preserve">③低液限黏土，埋深 </w:t>
      </w:r>
      <w:r>
        <w:rPr>
          <w:rFonts w:ascii="宋体" w:hAnsi="宋体" w:eastAsia="宋体"/>
          <w:sz w:val="24"/>
        </w:rPr>
        <w:t>1.4</w:t>
      </w:r>
      <w:r>
        <w:rPr>
          <w:rFonts w:hint="eastAsia" w:ascii="宋体" w:hAnsi="宋体" w:eastAsia="宋体"/>
          <w:sz w:val="24"/>
        </w:rPr>
        <w:t>～</w:t>
      </w:r>
      <w:r>
        <w:rPr>
          <w:rFonts w:ascii="宋体" w:hAnsi="宋体" w:eastAsia="宋体"/>
          <w:sz w:val="24"/>
        </w:rPr>
        <w:t>2.7m</w:t>
      </w:r>
      <w:r>
        <w:rPr>
          <w:rFonts w:hint="eastAsia" w:ascii="宋体" w:hAnsi="宋体" w:eastAsia="宋体"/>
          <w:sz w:val="24"/>
        </w:rPr>
        <w:t xml:space="preserve">，层厚 </w:t>
      </w:r>
      <w:r>
        <w:rPr>
          <w:rFonts w:ascii="宋体" w:hAnsi="宋体" w:eastAsia="宋体"/>
          <w:sz w:val="24"/>
        </w:rPr>
        <w:t>0.8</w:t>
      </w:r>
      <w:r>
        <w:rPr>
          <w:rFonts w:hint="eastAsia" w:ascii="宋体" w:hAnsi="宋体" w:eastAsia="宋体"/>
          <w:sz w:val="24"/>
        </w:rPr>
        <w:t>～</w:t>
      </w:r>
      <w:r>
        <w:rPr>
          <w:rFonts w:ascii="宋体" w:hAnsi="宋体" w:eastAsia="宋体"/>
          <w:sz w:val="24"/>
        </w:rPr>
        <w:t>2.0m</w:t>
      </w:r>
      <w:r>
        <w:rPr>
          <w:rFonts w:hint="eastAsia" w:ascii="宋体" w:hAnsi="宋体" w:eastAsia="宋体"/>
          <w:sz w:val="24"/>
        </w:rPr>
        <w:t>，浅黄色，湿，可塑，塑性中等。天然密度：</w:t>
      </w:r>
      <w:r>
        <w:rPr>
          <w:rFonts w:ascii="宋体" w:hAnsi="宋体" w:eastAsia="宋体"/>
          <w:sz w:val="24"/>
        </w:rPr>
        <w:t>1.78</w:t>
      </w:r>
      <w:r>
        <w:rPr>
          <w:rFonts w:hint="eastAsia" w:ascii="宋体" w:hAnsi="宋体" w:eastAsia="宋体"/>
          <w:sz w:val="24"/>
        </w:rPr>
        <w:t>～</w:t>
      </w:r>
      <w:r>
        <w:rPr>
          <w:rFonts w:ascii="宋体" w:hAnsi="宋体" w:eastAsia="宋体"/>
          <w:sz w:val="24"/>
        </w:rPr>
        <w:t>1.84g/cm3</w:t>
      </w:r>
      <w:r>
        <w:rPr>
          <w:rFonts w:hint="eastAsia" w:ascii="宋体" w:hAnsi="宋体" w:eastAsia="宋体"/>
          <w:sz w:val="24"/>
        </w:rPr>
        <w:t>，干密度：</w:t>
      </w:r>
      <w:r>
        <w:rPr>
          <w:rFonts w:ascii="宋体" w:hAnsi="宋体" w:eastAsia="宋体"/>
          <w:sz w:val="24"/>
        </w:rPr>
        <w:t>1.40</w:t>
      </w:r>
      <w:r>
        <w:rPr>
          <w:rFonts w:hint="eastAsia" w:ascii="宋体" w:hAnsi="宋体" w:eastAsia="宋体"/>
          <w:sz w:val="24"/>
        </w:rPr>
        <w:t>～</w:t>
      </w:r>
      <w:r>
        <w:rPr>
          <w:rFonts w:ascii="宋体" w:hAnsi="宋体" w:eastAsia="宋体"/>
          <w:sz w:val="24"/>
        </w:rPr>
        <w:t>1.44g/cm3</w:t>
      </w:r>
      <w:r>
        <w:rPr>
          <w:rFonts w:hint="eastAsia" w:ascii="宋体" w:hAnsi="宋体" w:eastAsia="宋体"/>
          <w:sz w:val="24"/>
        </w:rPr>
        <w:t>，天然含水量：</w:t>
      </w:r>
      <w:r>
        <w:rPr>
          <w:rFonts w:ascii="宋体" w:hAnsi="宋体" w:eastAsia="宋体"/>
          <w:sz w:val="24"/>
        </w:rPr>
        <w:t>23.5%</w:t>
      </w:r>
      <w:r>
        <w:rPr>
          <w:rFonts w:hint="eastAsia" w:ascii="宋体" w:hAnsi="宋体" w:eastAsia="宋体"/>
          <w:sz w:val="24"/>
        </w:rPr>
        <w:t>～</w:t>
      </w:r>
      <w:r>
        <w:rPr>
          <w:rFonts w:ascii="宋体" w:hAnsi="宋体" w:eastAsia="宋体"/>
          <w:sz w:val="24"/>
        </w:rPr>
        <w:t>27.9%</w:t>
      </w:r>
      <w:r>
        <w:rPr>
          <w:rFonts w:hint="eastAsia" w:ascii="宋体" w:hAnsi="宋体" w:eastAsia="宋体"/>
          <w:sz w:val="24"/>
        </w:rPr>
        <w:t>，比重：</w:t>
      </w:r>
      <w:r>
        <w:rPr>
          <w:rFonts w:ascii="宋体" w:hAnsi="宋体" w:eastAsia="宋体"/>
          <w:sz w:val="24"/>
        </w:rPr>
        <w:t>2.72</w:t>
      </w:r>
      <w:r>
        <w:rPr>
          <w:rFonts w:hint="eastAsia" w:ascii="宋体" w:hAnsi="宋体" w:eastAsia="宋体"/>
          <w:sz w:val="24"/>
        </w:rPr>
        <w:t>，孔隙比：</w:t>
      </w:r>
      <w:r>
        <w:rPr>
          <w:rFonts w:ascii="宋体" w:hAnsi="宋体" w:eastAsia="宋体"/>
          <w:sz w:val="24"/>
        </w:rPr>
        <w:t>0.91</w:t>
      </w:r>
      <w:r>
        <w:rPr>
          <w:rFonts w:hint="eastAsia" w:ascii="宋体" w:hAnsi="宋体" w:eastAsia="宋体"/>
          <w:sz w:val="24"/>
        </w:rPr>
        <w:t>，内摩擦角：</w:t>
      </w:r>
      <w:r>
        <w:rPr>
          <w:rFonts w:ascii="宋体" w:hAnsi="宋体" w:eastAsia="宋体"/>
          <w:sz w:val="24"/>
        </w:rPr>
        <w:t>22</w:t>
      </w:r>
      <w:r>
        <w:rPr>
          <w:rFonts w:hint="eastAsia" w:ascii="宋体" w:hAnsi="宋体" w:eastAsia="宋体"/>
          <w:sz w:val="24"/>
        </w:rPr>
        <w:t>°，黏聚力：</w:t>
      </w:r>
      <w:r>
        <w:rPr>
          <w:rFonts w:ascii="宋体" w:hAnsi="宋体" w:eastAsia="宋体"/>
          <w:sz w:val="24"/>
        </w:rPr>
        <w:t>12Kpa</w:t>
      </w:r>
      <w:r>
        <w:rPr>
          <w:rFonts w:hint="eastAsia" w:ascii="宋体" w:hAnsi="宋体" w:eastAsia="宋体"/>
          <w:sz w:val="24"/>
        </w:rPr>
        <w:t>，渗透系数：</w:t>
      </w:r>
      <w:r>
        <w:rPr>
          <w:rFonts w:ascii="宋体" w:hAnsi="宋体" w:eastAsia="宋体"/>
          <w:sz w:val="24"/>
        </w:rPr>
        <w:t>3.2</w:t>
      </w:r>
      <w:r>
        <w:rPr>
          <w:rFonts w:hint="eastAsia" w:ascii="宋体" w:hAnsi="宋体" w:eastAsia="宋体"/>
          <w:sz w:val="24"/>
        </w:rPr>
        <w:t>×</w:t>
      </w:r>
      <w:r>
        <w:rPr>
          <w:rFonts w:ascii="宋体" w:hAnsi="宋体" w:eastAsia="宋体"/>
          <w:sz w:val="24"/>
        </w:rPr>
        <w:t>10-6</w:t>
      </w:r>
      <w:r>
        <w:rPr>
          <w:rFonts w:hint="eastAsia" w:ascii="宋体" w:hAnsi="宋体" w:eastAsia="宋体"/>
          <w:sz w:val="24"/>
        </w:rPr>
        <w:t>～</w:t>
      </w:r>
      <w:r>
        <w:rPr>
          <w:rFonts w:ascii="宋体" w:hAnsi="宋体" w:eastAsia="宋体"/>
          <w:sz w:val="24"/>
        </w:rPr>
        <w:t>6.5</w:t>
      </w:r>
      <w:r>
        <w:rPr>
          <w:rFonts w:hint="eastAsia" w:ascii="宋体" w:hAnsi="宋体" w:eastAsia="宋体"/>
          <w:sz w:val="24"/>
        </w:rPr>
        <w:t>×</w:t>
      </w:r>
      <w:r>
        <w:rPr>
          <w:rFonts w:ascii="宋体" w:hAnsi="宋体" w:eastAsia="宋体"/>
          <w:sz w:val="24"/>
        </w:rPr>
        <w:t>10</w:t>
      </w:r>
      <w:r>
        <w:rPr>
          <w:rFonts w:hint="eastAsia" w:ascii="宋体" w:hAnsi="宋体" w:eastAsia="宋体"/>
          <w:sz w:val="24"/>
        </w:rPr>
        <w:t>—</w:t>
      </w:r>
      <w:r>
        <w:rPr>
          <w:rFonts w:ascii="宋体" w:hAnsi="宋体" w:eastAsia="宋体"/>
          <w:sz w:val="24"/>
        </w:rPr>
        <w:t>6cm/s</w:t>
      </w:r>
      <w:r>
        <w:rPr>
          <w:rFonts w:hint="eastAsia" w:ascii="宋体" w:hAnsi="宋体" w:eastAsia="宋体"/>
          <w:sz w:val="24"/>
        </w:rPr>
        <w:t xml:space="preserve">。承载力容许值 </w:t>
      </w:r>
      <w:r>
        <w:rPr>
          <w:rFonts w:ascii="宋体" w:hAnsi="宋体" w:eastAsia="宋体"/>
          <w:sz w:val="24"/>
        </w:rPr>
        <w:t>130kPa</w:t>
      </w:r>
      <w:r>
        <w:rPr>
          <w:rFonts w:hint="eastAsia" w:ascii="宋体" w:hAnsi="宋体" w:eastAsia="宋体"/>
          <w:sz w:val="24"/>
        </w:rPr>
        <w:t xml:space="preserve">，压缩模量 </w:t>
      </w:r>
      <w:r>
        <w:rPr>
          <w:rFonts w:ascii="宋体" w:hAnsi="宋体" w:eastAsia="宋体"/>
          <w:sz w:val="24"/>
        </w:rPr>
        <w:t>6.0MPa</w:t>
      </w:r>
      <w:r>
        <w:rPr>
          <w:rFonts w:hint="eastAsia" w:ascii="宋体" w:hAnsi="宋体" w:eastAsia="宋体"/>
          <w:sz w:val="24"/>
        </w:rPr>
        <w:t xml:space="preserve">。局部片区含粉土质砂透镜体。 </w:t>
      </w:r>
    </w:p>
    <w:p w14:paraId="255A460E">
      <w:pPr>
        <w:spacing w:line="480" w:lineRule="auto"/>
        <w:rPr>
          <w:rFonts w:ascii="宋体" w:hAnsi="宋体" w:eastAsia="宋体"/>
          <w:sz w:val="24"/>
        </w:rPr>
      </w:pPr>
      <w:r>
        <w:rPr>
          <w:rFonts w:hint="eastAsia" w:ascii="宋体" w:hAnsi="宋体" w:eastAsia="宋体"/>
          <w:sz w:val="24"/>
        </w:rPr>
        <w:t xml:space="preserve">④粉土质砂，埋深 </w:t>
      </w:r>
      <w:r>
        <w:rPr>
          <w:rFonts w:ascii="宋体" w:hAnsi="宋体" w:eastAsia="宋体"/>
          <w:sz w:val="24"/>
        </w:rPr>
        <w:t>2.2</w:t>
      </w:r>
      <w:r>
        <w:rPr>
          <w:rFonts w:hint="eastAsia" w:ascii="宋体" w:hAnsi="宋体" w:eastAsia="宋体"/>
          <w:sz w:val="24"/>
        </w:rPr>
        <w:t>～</w:t>
      </w:r>
      <w:r>
        <w:rPr>
          <w:rFonts w:ascii="宋体" w:hAnsi="宋体" w:eastAsia="宋体"/>
          <w:sz w:val="24"/>
        </w:rPr>
        <w:t>3.7m</w:t>
      </w:r>
      <w:r>
        <w:rPr>
          <w:rFonts w:hint="eastAsia" w:ascii="宋体" w:hAnsi="宋体" w:eastAsia="宋体"/>
          <w:sz w:val="24"/>
        </w:rPr>
        <w:t xml:space="preserve">，层厚在 </w:t>
      </w:r>
      <w:r>
        <w:rPr>
          <w:rFonts w:ascii="宋体" w:hAnsi="宋体" w:eastAsia="宋体"/>
          <w:sz w:val="24"/>
        </w:rPr>
        <w:t xml:space="preserve">10.0m </w:t>
      </w:r>
      <w:r>
        <w:rPr>
          <w:rFonts w:hint="eastAsia" w:ascii="宋体" w:hAnsi="宋体" w:eastAsia="宋体"/>
          <w:sz w:val="24"/>
        </w:rPr>
        <w:t xml:space="preserve">以上，本次勘察钻孔深度 </w:t>
      </w:r>
      <w:r>
        <w:rPr>
          <w:rFonts w:ascii="宋体" w:hAnsi="宋体" w:eastAsia="宋体"/>
          <w:sz w:val="24"/>
        </w:rPr>
        <w:t xml:space="preserve">15m </w:t>
      </w:r>
      <w:r>
        <w:rPr>
          <w:rFonts w:hint="eastAsia" w:ascii="宋体" w:hAnsi="宋体" w:eastAsia="宋体"/>
          <w:sz w:val="24"/>
        </w:rPr>
        <w:t xml:space="preserve">未能揭穿。灰色，饱和，稍密－中密。矿物成分以长石、石英和云母等为主。深度 </w:t>
      </w:r>
      <w:r>
        <w:rPr>
          <w:rFonts w:ascii="宋体" w:hAnsi="宋体" w:eastAsia="宋体"/>
          <w:sz w:val="24"/>
        </w:rPr>
        <w:t>4.5</w:t>
      </w:r>
      <w:r>
        <w:rPr>
          <w:rFonts w:hint="eastAsia" w:ascii="宋体" w:hAnsi="宋体" w:eastAsia="宋体"/>
          <w:sz w:val="24"/>
        </w:rPr>
        <w:t>～</w:t>
      </w:r>
      <w:r>
        <w:rPr>
          <w:rFonts w:ascii="宋体" w:hAnsi="宋体" w:eastAsia="宋体"/>
          <w:sz w:val="24"/>
        </w:rPr>
        <w:t xml:space="preserve">10.0m </w:t>
      </w:r>
      <w:r>
        <w:rPr>
          <w:rFonts w:hint="eastAsia" w:ascii="宋体" w:hAnsi="宋体" w:eastAsia="宋体"/>
          <w:sz w:val="24"/>
        </w:rPr>
        <w:t xml:space="preserve">承载力容许值 </w:t>
      </w:r>
      <w:r>
        <w:rPr>
          <w:rFonts w:ascii="宋体" w:hAnsi="宋体" w:eastAsia="宋体"/>
          <w:sz w:val="24"/>
        </w:rPr>
        <w:t>140kPa</w:t>
      </w:r>
      <w:r>
        <w:rPr>
          <w:rFonts w:hint="eastAsia" w:ascii="宋体" w:hAnsi="宋体" w:eastAsia="宋体"/>
          <w:sz w:val="24"/>
        </w:rPr>
        <w:t xml:space="preserve">，变形模量 </w:t>
      </w:r>
      <w:r>
        <w:rPr>
          <w:rFonts w:ascii="宋体" w:hAnsi="宋体" w:eastAsia="宋体"/>
          <w:sz w:val="24"/>
        </w:rPr>
        <w:t>8MPa</w:t>
      </w:r>
      <w:r>
        <w:rPr>
          <w:rFonts w:hint="eastAsia" w:ascii="宋体" w:hAnsi="宋体" w:eastAsia="宋体"/>
          <w:sz w:val="24"/>
        </w:rPr>
        <w:t>，</w:t>
      </w:r>
      <w:r>
        <w:rPr>
          <w:rFonts w:ascii="宋体" w:hAnsi="宋体" w:eastAsia="宋体"/>
          <w:sz w:val="24"/>
        </w:rPr>
        <w:t>10.0</w:t>
      </w:r>
      <w:r>
        <w:rPr>
          <w:rFonts w:hint="eastAsia" w:ascii="宋体" w:hAnsi="宋体" w:eastAsia="宋体"/>
          <w:sz w:val="24"/>
        </w:rPr>
        <w:t>～</w:t>
      </w:r>
      <w:r>
        <w:rPr>
          <w:rFonts w:ascii="宋体" w:hAnsi="宋体" w:eastAsia="宋体"/>
          <w:sz w:val="24"/>
        </w:rPr>
        <w:t xml:space="preserve">15.0m </w:t>
      </w:r>
      <w:r>
        <w:rPr>
          <w:rFonts w:hint="eastAsia" w:ascii="宋体" w:hAnsi="宋体" w:eastAsia="宋体"/>
          <w:sz w:val="24"/>
        </w:rPr>
        <w:t xml:space="preserve">承载力容许值 </w:t>
      </w:r>
      <w:r>
        <w:rPr>
          <w:rFonts w:ascii="宋体" w:hAnsi="宋体" w:eastAsia="宋体"/>
          <w:sz w:val="24"/>
        </w:rPr>
        <w:t>160kPa</w:t>
      </w:r>
      <w:r>
        <w:rPr>
          <w:rFonts w:hint="eastAsia" w:ascii="宋体" w:hAnsi="宋体" w:eastAsia="宋体"/>
          <w:sz w:val="24"/>
        </w:rPr>
        <w:t>，变形模量</w:t>
      </w:r>
      <w:r>
        <w:rPr>
          <w:rFonts w:ascii="宋体" w:hAnsi="宋体" w:eastAsia="宋体"/>
          <w:sz w:val="24"/>
        </w:rPr>
        <w:t>12MPa</w:t>
      </w:r>
      <w:r>
        <w:rPr>
          <w:rFonts w:hint="eastAsia" w:ascii="宋体" w:hAnsi="宋体" w:eastAsia="宋体"/>
          <w:sz w:val="24"/>
        </w:rPr>
        <w:t xml:space="preserve">。 </w:t>
      </w:r>
    </w:p>
    <w:p w14:paraId="26875EA6">
      <w:pPr>
        <w:spacing w:line="480" w:lineRule="auto"/>
        <w:rPr>
          <w:rFonts w:ascii="宋体" w:hAnsi="宋体" w:eastAsia="宋体"/>
          <w:sz w:val="24"/>
        </w:rPr>
      </w:pPr>
      <w:r>
        <w:rPr>
          <w:rFonts w:ascii="宋体" w:hAnsi="宋体" w:eastAsia="宋体"/>
          <w:sz w:val="24"/>
        </w:rPr>
        <w:t>3</w:t>
      </w:r>
      <w:r>
        <w:rPr>
          <w:rFonts w:hint="eastAsia" w:ascii="宋体" w:hAnsi="宋体" w:eastAsia="宋体"/>
          <w:sz w:val="24"/>
        </w:rPr>
        <w:t xml:space="preserve">、地质构造和地震 </w:t>
      </w:r>
    </w:p>
    <w:p w14:paraId="4911F80C">
      <w:pPr>
        <w:spacing w:line="480" w:lineRule="auto"/>
        <w:rPr>
          <w:rFonts w:ascii="宋体" w:hAnsi="宋体" w:eastAsia="宋体"/>
          <w:sz w:val="24"/>
        </w:rPr>
      </w:pPr>
      <w:r>
        <w:rPr>
          <w:rFonts w:hint="eastAsia" w:ascii="宋体" w:hAnsi="宋体" w:eastAsia="宋体"/>
          <w:sz w:val="24"/>
        </w:rPr>
        <w:t xml:space="preserve">项目区新构造运动不仅强度大，表现形式也很丰富。谷地自中新世以来，坳陷下沉，中新统—下更新统沉积厚度达 </w:t>
      </w:r>
      <w:r>
        <w:rPr>
          <w:rFonts w:ascii="宋体" w:hAnsi="宋体" w:eastAsia="宋体"/>
          <w:sz w:val="24"/>
        </w:rPr>
        <w:t>4196m</w:t>
      </w:r>
      <w:r>
        <w:rPr>
          <w:rFonts w:hint="eastAsia" w:ascii="宋体" w:hAnsi="宋体" w:eastAsia="宋体"/>
          <w:sz w:val="24"/>
        </w:rPr>
        <w:t xml:space="preserve">。至早更新世末期结束，并发生较强烈的褶皱运动，背斜成山，向斜成谷，构成了现代地貌基本轮廓。中更新世后期，山地继续上升，谷地继续下沉的运动一直没有停止，仅是在 时间上具有阶段性和间歇性，强度上减弱。项目区内许多地质、地貌特征均 反映这一点，如中更新冲积层在高阶地上的分布及串珠状洪积扇的形成等。据国家 </w:t>
      </w:r>
      <w:r>
        <w:rPr>
          <w:rFonts w:ascii="宋体" w:hAnsi="宋体" w:eastAsia="宋体"/>
          <w:sz w:val="24"/>
        </w:rPr>
        <w:t xml:space="preserve">2015 </w:t>
      </w:r>
      <w:r>
        <w:rPr>
          <w:rFonts w:hint="eastAsia" w:ascii="宋体" w:hAnsi="宋体" w:eastAsia="宋体"/>
          <w:sz w:val="24"/>
        </w:rPr>
        <w:t xml:space="preserve">年发布的 </w:t>
      </w:r>
      <w:r>
        <w:rPr>
          <w:rFonts w:ascii="宋体" w:hAnsi="宋体" w:eastAsia="宋体"/>
          <w:sz w:val="24"/>
        </w:rPr>
        <w:t>1</w:t>
      </w:r>
      <w:r>
        <w:rPr>
          <w:rFonts w:hint="eastAsia" w:ascii="宋体" w:hAnsi="宋体" w:eastAsia="宋体"/>
          <w:sz w:val="24"/>
        </w:rPr>
        <w:t>：</w:t>
      </w:r>
      <w:r>
        <w:rPr>
          <w:rFonts w:ascii="宋体" w:hAnsi="宋体" w:eastAsia="宋体"/>
          <w:sz w:val="24"/>
        </w:rPr>
        <w:t xml:space="preserve">400 </w:t>
      </w:r>
      <w:r>
        <w:rPr>
          <w:rFonts w:hint="eastAsia" w:ascii="宋体" w:hAnsi="宋体" w:eastAsia="宋体"/>
          <w:sz w:val="24"/>
        </w:rPr>
        <w:t>万《中国地震动参数区划图（</w:t>
      </w:r>
      <w:r>
        <w:rPr>
          <w:rFonts w:ascii="宋体" w:hAnsi="宋体" w:eastAsia="宋体"/>
          <w:sz w:val="24"/>
        </w:rPr>
        <w:t>GB18360</w:t>
      </w:r>
      <w:r>
        <w:rPr>
          <w:rFonts w:hint="eastAsia" w:ascii="宋体" w:hAnsi="宋体" w:eastAsia="宋体"/>
          <w:sz w:val="24"/>
        </w:rPr>
        <w:t>—</w:t>
      </w:r>
      <w:r>
        <w:rPr>
          <w:rFonts w:ascii="宋体" w:hAnsi="宋体" w:eastAsia="宋体"/>
          <w:sz w:val="24"/>
        </w:rPr>
        <w:t>2015</w:t>
      </w:r>
      <w:r>
        <w:rPr>
          <w:rFonts w:hint="eastAsia" w:ascii="宋体" w:hAnsi="宋体" w:eastAsia="宋体"/>
          <w:sz w:val="24"/>
        </w:rPr>
        <w:t xml:space="preserve">）》，该区地震动峰值加速度 </w:t>
      </w:r>
      <w:r>
        <w:rPr>
          <w:rFonts w:ascii="宋体" w:hAnsi="宋体" w:eastAsia="宋体"/>
          <w:sz w:val="24"/>
        </w:rPr>
        <w:t>0.15g</w:t>
      </w:r>
      <w:r>
        <w:rPr>
          <w:rFonts w:hint="eastAsia" w:ascii="宋体" w:hAnsi="宋体" w:eastAsia="宋体"/>
          <w:sz w:val="24"/>
        </w:rPr>
        <w:t xml:space="preserve">，地震动反应谱特征周期 </w:t>
      </w:r>
      <w:r>
        <w:rPr>
          <w:rFonts w:ascii="宋体" w:hAnsi="宋体" w:eastAsia="宋体"/>
          <w:sz w:val="24"/>
        </w:rPr>
        <w:t>0.45s</w:t>
      </w:r>
      <w:r>
        <w:rPr>
          <w:rFonts w:hint="eastAsia" w:ascii="宋体" w:hAnsi="宋体" w:eastAsia="宋体"/>
          <w:sz w:val="24"/>
        </w:rPr>
        <w:t xml:space="preserve">，相应地震烈度为Ⅷ度。 </w:t>
      </w:r>
    </w:p>
    <w:p w14:paraId="368269CD">
      <w:pPr>
        <w:spacing w:line="480" w:lineRule="auto"/>
        <w:rPr>
          <w:rFonts w:ascii="宋体" w:hAnsi="宋体" w:eastAsia="宋体"/>
          <w:sz w:val="24"/>
        </w:rPr>
      </w:pPr>
      <w:r>
        <w:rPr>
          <w:rFonts w:ascii="宋体" w:hAnsi="宋体" w:eastAsia="宋体"/>
          <w:sz w:val="24"/>
        </w:rPr>
        <w:t>4</w:t>
      </w:r>
      <w:r>
        <w:rPr>
          <w:rFonts w:hint="eastAsia" w:ascii="宋体" w:hAnsi="宋体" w:eastAsia="宋体"/>
          <w:sz w:val="24"/>
        </w:rPr>
        <w:t xml:space="preserve">、不良地质现象 </w:t>
      </w:r>
    </w:p>
    <w:p w14:paraId="4B77A663">
      <w:pPr>
        <w:spacing w:line="480" w:lineRule="auto"/>
        <w:rPr>
          <w:rFonts w:ascii="宋体" w:hAnsi="宋体" w:eastAsia="宋体"/>
          <w:sz w:val="24"/>
        </w:rPr>
      </w:pPr>
      <w:r>
        <w:rPr>
          <w:rFonts w:hint="eastAsia" w:ascii="宋体" w:hAnsi="宋体" w:eastAsia="宋体"/>
          <w:sz w:val="24"/>
        </w:rPr>
        <w:t>本工程场地抗震设防烈度</w:t>
      </w:r>
      <w:r>
        <w:rPr>
          <w:rFonts w:ascii="宋体" w:hAnsi="宋体" w:eastAsia="宋体"/>
          <w:sz w:val="24"/>
        </w:rPr>
        <w:t>Ⅷ</w:t>
      </w:r>
      <w:r>
        <w:rPr>
          <w:rFonts w:hint="eastAsia" w:ascii="宋体" w:hAnsi="宋体" w:eastAsia="宋体"/>
          <w:sz w:val="24"/>
        </w:rPr>
        <w:t>度，第三组，设计基本地震加速度</w:t>
      </w:r>
      <w:r>
        <w:rPr>
          <w:rFonts w:ascii="宋体" w:hAnsi="宋体" w:eastAsia="宋体"/>
          <w:sz w:val="24"/>
        </w:rPr>
        <w:t>0.20g</w:t>
      </w:r>
      <w:r>
        <w:rPr>
          <w:rFonts w:hint="eastAsia" w:ascii="宋体" w:hAnsi="宋体" w:eastAsia="宋体"/>
          <w:sz w:val="24"/>
        </w:rPr>
        <w:t xml:space="preserve">。根据本次勘察结果，该场地不存在岩溶、泥石流、震陷、崩塌、滑坡、地震断层等地基失稳问题。 </w:t>
      </w:r>
    </w:p>
    <w:p w14:paraId="2659123A">
      <w:pPr>
        <w:pStyle w:val="3"/>
      </w:pPr>
      <w:bookmarkStart w:id="17" w:name="_Toc179900093"/>
      <w:r>
        <w:t xml:space="preserve">2.4 </w:t>
      </w:r>
      <w:r>
        <w:rPr>
          <w:rFonts w:hint="eastAsia"/>
        </w:rPr>
        <w:t>工程任务和规模</w:t>
      </w:r>
      <w:bookmarkEnd w:id="17"/>
      <w:r>
        <w:rPr>
          <w:rFonts w:hint="eastAsia"/>
        </w:rPr>
        <w:t xml:space="preserve"> </w:t>
      </w:r>
    </w:p>
    <w:p w14:paraId="0E45BBF2">
      <w:pPr>
        <w:pStyle w:val="4"/>
        <w:rPr>
          <w:sz w:val="24"/>
          <w:szCs w:val="24"/>
        </w:rPr>
      </w:pPr>
      <w:bookmarkStart w:id="18" w:name="_Toc179900094"/>
      <w:r>
        <w:rPr>
          <w:sz w:val="24"/>
          <w:szCs w:val="24"/>
        </w:rPr>
        <w:t xml:space="preserve">2.4.1 </w:t>
      </w:r>
      <w:r>
        <w:rPr>
          <w:rFonts w:hint="eastAsia"/>
          <w:sz w:val="24"/>
          <w:szCs w:val="24"/>
        </w:rPr>
        <w:t>工程建设的必要性和可行性</w:t>
      </w:r>
      <w:bookmarkEnd w:id="18"/>
      <w:r>
        <w:rPr>
          <w:rFonts w:hint="eastAsia"/>
          <w:sz w:val="24"/>
          <w:szCs w:val="24"/>
        </w:rPr>
        <w:t xml:space="preserve"> </w:t>
      </w:r>
    </w:p>
    <w:p w14:paraId="314126F3">
      <w:pPr>
        <w:pStyle w:val="5"/>
        <w:rPr>
          <w:sz w:val="24"/>
          <w:szCs w:val="24"/>
        </w:rPr>
      </w:pPr>
      <w:r>
        <w:rPr>
          <w:sz w:val="24"/>
          <w:szCs w:val="24"/>
        </w:rPr>
        <w:t xml:space="preserve">2.4.1.1 </w:t>
      </w:r>
      <w:r>
        <w:rPr>
          <w:rFonts w:hint="eastAsia"/>
          <w:sz w:val="24"/>
          <w:szCs w:val="24"/>
        </w:rPr>
        <w:t xml:space="preserve">必要性 </w:t>
      </w:r>
    </w:p>
    <w:p w14:paraId="77DDF08E">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）巩固当地脱贫成果的需要 </w:t>
      </w:r>
    </w:p>
    <w:p w14:paraId="4DEAD724">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）改善项目区生产条件，促进经济发展的需要 </w:t>
      </w:r>
    </w:p>
    <w:p w14:paraId="40ED6386">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）实现水资源可持续利用，节约水资源的需要 </w:t>
      </w:r>
    </w:p>
    <w:p w14:paraId="3D59B529">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）是项目区增产增效，农牧民致富奔小康的需要 </w:t>
      </w:r>
    </w:p>
    <w:p w14:paraId="6502B17E">
      <w:pPr>
        <w:spacing w:line="480" w:lineRule="auto"/>
        <w:rPr>
          <w:rFonts w:ascii="宋体" w:hAnsi="宋体" w:eastAsia="宋体"/>
          <w:sz w:val="24"/>
        </w:rPr>
      </w:pPr>
      <w:r>
        <w:rPr>
          <w:rFonts w:ascii="宋体" w:hAnsi="宋体" w:eastAsia="宋体"/>
          <w:sz w:val="24"/>
        </w:rPr>
        <w:t xml:space="preserve">122 </w:t>
      </w:r>
      <w:r>
        <w:rPr>
          <w:rFonts w:hint="eastAsia" w:ascii="宋体" w:hAnsi="宋体" w:eastAsia="宋体"/>
          <w:sz w:val="24"/>
        </w:rPr>
        <w:t xml:space="preserve">综合说明 </w:t>
      </w:r>
    </w:p>
    <w:p w14:paraId="282582D9">
      <w:pPr>
        <w:pStyle w:val="5"/>
        <w:rPr>
          <w:rFonts w:ascii="宋体" w:hAnsi="宋体" w:eastAsia="宋体"/>
          <w:sz w:val="24"/>
          <w:szCs w:val="24"/>
        </w:rPr>
      </w:pPr>
      <w:r>
        <w:rPr>
          <w:sz w:val="24"/>
          <w:szCs w:val="24"/>
        </w:rPr>
        <w:t xml:space="preserve">2.4.1.2 </w:t>
      </w:r>
      <w:r>
        <w:rPr>
          <w:rFonts w:hint="eastAsia"/>
          <w:sz w:val="24"/>
          <w:szCs w:val="24"/>
        </w:rPr>
        <w:t xml:space="preserve">可行性 </w:t>
      </w:r>
    </w:p>
    <w:p w14:paraId="5C259A45">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）国家政策发展条件支持 </w:t>
      </w:r>
    </w:p>
    <w:p w14:paraId="16EA458D">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）技术条件完备 </w:t>
      </w:r>
    </w:p>
    <w:p w14:paraId="4FEF09D3">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）群众支持 </w:t>
      </w:r>
    </w:p>
    <w:p w14:paraId="5F4AB82D">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）项目区具有一定的工程基础和建设管理经验 </w:t>
      </w:r>
    </w:p>
    <w:p w14:paraId="26758D07">
      <w:pPr>
        <w:spacing w:line="480" w:lineRule="auto"/>
        <w:rPr>
          <w:rFonts w:ascii="宋体" w:hAnsi="宋体" w:eastAsia="宋体"/>
          <w:sz w:val="24"/>
        </w:rPr>
      </w:pPr>
      <w:r>
        <w:rPr>
          <w:rFonts w:hint="eastAsia" w:ascii="宋体" w:hAnsi="宋体" w:eastAsia="宋体"/>
          <w:sz w:val="24"/>
        </w:rPr>
        <w:t xml:space="preserve">综上所述，本次工程项目具备实施建设的各方面有利条件，项目建设是完全可行的。 </w:t>
      </w:r>
    </w:p>
    <w:p w14:paraId="6DA128A2">
      <w:pPr>
        <w:pStyle w:val="4"/>
        <w:rPr>
          <w:sz w:val="24"/>
          <w:szCs w:val="24"/>
        </w:rPr>
      </w:pPr>
      <w:bookmarkStart w:id="19" w:name="_Toc179900095"/>
      <w:r>
        <w:rPr>
          <w:sz w:val="24"/>
          <w:szCs w:val="24"/>
        </w:rPr>
        <w:t xml:space="preserve">2.4.2 </w:t>
      </w:r>
      <w:r>
        <w:rPr>
          <w:rFonts w:hint="eastAsia"/>
          <w:sz w:val="24"/>
          <w:szCs w:val="24"/>
        </w:rPr>
        <w:t>工程任务</w:t>
      </w:r>
      <w:bookmarkEnd w:id="19"/>
      <w:r>
        <w:rPr>
          <w:rFonts w:hint="eastAsia"/>
          <w:sz w:val="24"/>
          <w:szCs w:val="24"/>
        </w:rPr>
        <w:t xml:space="preserve"> </w:t>
      </w:r>
    </w:p>
    <w:p w14:paraId="559FCFDA">
      <w:pPr>
        <w:spacing w:line="480" w:lineRule="auto"/>
        <w:rPr>
          <w:rFonts w:ascii="宋体" w:hAnsi="宋体" w:eastAsia="宋体"/>
          <w:sz w:val="24"/>
        </w:rPr>
      </w:pPr>
      <w:r>
        <w:rPr>
          <w:rFonts w:hint="eastAsia" w:ascii="宋体" w:hAnsi="宋体" w:eastAsia="宋体"/>
          <w:sz w:val="24"/>
        </w:rPr>
        <w:t xml:space="preserve">本项目现状水平年为 </w:t>
      </w:r>
      <w:r>
        <w:rPr>
          <w:rFonts w:ascii="宋体" w:hAnsi="宋体" w:eastAsia="宋体"/>
          <w:sz w:val="24"/>
        </w:rPr>
        <w:t xml:space="preserve">2023 </w:t>
      </w:r>
      <w:r>
        <w:rPr>
          <w:rFonts w:hint="eastAsia" w:ascii="宋体" w:hAnsi="宋体" w:eastAsia="宋体"/>
          <w:sz w:val="24"/>
        </w:rPr>
        <w:t xml:space="preserve">年，设计水平年为 </w:t>
      </w:r>
      <w:r>
        <w:rPr>
          <w:rFonts w:ascii="宋体" w:hAnsi="宋体" w:eastAsia="宋体"/>
          <w:sz w:val="24"/>
        </w:rPr>
        <w:t xml:space="preserve">2024 </w:t>
      </w:r>
      <w:r>
        <w:rPr>
          <w:rFonts w:hint="eastAsia" w:ascii="宋体" w:hAnsi="宋体" w:eastAsia="宋体"/>
          <w:sz w:val="24"/>
        </w:rPr>
        <w:t xml:space="preserve">年。 </w:t>
      </w:r>
    </w:p>
    <w:p w14:paraId="34244939">
      <w:pPr>
        <w:spacing w:line="480" w:lineRule="auto"/>
        <w:rPr>
          <w:rFonts w:ascii="宋体" w:hAnsi="宋体" w:eastAsia="宋体"/>
          <w:sz w:val="24"/>
        </w:rPr>
      </w:pPr>
      <w:r>
        <w:rPr>
          <w:rFonts w:hint="eastAsia" w:ascii="宋体" w:hAnsi="宋体" w:eastAsia="宋体"/>
          <w:sz w:val="24"/>
        </w:rPr>
        <w:t xml:space="preserve">建设任务是对已建渠道计量设施进行建设。 </w:t>
      </w:r>
    </w:p>
    <w:p w14:paraId="54954330">
      <w:pPr>
        <w:pStyle w:val="4"/>
        <w:rPr>
          <w:sz w:val="24"/>
          <w:szCs w:val="24"/>
        </w:rPr>
      </w:pPr>
      <w:bookmarkStart w:id="20" w:name="_Toc179900096"/>
      <w:r>
        <w:rPr>
          <w:sz w:val="24"/>
          <w:szCs w:val="24"/>
        </w:rPr>
        <w:t xml:space="preserve">2.4.3 </w:t>
      </w:r>
      <w:r>
        <w:rPr>
          <w:rFonts w:hint="eastAsia"/>
          <w:sz w:val="24"/>
          <w:szCs w:val="24"/>
        </w:rPr>
        <w:t>工程规模</w:t>
      </w:r>
      <w:bookmarkEnd w:id="20"/>
      <w:r>
        <w:rPr>
          <w:rFonts w:hint="eastAsia"/>
          <w:sz w:val="24"/>
          <w:szCs w:val="24"/>
        </w:rPr>
        <w:t xml:space="preserve"> </w:t>
      </w:r>
    </w:p>
    <w:p w14:paraId="777729D2">
      <w:pPr>
        <w:spacing w:line="480" w:lineRule="auto"/>
        <w:rPr>
          <w:rFonts w:ascii="宋体" w:hAnsi="宋体" w:eastAsia="宋体"/>
          <w:sz w:val="24"/>
        </w:rPr>
      </w:pPr>
      <w:r>
        <w:rPr>
          <w:rFonts w:hint="eastAsia" w:ascii="宋体" w:hAnsi="宋体" w:eastAsia="宋体"/>
          <w:sz w:val="24"/>
        </w:rPr>
        <w:t>本项目建设规模：根据《灌溉与排水工程设计标准》</w:t>
      </w:r>
      <w:r>
        <w:rPr>
          <w:rFonts w:ascii="宋体" w:hAnsi="宋体" w:eastAsia="宋体"/>
          <w:sz w:val="24"/>
        </w:rPr>
        <w:t>(GB50288</w:t>
      </w:r>
      <w:r>
        <w:rPr>
          <w:rFonts w:hint="eastAsia" w:ascii="宋体" w:hAnsi="宋体" w:eastAsia="宋体"/>
          <w:sz w:val="24"/>
        </w:rPr>
        <w:t>—</w:t>
      </w:r>
      <w:r>
        <w:rPr>
          <w:rFonts w:ascii="宋体" w:hAnsi="宋体" w:eastAsia="宋体"/>
          <w:sz w:val="24"/>
        </w:rPr>
        <w:t>2018</w:t>
      </w:r>
      <w:r>
        <w:rPr>
          <w:rFonts w:hint="eastAsia" w:ascii="宋体" w:hAnsi="宋体" w:eastAsia="宋体"/>
          <w:sz w:val="24"/>
        </w:rPr>
        <w:t xml:space="preserve">）中规定，本工程级别为 </w:t>
      </w:r>
      <w:r>
        <w:rPr>
          <w:rFonts w:ascii="宋体" w:hAnsi="宋体" w:eastAsia="宋体"/>
          <w:sz w:val="24"/>
        </w:rPr>
        <w:t xml:space="preserve">5 </w:t>
      </w:r>
      <w:r>
        <w:rPr>
          <w:rFonts w:hint="eastAsia" w:ascii="宋体" w:hAnsi="宋体" w:eastAsia="宋体"/>
          <w:sz w:val="24"/>
        </w:rPr>
        <w:t xml:space="preserve">级，建筑物级别为 </w:t>
      </w:r>
      <w:r>
        <w:rPr>
          <w:rFonts w:ascii="宋体" w:hAnsi="宋体" w:eastAsia="宋体"/>
          <w:sz w:val="24"/>
        </w:rPr>
        <w:t xml:space="preserve">5 </w:t>
      </w:r>
      <w:r>
        <w:rPr>
          <w:rFonts w:hint="eastAsia" w:ascii="宋体" w:hAnsi="宋体" w:eastAsia="宋体"/>
          <w:sz w:val="24"/>
        </w:rPr>
        <w:t>级；根据《水 利水电工程等级划分及洪水标准》（</w:t>
      </w:r>
      <w:r>
        <w:rPr>
          <w:rFonts w:ascii="宋体" w:hAnsi="宋体" w:eastAsia="宋体"/>
          <w:sz w:val="24"/>
        </w:rPr>
        <w:t>SL252-2017</w:t>
      </w:r>
      <w:r>
        <w:rPr>
          <w:rFonts w:hint="eastAsia" w:ascii="宋体" w:hAnsi="宋体" w:eastAsia="宋体"/>
          <w:sz w:val="24"/>
        </w:rPr>
        <w:t>），工程等别为Ⅴ等 小（</w:t>
      </w:r>
      <w:r>
        <w:rPr>
          <w:rFonts w:ascii="宋体" w:hAnsi="宋体" w:eastAsia="宋体"/>
          <w:sz w:val="24"/>
        </w:rPr>
        <w:t>2</w:t>
      </w:r>
      <w:r>
        <w:rPr>
          <w:rFonts w:hint="eastAsia" w:ascii="宋体" w:hAnsi="宋体" w:eastAsia="宋体"/>
          <w:sz w:val="24"/>
        </w:rPr>
        <w:t>）型。</w:t>
      </w:r>
    </w:p>
    <w:p w14:paraId="2C3BF7F3">
      <w:pPr>
        <w:spacing w:line="480" w:lineRule="auto"/>
        <w:rPr>
          <w:rFonts w:ascii="宋体" w:hAnsi="宋体" w:eastAsia="宋体"/>
          <w:sz w:val="24"/>
        </w:rPr>
      </w:pPr>
      <w:r>
        <w:rPr>
          <w:rFonts w:hint="eastAsia" w:ascii="宋体" w:hAnsi="宋体" w:eastAsia="宋体"/>
          <w:sz w:val="24"/>
        </w:rPr>
        <w:t>本项目主要建设内容为：新建防渗渠道计量设施不锈钢水尺共计460座及平板电脑采购及APP安装调试</w:t>
      </w:r>
    </w:p>
    <w:p w14:paraId="0EEE5179">
      <w:pPr>
        <w:pStyle w:val="3"/>
        <w:rPr>
          <w:sz w:val="30"/>
          <w:szCs w:val="30"/>
        </w:rPr>
      </w:pPr>
      <w:bookmarkStart w:id="21" w:name="_Toc179900097"/>
      <w:r>
        <w:rPr>
          <w:sz w:val="30"/>
          <w:szCs w:val="30"/>
        </w:rPr>
        <w:t xml:space="preserve">2.5 </w:t>
      </w:r>
      <w:r>
        <w:rPr>
          <w:rFonts w:hint="eastAsia"/>
          <w:sz w:val="30"/>
          <w:szCs w:val="30"/>
        </w:rPr>
        <w:t>工程布置及建筑物</w:t>
      </w:r>
      <w:bookmarkEnd w:id="21"/>
      <w:r>
        <w:rPr>
          <w:rFonts w:hint="eastAsia"/>
          <w:sz w:val="30"/>
          <w:szCs w:val="30"/>
        </w:rPr>
        <w:t xml:space="preserve"> </w:t>
      </w:r>
    </w:p>
    <w:p w14:paraId="0F6758B9">
      <w:pPr>
        <w:pStyle w:val="4"/>
        <w:rPr>
          <w:sz w:val="24"/>
          <w:szCs w:val="24"/>
        </w:rPr>
      </w:pPr>
      <w:bookmarkStart w:id="22" w:name="_Toc179900098"/>
      <w:r>
        <w:rPr>
          <w:sz w:val="24"/>
          <w:szCs w:val="24"/>
        </w:rPr>
        <w:t xml:space="preserve">2.5.1 </w:t>
      </w:r>
      <w:r>
        <w:rPr>
          <w:rFonts w:hint="eastAsia"/>
          <w:sz w:val="24"/>
          <w:szCs w:val="24"/>
        </w:rPr>
        <w:t>工程总体布置</w:t>
      </w:r>
      <w:bookmarkEnd w:id="22"/>
      <w:r>
        <w:rPr>
          <w:rFonts w:hint="eastAsia"/>
          <w:sz w:val="24"/>
          <w:szCs w:val="24"/>
        </w:rPr>
        <w:t xml:space="preserve"> </w:t>
      </w:r>
    </w:p>
    <w:p w14:paraId="0A77E479">
      <w:pPr>
        <w:spacing w:line="480" w:lineRule="auto"/>
        <w:rPr>
          <w:rFonts w:ascii="宋体" w:hAnsi="宋体" w:eastAsia="宋体"/>
          <w:sz w:val="24"/>
        </w:rPr>
      </w:pPr>
      <w:r>
        <w:rPr>
          <w:rFonts w:hint="eastAsia" w:ascii="宋体" w:hAnsi="宋体" w:eastAsia="宋体"/>
          <w:sz w:val="24"/>
        </w:rPr>
        <w:t xml:space="preserve">本次主要解决渠道计量设施缺失的问题。计量设施的布置选择主要是依据灌区现有渠线的布置情况，并结合地形、地质等条件和听取当地水管部门的意见来确定，要保证满足灌溉要求，维持现有的渠系灌溉格局，尽量少占农田，少破坏天然植被，工程投资少和保证渠道安全运行、便于管理。本次工程各计量设施均布置在老渠线。 </w:t>
      </w:r>
    </w:p>
    <w:p w14:paraId="492ECEAF">
      <w:pPr>
        <w:pStyle w:val="4"/>
        <w:rPr>
          <w:sz w:val="24"/>
          <w:szCs w:val="24"/>
        </w:rPr>
      </w:pPr>
      <w:bookmarkStart w:id="23" w:name="_Toc179900099"/>
      <w:r>
        <w:rPr>
          <w:sz w:val="24"/>
          <w:szCs w:val="24"/>
        </w:rPr>
        <w:t xml:space="preserve">2.5.2 </w:t>
      </w:r>
      <w:r>
        <w:rPr>
          <w:rFonts w:hint="eastAsia"/>
          <w:sz w:val="24"/>
          <w:szCs w:val="24"/>
        </w:rPr>
        <w:t>工程等别、设计标准</w:t>
      </w:r>
      <w:bookmarkEnd w:id="23"/>
      <w:r>
        <w:rPr>
          <w:rFonts w:hint="eastAsia"/>
          <w:sz w:val="24"/>
          <w:szCs w:val="24"/>
        </w:rPr>
        <w:t xml:space="preserve"> </w:t>
      </w:r>
    </w:p>
    <w:p w14:paraId="2F375C5D">
      <w:pPr>
        <w:pStyle w:val="5"/>
        <w:rPr>
          <w:sz w:val="24"/>
          <w:szCs w:val="24"/>
        </w:rPr>
      </w:pPr>
      <w:r>
        <w:rPr>
          <w:sz w:val="24"/>
          <w:szCs w:val="24"/>
        </w:rPr>
        <w:t xml:space="preserve">2.5.2.1 </w:t>
      </w:r>
      <w:r>
        <w:rPr>
          <w:rFonts w:hint="eastAsia"/>
          <w:sz w:val="24"/>
          <w:szCs w:val="24"/>
        </w:rPr>
        <w:t xml:space="preserve">工程等别级别 </w:t>
      </w:r>
    </w:p>
    <w:p w14:paraId="54971A3D">
      <w:pPr>
        <w:spacing w:line="480" w:lineRule="auto"/>
        <w:rPr>
          <w:rFonts w:ascii="宋体" w:hAnsi="宋体" w:eastAsia="宋体"/>
          <w:sz w:val="24"/>
        </w:rPr>
      </w:pPr>
      <w:r>
        <w:rPr>
          <w:rFonts w:hint="eastAsia" w:ascii="宋体" w:hAnsi="宋体" w:eastAsia="宋体"/>
          <w:sz w:val="24"/>
        </w:rPr>
        <w:t>按照《灌溉与排水工程设计标准》</w:t>
      </w:r>
      <w:r>
        <w:rPr>
          <w:rFonts w:ascii="宋体" w:hAnsi="宋体" w:eastAsia="宋体"/>
          <w:sz w:val="24"/>
        </w:rPr>
        <w:t>(GB50288-2018</w:t>
      </w:r>
      <w:r>
        <w:rPr>
          <w:rFonts w:hint="eastAsia" w:ascii="宋体" w:hAnsi="宋体" w:eastAsia="宋体"/>
          <w:sz w:val="24"/>
        </w:rPr>
        <w:t>）及《渠道防渗衬砌工程技术标准》</w:t>
      </w:r>
      <w:r>
        <w:rPr>
          <w:rFonts w:ascii="宋体" w:hAnsi="宋体" w:eastAsia="宋体"/>
          <w:sz w:val="24"/>
        </w:rPr>
        <w:t>(GBT50600-2020)</w:t>
      </w:r>
      <w:r>
        <w:rPr>
          <w:rFonts w:hint="eastAsia" w:ascii="宋体" w:hAnsi="宋体" w:eastAsia="宋体"/>
          <w:sz w:val="24"/>
        </w:rPr>
        <w:t xml:space="preserve">，工程规模为小型，渠道级别为 </w:t>
      </w:r>
      <w:r>
        <w:rPr>
          <w:rFonts w:ascii="宋体" w:hAnsi="宋体" w:eastAsia="宋体"/>
          <w:sz w:val="24"/>
        </w:rPr>
        <w:t xml:space="preserve">5 </w:t>
      </w:r>
      <w:r>
        <w:rPr>
          <w:rFonts w:hint="eastAsia" w:ascii="宋体" w:hAnsi="宋体" w:eastAsia="宋体"/>
          <w:sz w:val="24"/>
        </w:rPr>
        <w:t xml:space="preserve">级，渠系建筑物级别为 </w:t>
      </w:r>
      <w:r>
        <w:rPr>
          <w:rFonts w:ascii="宋体" w:hAnsi="宋体" w:eastAsia="宋体"/>
          <w:sz w:val="24"/>
        </w:rPr>
        <w:t xml:space="preserve">5 </w:t>
      </w:r>
      <w:r>
        <w:rPr>
          <w:rFonts w:hint="eastAsia" w:ascii="宋体" w:hAnsi="宋体" w:eastAsia="宋体"/>
          <w:sz w:val="24"/>
        </w:rPr>
        <w:t xml:space="preserve">级。渠道防渗等级采用Ⅳ级。据 </w:t>
      </w:r>
      <w:r>
        <w:rPr>
          <w:rFonts w:ascii="宋体" w:hAnsi="宋体" w:eastAsia="宋体"/>
          <w:sz w:val="24"/>
        </w:rPr>
        <w:t xml:space="preserve">1/400 </w:t>
      </w:r>
      <w:r>
        <w:rPr>
          <w:rFonts w:hint="eastAsia" w:ascii="宋体" w:hAnsi="宋体" w:eastAsia="宋体"/>
          <w:sz w:val="24"/>
        </w:rPr>
        <w:t>万《中国地震动参数区划图》</w:t>
      </w:r>
      <w:r>
        <w:rPr>
          <w:rFonts w:ascii="宋体" w:hAnsi="宋体" w:eastAsia="宋体"/>
          <w:sz w:val="24"/>
        </w:rPr>
        <w:t>(GB18306-2015)</w:t>
      </w:r>
      <w:r>
        <w:rPr>
          <w:rFonts w:hint="eastAsia" w:ascii="宋体" w:hAnsi="宋体" w:eastAsia="宋体"/>
          <w:sz w:val="24"/>
        </w:rPr>
        <w:t xml:space="preserve">，工程区地震基本烈度为Ⅶ度，本次地震设防烈度采用地震基本烈度 </w:t>
      </w:r>
      <w:r>
        <w:rPr>
          <w:rFonts w:ascii="宋体" w:hAnsi="宋体" w:eastAsia="宋体"/>
          <w:sz w:val="24"/>
        </w:rPr>
        <w:t xml:space="preserve">7 </w:t>
      </w:r>
      <w:r>
        <w:rPr>
          <w:rFonts w:hint="eastAsia" w:ascii="宋体" w:hAnsi="宋体" w:eastAsia="宋体"/>
          <w:sz w:val="24"/>
        </w:rPr>
        <w:t xml:space="preserve">度。 </w:t>
      </w:r>
    </w:p>
    <w:p w14:paraId="0E516283">
      <w:pPr>
        <w:pStyle w:val="5"/>
        <w:rPr>
          <w:sz w:val="24"/>
          <w:szCs w:val="24"/>
        </w:rPr>
      </w:pPr>
      <w:r>
        <w:rPr>
          <w:sz w:val="24"/>
          <w:szCs w:val="24"/>
        </w:rPr>
        <w:t xml:space="preserve">2.5.2.2 </w:t>
      </w:r>
      <w:r>
        <w:rPr>
          <w:rFonts w:hint="eastAsia"/>
          <w:sz w:val="24"/>
          <w:szCs w:val="24"/>
        </w:rPr>
        <w:t xml:space="preserve">耐久性设计 </w:t>
      </w:r>
    </w:p>
    <w:p w14:paraId="3886660D">
      <w:pPr>
        <w:spacing w:line="480" w:lineRule="auto"/>
        <w:rPr>
          <w:rFonts w:ascii="宋体" w:hAnsi="宋体" w:eastAsia="宋体"/>
          <w:sz w:val="24"/>
        </w:rPr>
      </w:pPr>
      <w:r>
        <w:rPr>
          <w:rFonts w:hint="eastAsia" w:ascii="宋体" w:hAnsi="宋体" w:eastAsia="宋体"/>
          <w:sz w:val="24"/>
        </w:rPr>
        <w:t>根据《水利水电工程合理使用年限及耐久性设计规范》</w:t>
      </w:r>
      <w:r>
        <w:rPr>
          <w:rFonts w:ascii="宋体" w:hAnsi="宋体" w:eastAsia="宋体"/>
          <w:sz w:val="24"/>
        </w:rPr>
        <w:t xml:space="preserve">(SL654-2014 </w:t>
      </w:r>
      <w:r>
        <w:rPr>
          <w:rFonts w:hint="eastAsia" w:ascii="宋体" w:hAnsi="宋体" w:eastAsia="宋体"/>
          <w:sz w:val="24"/>
        </w:rPr>
        <w:t>）表</w:t>
      </w:r>
      <w:r>
        <w:rPr>
          <w:rFonts w:ascii="宋体" w:hAnsi="宋体" w:eastAsia="宋体"/>
          <w:sz w:val="24"/>
        </w:rPr>
        <w:t>3.0.3</w:t>
      </w:r>
      <w:r>
        <w:rPr>
          <w:rFonts w:hint="eastAsia" w:ascii="宋体" w:hAnsi="宋体" w:eastAsia="宋体"/>
          <w:sz w:val="24"/>
        </w:rPr>
        <w:t>以及《渠道防渗衬砌工程技术标准》</w:t>
      </w:r>
      <w:r>
        <w:rPr>
          <w:rFonts w:ascii="宋体" w:hAnsi="宋体" w:eastAsia="宋体"/>
          <w:sz w:val="24"/>
        </w:rPr>
        <w:t>(GBT50600-2020</w:t>
      </w:r>
      <w:r>
        <w:rPr>
          <w:rFonts w:hint="eastAsia" w:ascii="宋体" w:hAnsi="宋体" w:eastAsia="宋体"/>
          <w:sz w:val="24"/>
        </w:rPr>
        <w:t>）表</w:t>
      </w:r>
      <w:r>
        <w:rPr>
          <w:rFonts w:ascii="宋体" w:hAnsi="宋体" w:eastAsia="宋体"/>
          <w:sz w:val="24"/>
        </w:rPr>
        <w:t>3.1.6</w:t>
      </w:r>
      <w:r>
        <w:rPr>
          <w:rFonts w:hint="eastAsia" w:ascii="宋体" w:hAnsi="宋体" w:eastAsia="宋体"/>
          <w:sz w:val="24"/>
        </w:rPr>
        <w:t>可知，本工程为灌溉渠道</w:t>
      </w:r>
      <w:r>
        <w:rPr>
          <w:rFonts w:ascii="宋体" w:hAnsi="宋体" w:eastAsia="宋体"/>
          <w:sz w:val="24"/>
        </w:rPr>
        <w:t>5</w:t>
      </w:r>
      <w:r>
        <w:rPr>
          <w:rFonts w:hint="eastAsia" w:ascii="宋体" w:hAnsi="宋体" w:eastAsia="宋体"/>
          <w:sz w:val="24"/>
        </w:rPr>
        <w:t>级工程，渠道工程合理使用年限定为</w:t>
      </w:r>
      <w:r>
        <w:rPr>
          <w:rFonts w:ascii="宋体" w:hAnsi="宋体" w:eastAsia="宋体"/>
          <w:sz w:val="24"/>
        </w:rPr>
        <w:t>20</w:t>
      </w:r>
      <w:r>
        <w:rPr>
          <w:rFonts w:hint="eastAsia" w:ascii="宋体" w:hAnsi="宋体" w:eastAsia="宋体"/>
          <w:sz w:val="24"/>
        </w:rPr>
        <w:t>年，渠系建筑物合理使用年限为</w:t>
      </w:r>
      <w:r>
        <w:rPr>
          <w:rFonts w:ascii="宋体" w:hAnsi="宋体" w:eastAsia="宋体"/>
          <w:sz w:val="24"/>
        </w:rPr>
        <w:t>30</w:t>
      </w:r>
      <w:r>
        <w:rPr>
          <w:rFonts w:hint="eastAsia" w:ascii="宋体" w:hAnsi="宋体" w:eastAsia="宋体"/>
          <w:sz w:val="24"/>
        </w:rPr>
        <w:t xml:space="preserve">年，且建筑物合理使用年限不超过工程的使用年限，故本工程合理使用年限为 </w:t>
      </w:r>
      <w:r>
        <w:rPr>
          <w:rFonts w:ascii="宋体" w:hAnsi="宋体" w:eastAsia="宋体"/>
          <w:sz w:val="24"/>
        </w:rPr>
        <w:t xml:space="preserve">20 </w:t>
      </w:r>
      <w:r>
        <w:rPr>
          <w:rFonts w:hint="eastAsia" w:ascii="宋体" w:hAnsi="宋体" w:eastAsia="宋体"/>
          <w:sz w:val="24"/>
        </w:rPr>
        <w:t>年。根据《水利水电工程合理使用年限及耐久性设计规范》</w:t>
      </w:r>
      <w:r>
        <w:rPr>
          <w:rFonts w:ascii="宋体" w:hAnsi="宋体" w:eastAsia="宋体"/>
          <w:sz w:val="24"/>
        </w:rPr>
        <w:t xml:space="preserve">SL654-2014 </w:t>
      </w:r>
      <w:r>
        <w:rPr>
          <w:rFonts w:hint="eastAsia" w:ascii="宋体" w:hAnsi="宋体" w:eastAsia="宋体"/>
          <w:sz w:val="24"/>
        </w:rPr>
        <w:t xml:space="preserve">表 </w:t>
      </w:r>
      <w:r>
        <w:rPr>
          <w:rFonts w:ascii="宋体" w:hAnsi="宋体" w:eastAsia="宋体"/>
          <w:sz w:val="24"/>
        </w:rPr>
        <w:t xml:space="preserve">4.1.9 </w:t>
      </w:r>
      <w:r>
        <w:rPr>
          <w:rFonts w:hint="eastAsia" w:ascii="宋体" w:hAnsi="宋体" w:eastAsia="宋体"/>
          <w:sz w:val="24"/>
        </w:rPr>
        <w:t>及表</w:t>
      </w:r>
      <w:r>
        <w:rPr>
          <w:rFonts w:ascii="宋体" w:hAnsi="宋体" w:eastAsia="宋体"/>
          <w:sz w:val="24"/>
        </w:rPr>
        <w:t>4.3.2</w:t>
      </w:r>
      <w:r>
        <w:rPr>
          <w:rFonts w:hint="eastAsia" w:ascii="宋体" w:hAnsi="宋体" w:eastAsia="宋体"/>
          <w:sz w:val="24"/>
        </w:rPr>
        <w:t xml:space="preserve">、表 </w:t>
      </w:r>
      <w:r>
        <w:rPr>
          <w:rFonts w:ascii="宋体" w:hAnsi="宋体" w:eastAsia="宋体"/>
          <w:sz w:val="24"/>
        </w:rPr>
        <w:t xml:space="preserve">4.4.4 </w:t>
      </w:r>
      <w:r>
        <w:rPr>
          <w:rFonts w:hint="eastAsia" w:ascii="宋体" w:hAnsi="宋体" w:eastAsia="宋体"/>
          <w:sz w:val="24"/>
        </w:rPr>
        <w:t>的要求，本工程定为三类环境，属于寒冷地区。合理使用年限</w:t>
      </w:r>
      <w:r>
        <w:rPr>
          <w:rFonts w:ascii="宋体" w:hAnsi="宋体" w:eastAsia="宋体"/>
          <w:sz w:val="24"/>
        </w:rPr>
        <w:t xml:space="preserve">20 </w:t>
      </w:r>
      <w:r>
        <w:rPr>
          <w:rFonts w:hint="eastAsia" w:ascii="宋体" w:hAnsi="宋体" w:eastAsia="宋体"/>
          <w:sz w:val="24"/>
        </w:rPr>
        <w:t>年、</w:t>
      </w:r>
      <w:r>
        <w:rPr>
          <w:rFonts w:ascii="宋体" w:hAnsi="宋体" w:eastAsia="宋体"/>
          <w:sz w:val="24"/>
        </w:rPr>
        <w:t>30</w:t>
      </w:r>
      <w:r>
        <w:rPr>
          <w:rFonts w:hint="eastAsia" w:ascii="宋体" w:hAnsi="宋体" w:eastAsia="宋体"/>
          <w:sz w:val="24"/>
        </w:rPr>
        <w:t xml:space="preserve">年的水工结构砼强度级宜与合理使用年限为 </w:t>
      </w:r>
      <w:r>
        <w:rPr>
          <w:rFonts w:ascii="宋体" w:hAnsi="宋体" w:eastAsia="宋体"/>
          <w:sz w:val="24"/>
        </w:rPr>
        <w:t xml:space="preserve">50 </w:t>
      </w:r>
      <w:r>
        <w:rPr>
          <w:rFonts w:hint="eastAsia" w:ascii="宋体" w:hAnsi="宋体" w:eastAsia="宋体"/>
          <w:sz w:val="24"/>
        </w:rPr>
        <w:t>年的水工结构一致。根据《水利水电工程合理使用年限及耐久性设计规范》</w:t>
      </w:r>
      <w:r>
        <w:rPr>
          <w:rFonts w:ascii="宋体" w:hAnsi="宋体" w:eastAsia="宋体"/>
          <w:sz w:val="24"/>
        </w:rPr>
        <w:t>SL654-2014</w:t>
      </w:r>
      <w:r>
        <w:rPr>
          <w:rFonts w:hint="eastAsia" w:ascii="宋体" w:hAnsi="宋体" w:eastAsia="宋体"/>
          <w:sz w:val="24"/>
        </w:rPr>
        <w:t xml:space="preserve">、《水工砼结构设计规范》表 </w:t>
      </w:r>
      <w:r>
        <w:rPr>
          <w:rFonts w:ascii="宋体" w:hAnsi="宋体" w:eastAsia="宋体"/>
          <w:sz w:val="24"/>
        </w:rPr>
        <w:t xml:space="preserve">3.3.4 </w:t>
      </w:r>
      <w:r>
        <w:rPr>
          <w:rFonts w:hint="eastAsia" w:ascii="宋体" w:hAnsi="宋体" w:eastAsia="宋体"/>
          <w:sz w:val="24"/>
        </w:rPr>
        <w:t>和《渠道防渗衬砌工程技术标准》</w:t>
      </w:r>
      <w:r>
        <w:rPr>
          <w:rFonts w:ascii="宋体" w:hAnsi="宋体" w:eastAsia="宋体"/>
          <w:sz w:val="24"/>
        </w:rPr>
        <w:t xml:space="preserve">GB/T50600-2020 </w:t>
      </w:r>
      <w:r>
        <w:rPr>
          <w:rFonts w:hint="eastAsia" w:ascii="宋体" w:hAnsi="宋体" w:eastAsia="宋体"/>
          <w:sz w:val="24"/>
        </w:rPr>
        <w:t xml:space="preserve">等规定要求，确定渠系建筑物采用的现浇砼强度等级取 </w:t>
      </w:r>
      <w:r>
        <w:rPr>
          <w:rFonts w:ascii="宋体" w:hAnsi="宋体" w:eastAsia="宋体"/>
          <w:sz w:val="24"/>
        </w:rPr>
        <w:t>C30</w:t>
      </w:r>
      <w:r>
        <w:rPr>
          <w:rFonts w:hint="eastAsia" w:ascii="宋体" w:hAnsi="宋体" w:eastAsia="宋体"/>
          <w:sz w:val="24"/>
        </w:rPr>
        <w:t xml:space="preserve">、渠道现浇素砼板等结构混凝土强度等级取为 </w:t>
      </w:r>
      <w:r>
        <w:rPr>
          <w:rFonts w:ascii="宋体" w:hAnsi="宋体" w:eastAsia="宋体"/>
          <w:sz w:val="24"/>
        </w:rPr>
        <w:t>C30</w:t>
      </w:r>
      <w:r>
        <w:rPr>
          <w:rFonts w:hint="eastAsia" w:ascii="宋体" w:hAnsi="宋体" w:eastAsia="宋体"/>
          <w:sz w:val="24"/>
        </w:rPr>
        <w:t>，预制渠道混凝土强度等级取为</w:t>
      </w:r>
      <w:r>
        <w:rPr>
          <w:rFonts w:ascii="宋体" w:hAnsi="宋体" w:eastAsia="宋体"/>
          <w:sz w:val="24"/>
        </w:rPr>
        <w:t>C35</w:t>
      </w:r>
      <w:r>
        <w:rPr>
          <w:rFonts w:hint="eastAsia" w:ascii="宋体" w:hAnsi="宋体" w:eastAsia="宋体"/>
          <w:sz w:val="24"/>
        </w:rPr>
        <w:t xml:space="preserve">。主要设计技术指标详见以下内容。 </w:t>
      </w:r>
    </w:p>
    <w:p w14:paraId="055BE29D">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）建筑物混凝土 </w:t>
      </w:r>
    </w:p>
    <w:p w14:paraId="13F79403">
      <w:pPr>
        <w:spacing w:line="480" w:lineRule="auto"/>
        <w:rPr>
          <w:rFonts w:ascii="宋体" w:hAnsi="宋体" w:eastAsia="宋体"/>
          <w:sz w:val="24"/>
        </w:rPr>
      </w:pPr>
      <w:r>
        <w:rPr>
          <w:rFonts w:hint="eastAsia" w:ascii="宋体" w:hAnsi="宋体" w:eastAsia="宋体"/>
          <w:sz w:val="24"/>
        </w:rPr>
        <w:t xml:space="preserve">渠系建筑物采用 </w:t>
      </w:r>
      <w:r>
        <w:rPr>
          <w:rFonts w:ascii="宋体" w:hAnsi="宋体" w:eastAsia="宋体"/>
          <w:sz w:val="24"/>
        </w:rPr>
        <w:t xml:space="preserve">C30 </w:t>
      </w:r>
      <w:r>
        <w:rPr>
          <w:rFonts w:hint="eastAsia" w:ascii="宋体" w:hAnsi="宋体" w:eastAsia="宋体"/>
          <w:sz w:val="24"/>
        </w:rPr>
        <w:t xml:space="preserve">现浇砼，抗冻等级 </w:t>
      </w:r>
      <w:r>
        <w:rPr>
          <w:rFonts w:ascii="宋体" w:hAnsi="宋体" w:eastAsia="宋体"/>
          <w:sz w:val="24"/>
        </w:rPr>
        <w:t>F200</w:t>
      </w:r>
      <w:r>
        <w:rPr>
          <w:rFonts w:hint="eastAsia" w:ascii="宋体" w:hAnsi="宋体" w:eastAsia="宋体"/>
          <w:sz w:val="24"/>
        </w:rPr>
        <w:t xml:space="preserve">，抗渗等级 </w:t>
      </w:r>
      <w:r>
        <w:rPr>
          <w:rFonts w:ascii="宋体" w:hAnsi="宋体" w:eastAsia="宋体"/>
          <w:sz w:val="24"/>
        </w:rPr>
        <w:t>W6</w:t>
      </w:r>
      <w:r>
        <w:rPr>
          <w:rFonts w:hint="eastAsia" w:ascii="宋体" w:hAnsi="宋体" w:eastAsia="宋体"/>
          <w:sz w:val="24"/>
        </w:rPr>
        <w:t xml:space="preserve">；闸、桥上部结构砼抗冻等级 </w:t>
      </w:r>
      <w:r>
        <w:rPr>
          <w:rFonts w:ascii="宋体" w:hAnsi="宋体" w:eastAsia="宋体"/>
          <w:sz w:val="24"/>
        </w:rPr>
        <w:t>F200</w:t>
      </w:r>
      <w:r>
        <w:rPr>
          <w:rFonts w:hint="eastAsia" w:ascii="宋体" w:hAnsi="宋体" w:eastAsia="宋体"/>
          <w:sz w:val="24"/>
        </w:rPr>
        <w:t xml:space="preserve">，没有抗渗要求。并且要满足《水利水电工程合理使用年限及耐久性设计规范》《水工砼结构设计规范》规定的三类环境下最小水泥用量要求。砼设计强度以 </w:t>
      </w:r>
      <w:r>
        <w:rPr>
          <w:rFonts w:ascii="宋体" w:hAnsi="宋体" w:eastAsia="宋体"/>
          <w:sz w:val="24"/>
        </w:rPr>
        <w:t xml:space="preserve">28 </w:t>
      </w:r>
      <w:r>
        <w:rPr>
          <w:rFonts w:hint="eastAsia" w:ascii="宋体" w:hAnsi="宋体" w:eastAsia="宋体"/>
          <w:sz w:val="24"/>
        </w:rPr>
        <w:t xml:space="preserve">天龄期的强度作为设计强度。在配制砼时宜掺用外加剂，有抗冻要求的砼必须掺用引气剂或引气减水剂，冬季施工的砼掺用早强剂和抗冻剂。 </w:t>
      </w:r>
    </w:p>
    <w:p w14:paraId="12920DE1">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）水泥 </w:t>
      </w:r>
    </w:p>
    <w:p w14:paraId="43139144">
      <w:pPr>
        <w:spacing w:line="480" w:lineRule="auto"/>
        <w:rPr>
          <w:rFonts w:ascii="宋体" w:hAnsi="宋体" w:eastAsia="宋体"/>
          <w:sz w:val="24"/>
        </w:rPr>
      </w:pPr>
      <w:r>
        <w:rPr>
          <w:rFonts w:hint="eastAsia" w:ascii="宋体" w:hAnsi="宋体" w:eastAsia="宋体"/>
          <w:sz w:val="24"/>
        </w:rPr>
        <w:t xml:space="preserve">水泥全部采用 </w:t>
      </w:r>
      <w:r>
        <w:rPr>
          <w:rFonts w:ascii="宋体" w:hAnsi="宋体" w:eastAsia="宋体"/>
          <w:sz w:val="24"/>
        </w:rPr>
        <w:t xml:space="preserve">R42.5 </w:t>
      </w:r>
      <w:r>
        <w:rPr>
          <w:rFonts w:hint="eastAsia" w:ascii="宋体" w:hAnsi="宋体" w:eastAsia="宋体"/>
          <w:sz w:val="24"/>
        </w:rPr>
        <w:t>普通硅酸盐水泥，质量应符合（</w:t>
      </w:r>
      <w:r>
        <w:rPr>
          <w:rFonts w:ascii="宋体" w:hAnsi="宋体" w:eastAsia="宋体"/>
          <w:sz w:val="24"/>
        </w:rPr>
        <w:t>GB175-2020</w:t>
      </w:r>
      <w:r>
        <w:rPr>
          <w:rFonts w:hint="eastAsia" w:ascii="宋体" w:hAnsi="宋体" w:eastAsia="宋体"/>
          <w:sz w:val="24"/>
        </w:rPr>
        <w:t xml:space="preserve">） </w:t>
      </w:r>
    </w:p>
    <w:p w14:paraId="7E5AC3E5">
      <w:pPr>
        <w:spacing w:line="480" w:lineRule="auto"/>
        <w:rPr>
          <w:rFonts w:ascii="宋体" w:hAnsi="宋体" w:eastAsia="宋体"/>
          <w:sz w:val="24"/>
        </w:rPr>
      </w:pPr>
      <w:r>
        <w:rPr>
          <w:rFonts w:hint="eastAsia" w:ascii="宋体" w:hAnsi="宋体" w:eastAsia="宋体"/>
          <w:sz w:val="24"/>
        </w:rPr>
        <w:t>及有关的标准和规范的要求。</w:t>
      </w:r>
    </w:p>
    <w:p w14:paraId="3AE68C47">
      <w:pPr>
        <w:pStyle w:val="4"/>
        <w:rPr>
          <w:sz w:val="24"/>
          <w:szCs w:val="24"/>
        </w:rPr>
      </w:pPr>
      <w:bookmarkStart w:id="24" w:name="_Toc179900100"/>
      <w:r>
        <w:rPr>
          <w:sz w:val="24"/>
          <w:szCs w:val="24"/>
        </w:rPr>
        <w:t xml:space="preserve">2.5.3 </w:t>
      </w:r>
      <w:r>
        <w:rPr>
          <w:rFonts w:hint="eastAsia"/>
          <w:sz w:val="24"/>
          <w:szCs w:val="24"/>
        </w:rPr>
        <w:t>计量设施设计</w:t>
      </w:r>
      <w:bookmarkEnd w:id="24"/>
      <w:r>
        <w:rPr>
          <w:rFonts w:hint="eastAsia"/>
          <w:sz w:val="24"/>
          <w:szCs w:val="24"/>
        </w:rPr>
        <w:t xml:space="preserve"> </w:t>
      </w:r>
    </w:p>
    <w:p w14:paraId="55407BA8">
      <w:pPr>
        <w:spacing w:line="480" w:lineRule="auto"/>
        <w:rPr>
          <w:rFonts w:hint="eastAsia" w:ascii="宋体" w:hAnsi="宋体" w:eastAsia="宋体"/>
          <w:b/>
          <w:bCs/>
          <w:sz w:val="24"/>
        </w:rPr>
      </w:pPr>
      <w:r>
        <w:rPr>
          <w:rFonts w:hint="eastAsia" w:ascii="宋体" w:hAnsi="宋体" w:eastAsia="宋体"/>
          <w:b/>
          <w:bCs/>
          <w:sz w:val="24"/>
        </w:rPr>
        <w:t>计量设施选用水尺。在斗渠进水闸后渠道安装水尺进行量水。水尺采用厚</w:t>
      </w:r>
      <w:r>
        <w:rPr>
          <w:rFonts w:ascii="宋体" w:hAnsi="宋体" w:eastAsia="宋体"/>
          <w:b/>
          <w:bCs/>
          <w:sz w:val="24"/>
        </w:rPr>
        <w:t>1mm</w:t>
      </w:r>
      <w:r>
        <w:rPr>
          <w:rFonts w:hint="eastAsia" w:ascii="宋体" w:hAnsi="宋体" w:eastAsia="宋体"/>
          <w:b/>
          <w:bCs/>
          <w:sz w:val="24"/>
        </w:rPr>
        <w:t>不锈钢材质，刻度由激光雕刻，高温烤漆，正常使用寿命</w:t>
      </w:r>
      <w:r>
        <w:rPr>
          <w:rFonts w:ascii="宋体" w:hAnsi="宋体" w:eastAsia="宋体"/>
          <w:b/>
          <w:bCs/>
          <w:sz w:val="24"/>
        </w:rPr>
        <w:t>5</w:t>
      </w:r>
      <w:r>
        <w:rPr>
          <w:rFonts w:hint="eastAsia" w:ascii="宋体" w:hAnsi="宋体" w:eastAsia="宋体"/>
          <w:b/>
          <w:bCs/>
          <w:sz w:val="24"/>
        </w:rPr>
        <w:t>年以上，460处安装点必须由施工人员及水管人员采用</w:t>
      </w:r>
      <w:r>
        <w:rPr>
          <w:rFonts w:ascii="宋体" w:hAnsi="宋体" w:eastAsia="宋体"/>
          <w:b/>
          <w:bCs/>
          <w:sz w:val="24"/>
        </w:rPr>
        <w:t>RTK</w:t>
      </w:r>
      <w:r>
        <w:rPr>
          <w:rFonts w:hint="eastAsia" w:ascii="宋体" w:hAnsi="宋体" w:eastAsia="宋体"/>
          <w:b/>
          <w:bCs/>
          <w:sz w:val="24"/>
        </w:rPr>
        <w:t>进行测量，确保每处点位数据正确，并将每处水尺进行编号定制，定制完成后进行点对点安装。同时将每处点位进行油漆编号。编号后录入渠道计量信息化平台。并在采购平板电脑APP上显示。</w:t>
      </w:r>
    </w:p>
    <w:p w14:paraId="18F5D906">
      <w:pPr>
        <w:spacing w:line="480" w:lineRule="auto"/>
        <w:rPr>
          <w:rFonts w:ascii="宋体" w:hAnsi="宋体" w:eastAsia="宋体"/>
          <w:b/>
          <w:bCs/>
          <w:sz w:val="24"/>
        </w:rPr>
      </w:pPr>
      <w:r>
        <w:rPr>
          <w:rFonts w:hint="eastAsia" w:ascii="宋体" w:hAnsi="宋体" w:eastAsia="宋体"/>
          <w:b/>
          <w:bCs/>
          <w:sz w:val="24"/>
        </w:rPr>
        <w:t xml:space="preserve">流量测量范围为 </w:t>
      </w:r>
      <w:r>
        <w:rPr>
          <w:rFonts w:ascii="宋体" w:hAnsi="宋体" w:eastAsia="宋体"/>
          <w:b/>
          <w:bCs/>
          <w:sz w:val="24"/>
        </w:rPr>
        <w:t>0.1m3 /s</w:t>
      </w:r>
      <w:r>
        <w:rPr>
          <w:rFonts w:hint="eastAsia" w:ascii="宋体" w:hAnsi="宋体" w:eastAsia="宋体"/>
          <w:b/>
          <w:bCs/>
          <w:sz w:val="24"/>
        </w:rPr>
        <w:t>—</w:t>
      </w:r>
      <w:r>
        <w:rPr>
          <w:rFonts w:ascii="宋体" w:hAnsi="宋体" w:eastAsia="宋体"/>
          <w:b/>
          <w:bCs/>
          <w:sz w:val="24"/>
        </w:rPr>
        <w:t>1.0m3 /s</w:t>
      </w:r>
      <w:r>
        <w:rPr>
          <w:rFonts w:hint="eastAsia" w:ascii="宋体" w:hAnsi="宋体" w:eastAsia="宋体"/>
          <w:b/>
          <w:bCs/>
          <w:sz w:val="24"/>
        </w:rPr>
        <w:t>。</w:t>
      </w:r>
    </w:p>
    <w:p w14:paraId="28E3AC27">
      <w:pPr>
        <w:spacing w:line="480" w:lineRule="auto"/>
        <w:rPr>
          <w:rFonts w:hint="eastAsia" w:ascii="宋体" w:hAnsi="宋体" w:eastAsia="宋体"/>
          <w:b/>
          <w:bCs/>
          <w:sz w:val="24"/>
        </w:rPr>
      </w:pPr>
      <w:r>
        <w:rPr>
          <w:rFonts w:hint="eastAsia" w:ascii="宋体" w:hAnsi="宋体" w:eastAsia="宋体"/>
          <w:b/>
          <w:bCs/>
          <w:sz w:val="24"/>
        </w:rPr>
        <w:t>平板电脑参数：国产设备，</w:t>
      </w:r>
      <w:r>
        <w:rPr>
          <w:rFonts w:ascii="宋体" w:hAnsi="宋体" w:eastAsia="宋体"/>
          <w:b/>
          <w:bCs/>
          <w:sz w:val="24"/>
        </w:rPr>
        <w:t>CPU晓龙870</w:t>
      </w:r>
      <w:r>
        <w:rPr>
          <w:rFonts w:hint="eastAsia" w:ascii="宋体" w:hAnsi="宋体" w:eastAsia="宋体"/>
          <w:b/>
          <w:bCs/>
          <w:sz w:val="24"/>
        </w:rPr>
        <w:t>或以上，扬声器</w:t>
      </w:r>
      <w:r>
        <w:rPr>
          <w:rFonts w:ascii="宋体" w:hAnsi="宋体" w:eastAsia="宋体"/>
          <w:b/>
          <w:bCs/>
          <w:sz w:val="24"/>
        </w:rPr>
        <w:t xml:space="preserve"> 4 个，LCD 显示屏，后置摄像头1300w 像素及以上，前</w:t>
      </w:r>
      <w:r>
        <w:rPr>
          <w:rFonts w:hint="eastAsia" w:ascii="宋体" w:hAnsi="宋体" w:eastAsia="宋体"/>
          <w:b/>
          <w:bCs/>
          <w:sz w:val="24"/>
        </w:rPr>
        <w:t>置摄像头</w:t>
      </w:r>
      <w:r>
        <w:rPr>
          <w:rFonts w:ascii="宋体" w:hAnsi="宋体" w:eastAsia="宋体"/>
          <w:b/>
          <w:bCs/>
          <w:sz w:val="24"/>
        </w:rPr>
        <w:t>800w 像素及以上，支持4G全网通，</w:t>
      </w:r>
      <w:r>
        <w:rPr>
          <w:rFonts w:hint="eastAsia" w:ascii="宋体" w:hAnsi="宋体" w:eastAsia="宋体"/>
          <w:b/>
          <w:bCs/>
          <w:sz w:val="24"/>
        </w:rPr>
        <w:t>包装含内置电池、充电器、数据线</w:t>
      </w:r>
    </w:p>
    <w:p w14:paraId="72D2677F">
      <w:pPr>
        <w:pStyle w:val="2"/>
        <w:jc w:val="center"/>
      </w:pPr>
      <w:bookmarkStart w:id="25" w:name="_Toc179900101"/>
      <w:r>
        <w:rPr>
          <w:rFonts w:hint="eastAsia"/>
        </w:rPr>
        <w:t>3</w:t>
      </w:r>
      <w:r>
        <w:t xml:space="preserve"> </w:t>
      </w:r>
      <w:r>
        <w:rPr>
          <w:rFonts w:hint="eastAsia"/>
        </w:rPr>
        <w:t>工程任务和规模</w:t>
      </w:r>
      <w:bookmarkEnd w:id="25"/>
    </w:p>
    <w:p w14:paraId="20601507">
      <w:pPr>
        <w:pStyle w:val="3"/>
        <w:rPr>
          <w:sz w:val="24"/>
          <w:szCs w:val="24"/>
        </w:rPr>
      </w:pPr>
      <w:bookmarkStart w:id="26" w:name="_Toc179900102"/>
      <w:r>
        <w:rPr>
          <w:rFonts w:hint="eastAsia"/>
          <w:sz w:val="24"/>
          <w:szCs w:val="24"/>
        </w:rPr>
        <w:t>3</w:t>
      </w:r>
      <w:r>
        <w:rPr>
          <w:sz w:val="24"/>
          <w:szCs w:val="24"/>
        </w:rPr>
        <w:t xml:space="preserve">.1 </w:t>
      </w:r>
      <w:r>
        <w:rPr>
          <w:rFonts w:hint="eastAsia"/>
          <w:sz w:val="24"/>
          <w:szCs w:val="24"/>
        </w:rPr>
        <w:t>概述</w:t>
      </w:r>
      <w:bookmarkEnd w:id="26"/>
      <w:r>
        <w:rPr>
          <w:rFonts w:hint="eastAsia"/>
          <w:sz w:val="24"/>
          <w:szCs w:val="24"/>
        </w:rPr>
        <w:t xml:space="preserve"> </w:t>
      </w:r>
    </w:p>
    <w:p w14:paraId="2CA47078">
      <w:pPr>
        <w:spacing w:line="480" w:lineRule="auto"/>
        <w:rPr>
          <w:rFonts w:ascii="宋体" w:hAnsi="宋体" w:eastAsia="宋体"/>
          <w:sz w:val="24"/>
        </w:rPr>
      </w:pPr>
      <w:r>
        <w:rPr>
          <w:rFonts w:hint="eastAsia" w:ascii="宋体" w:hAnsi="宋体" w:eastAsia="宋体"/>
          <w:sz w:val="24"/>
        </w:rPr>
        <w:t>本项目现状水平年为</w:t>
      </w:r>
      <w:r>
        <w:rPr>
          <w:rFonts w:ascii="宋体" w:hAnsi="宋体" w:eastAsia="宋体"/>
          <w:sz w:val="24"/>
        </w:rPr>
        <w:t>2023</w:t>
      </w:r>
      <w:r>
        <w:rPr>
          <w:rFonts w:hint="eastAsia" w:ascii="宋体" w:hAnsi="宋体" w:eastAsia="宋体"/>
          <w:sz w:val="24"/>
        </w:rPr>
        <w:t>年，设计水平年为</w:t>
      </w:r>
      <w:r>
        <w:rPr>
          <w:rFonts w:ascii="宋体" w:hAnsi="宋体" w:eastAsia="宋体"/>
          <w:sz w:val="24"/>
        </w:rPr>
        <w:t>2024</w:t>
      </w:r>
      <w:r>
        <w:rPr>
          <w:rFonts w:hint="eastAsia" w:ascii="宋体" w:hAnsi="宋体" w:eastAsia="宋体"/>
          <w:sz w:val="24"/>
        </w:rPr>
        <w:t xml:space="preserve">年。 </w:t>
      </w:r>
    </w:p>
    <w:p w14:paraId="11583716">
      <w:pPr>
        <w:spacing w:line="480" w:lineRule="auto"/>
        <w:rPr>
          <w:rFonts w:ascii="宋体" w:hAnsi="宋体" w:eastAsia="宋体"/>
          <w:sz w:val="24"/>
        </w:rPr>
      </w:pPr>
      <w:r>
        <w:rPr>
          <w:rFonts w:hint="eastAsia" w:ascii="宋体" w:hAnsi="宋体" w:eastAsia="宋体"/>
          <w:sz w:val="24"/>
        </w:rPr>
        <w:t>建设任务为新建防渗渠道计量设施不锈钢水尺共计460座及平板电脑采购及APP安装调试。</w:t>
      </w:r>
    </w:p>
    <w:p w14:paraId="3AFB6171">
      <w:pPr>
        <w:spacing w:line="480" w:lineRule="auto"/>
        <w:rPr>
          <w:rFonts w:ascii="宋体" w:hAnsi="宋体" w:eastAsia="宋体"/>
          <w:sz w:val="24"/>
        </w:rPr>
      </w:pPr>
      <w:r>
        <w:rPr>
          <w:rFonts w:hint="eastAsia" w:ascii="宋体" w:hAnsi="宋体" w:eastAsia="宋体"/>
          <w:sz w:val="24"/>
        </w:rPr>
        <w:t>项目灌溉设计标准为灌溉保证率</w:t>
      </w:r>
      <w:r>
        <w:rPr>
          <w:rFonts w:ascii="宋体" w:hAnsi="宋体" w:eastAsia="宋体"/>
          <w:sz w:val="24"/>
        </w:rPr>
        <w:t>75%</w:t>
      </w:r>
      <w:r>
        <w:rPr>
          <w:rFonts w:hint="eastAsia" w:ascii="宋体" w:hAnsi="宋体" w:eastAsia="宋体"/>
          <w:sz w:val="24"/>
        </w:rPr>
        <w:t>，灌溉水利用系数</w:t>
      </w:r>
      <w:r>
        <w:rPr>
          <w:rFonts w:ascii="宋体" w:hAnsi="宋体" w:eastAsia="宋体"/>
          <w:sz w:val="24"/>
        </w:rPr>
        <w:t>0.66</w:t>
      </w:r>
      <w:r>
        <w:rPr>
          <w:rFonts w:hint="eastAsia" w:ascii="宋体" w:hAnsi="宋体" w:eastAsia="宋体"/>
          <w:sz w:val="24"/>
        </w:rPr>
        <w:t xml:space="preserve">。 </w:t>
      </w:r>
    </w:p>
    <w:p w14:paraId="3F52C284">
      <w:pPr>
        <w:spacing w:line="480" w:lineRule="auto"/>
        <w:rPr>
          <w:rFonts w:ascii="宋体" w:hAnsi="宋体" w:eastAsia="宋体"/>
          <w:sz w:val="24"/>
        </w:rPr>
      </w:pPr>
      <w:r>
        <w:rPr>
          <w:rFonts w:ascii="宋体" w:hAnsi="宋体" w:eastAsia="宋体"/>
          <w:sz w:val="24"/>
        </w:rPr>
        <w:t xml:space="preserve">5.1.1 </w:t>
      </w:r>
      <w:r>
        <w:rPr>
          <w:rFonts w:hint="eastAsia" w:ascii="宋体" w:hAnsi="宋体" w:eastAsia="宋体"/>
          <w:sz w:val="24"/>
        </w:rPr>
        <w:t xml:space="preserve">项目区现状 </w:t>
      </w:r>
    </w:p>
    <w:p w14:paraId="05DA0E57">
      <w:pPr>
        <w:spacing w:line="480" w:lineRule="auto"/>
        <w:rPr>
          <w:rFonts w:ascii="宋体" w:hAnsi="宋体" w:eastAsia="宋体"/>
          <w:sz w:val="24"/>
        </w:rPr>
      </w:pPr>
      <w:r>
        <w:rPr>
          <w:rFonts w:hint="eastAsia" w:ascii="宋体" w:hAnsi="宋体" w:eastAsia="宋体"/>
          <w:sz w:val="24"/>
        </w:rPr>
        <w:t xml:space="preserve">叶城县位于新疆维吾尔自治区西南部，喀什地区东部，喀喇昆仑 山北麓，库山河和依格孜牙河中下游，地理坐标介于东经 </w:t>
      </w:r>
      <w:r>
        <w:rPr>
          <w:rFonts w:ascii="宋体" w:hAnsi="宋体" w:eastAsia="宋体"/>
          <w:sz w:val="24"/>
        </w:rPr>
        <w:t>75</w:t>
      </w:r>
      <w:r>
        <w:rPr>
          <w:rFonts w:hint="eastAsia" w:ascii="宋体" w:hAnsi="宋体" w:eastAsia="宋体"/>
          <w:sz w:val="24"/>
        </w:rPr>
        <w:t>°</w:t>
      </w:r>
      <w:r>
        <w:rPr>
          <w:rFonts w:ascii="宋体" w:hAnsi="宋体" w:eastAsia="宋体"/>
          <w:sz w:val="24"/>
        </w:rPr>
        <w:t>18</w:t>
      </w:r>
      <w:r>
        <w:rPr>
          <w:rFonts w:hint="eastAsia" w:ascii="宋体" w:hAnsi="宋体" w:eastAsia="宋体"/>
          <w:sz w:val="24"/>
        </w:rPr>
        <w:t xml:space="preserve">′～ </w:t>
      </w:r>
      <w:r>
        <w:rPr>
          <w:rFonts w:ascii="宋体" w:hAnsi="宋体" w:eastAsia="宋体"/>
          <w:sz w:val="24"/>
        </w:rPr>
        <w:t>76</w:t>
      </w:r>
      <w:r>
        <w:rPr>
          <w:rFonts w:hint="eastAsia" w:ascii="宋体" w:hAnsi="宋体" w:eastAsia="宋体"/>
          <w:sz w:val="24"/>
        </w:rPr>
        <w:t>°</w:t>
      </w:r>
      <w:r>
        <w:rPr>
          <w:rFonts w:ascii="宋体" w:hAnsi="宋体" w:eastAsia="宋体"/>
          <w:sz w:val="24"/>
        </w:rPr>
        <w:t>30</w:t>
      </w:r>
      <w:r>
        <w:rPr>
          <w:rFonts w:hint="eastAsia" w:ascii="宋体" w:hAnsi="宋体" w:eastAsia="宋体"/>
          <w:sz w:val="24"/>
        </w:rPr>
        <w:t xml:space="preserve">′，北纬 </w:t>
      </w:r>
      <w:r>
        <w:rPr>
          <w:rFonts w:ascii="宋体" w:hAnsi="宋体" w:eastAsia="宋体"/>
          <w:sz w:val="24"/>
        </w:rPr>
        <w:t>38</w:t>
      </w:r>
      <w:r>
        <w:rPr>
          <w:rFonts w:hint="eastAsia" w:ascii="宋体" w:hAnsi="宋体" w:eastAsia="宋体"/>
          <w:sz w:val="24"/>
        </w:rPr>
        <w:t>°</w:t>
      </w:r>
      <w:r>
        <w:rPr>
          <w:rFonts w:ascii="宋体" w:hAnsi="宋体" w:eastAsia="宋体"/>
          <w:sz w:val="24"/>
        </w:rPr>
        <w:t>8</w:t>
      </w:r>
      <w:r>
        <w:rPr>
          <w:rFonts w:hint="eastAsia" w:ascii="宋体" w:hAnsi="宋体" w:eastAsia="宋体"/>
          <w:sz w:val="24"/>
        </w:rPr>
        <w:t>′～</w:t>
      </w:r>
      <w:r>
        <w:rPr>
          <w:rFonts w:ascii="宋体" w:hAnsi="宋体" w:eastAsia="宋体"/>
          <w:sz w:val="24"/>
        </w:rPr>
        <w:t>39</w:t>
      </w:r>
      <w:r>
        <w:rPr>
          <w:rFonts w:hint="eastAsia" w:ascii="宋体" w:hAnsi="宋体" w:eastAsia="宋体"/>
          <w:sz w:val="24"/>
        </w:rPr>
        <w:t>°</w:t>
      </w:r>
      <w:r>
        <w:rPr>
          <w:rFonts w:ascii="宋体" w:hAnsi="宋体" w:eastAsia="宋体"/>
          <w:sz w:val="24"/>
        </w:rPr>
        <w:t>10</w:t>
      </w:r>
      <w:r>
        <w:rPr>
          <w:rFonts w:hint="eastAsia" w:ascii="宋体" w:hAnsi="宋体" w:eastAsia="宋体"/>
          <w:sz w:val="24"/>
        </w:rPr>
        <w:t xml:space="preserve">′之间，海拔 </w:t>
      </w:r>
      <w:r>
        <w:rPr>
          <w:rFonts w:ascii="宋体" w:hAnsi="宋体" w:eastAsia="宋体"/>
          <w:sz w:val="24"/>
        </w:rPr>
        <w:t>1212</w:t>
      </w:r>
      <w:r>
        <w:rPr>
          <w:rFonts w:hint="eastAsia" w:ascii="宋体" w:hAnsi="宋体" w:eastAsia="宋体"/>
          <w:sz w:val="24"/>
        </w:rPr>
        <w:t>～</w:t>
      </w:r>
      <w:r>
        <w:rPr>
          <w:rFonts w:ascii="宋体" w:hAnsi="宋体" w:eastAsia="宋体"/>
          <w:sz w:val="24"/>
        </w:rPr>
        <w:t>2256m</w:t>
      </w:r>
      <w:r>
        <w:rPr>
          <w:rFonts w:hint="eastAsia" w:ascii="宋体" w:hAnsi="宋体" w:eastAsia="宋体"/>
          <w:sz w:val="24"/>
        </w:rPr>
        <w:t xml:space="preserve">，县境 东西长约 </w:t>
      </w:r>
      <w:r>
        <w:rPr>
          <w:rFonts w:ascii="宋体" w:hAnsi="宋体" w:eastAsia="宋体"/>
          <w:sz w:val="24"/>
        </w:rPr>
        <w:t>125km</w:t>
      </w:r>
      <w:r>
        <w:rPr>
          <w:rFonts w:hint="eastAsia" w:ascii="宋体" w:hAnsi="宋体" w:eastAsia="宋体"/>
          <w:sz w:val="24"/>
        </w:rPr>
        <w:t xml:space="preserve">，南北宽约 </w:t>
      </w:r>
      <w:r>
        <w:rPr>
          <w:rFonts w:ascii="宋体" w:hAnsi="宋体" w:eastAsia="宋体"/>
          <w:sz w:val="24"/>
        </w:rPr>
        <w:t>70km</w:t>
      </w:r>
      <w:r>
        <w:rPr>
          <w:rFonts w:hint="eastAsia" w:ascii="宋体" w:hAnsi="宋体" w:eastAsia="宋体"/>
          <w:sz w:val="24"/>
        </w:rPr>
        <w:t xml:space="preserve">，总面积约 </w:t>
      </w:r>
      <w:r>
        <w:rPr>
          <w:rFonts w:ascii="宋体" w:hAnsi="宋体" w:eastAsia="宋体"/>
          <w:sz w:val="24"/>
        </w:rPr>
        <w:t xml:space="preserve">3224k </w:t>
      </w:r>
      <w:r>
        <w:rPr>
          <w:rFonts w:hint="eastAsia" w:ascii="宋体" w:hAnsi="宋体" w:eastAsia="宋体"/>
          <w:sz w:val="24"/>
        </w:rPr>
        <w:t xml:space="preserve">㎡，东西长 </w:t>
      </w:r>
      <w:r>
        <w:rPr>
          <w:rFonts w:ascii="宋体" w:hAnsi="宋体" w:eastAsia="宋体"/>
          <w:sz w:val="24"/>
        </w:rPr>
        <w:t>125km</w:t>
      </w:r>
      <w:r>
        <w:rPr>
          <w:rFonts w:hint="eastAsia" w:ascii="宋体" w:hAnsi="宋体" w:eastAsia="宋体"/>
          <w:sz w:val="24"/>
        </w:rPr>
        <w:t xml:space="preserve">，南北宽 </w:t>
      </w:r>
      <w:r>
        <w:rPr>
          <w:rFonts w:ascii="宋体" w:hAnsi="宋体" w:eastAsia="宋体"/>
          <w:sz w:val="24"/>
        </w:rPr>
        <w:t>70km</w:t>
      </w:r>
      <w:r>
        <w:rPr>
          <w:rFonts w:hint="eastAsia" w:ascii="宋体" w:hAnsi="宋体" w:eastAsia="宋体"/>
          <w:sz w:val="24"/>
        </w:rPr>
        <w:t>。西北、西南靠阿克陶县；东北与疏勒县、岳普湖县毗邻；东部是沙丘、荒滩和莎车接壤，南部为昆仑山区。叶城县地处库山河、依格孜牙河中下游，水资源较丰富。地形总地势是西南高，东北低。境内山前地带坡度大，平原及沙漠地带地势平坦，起伏不大。地层以第三系上新统泥岩（</w:t>
      </w:r>
      <w:r>
        <w:rPr>
          <w:rFonts w:ascii="宋体" w:hAnsi="宋体" w:eastAsia="宋体"/>
          <w:sz w:val="24"/>
        </w:rPr>
        <w:t>N2</w:t>
      </w:r>
      <w:r>
        <w:rPr>
          <w:rFonts w:hint="eastAsia" w:ascii="宋体" w:hAnsi="宋体" w:eastAsia="宋体"/>
          <w:sz w:val="24"/>
        </w:rPr>
        <w:t xml:space="preserve">）为主。地势由西南向东北倾斜，地貌单元可分为低山丘陵、山前戈壁、冲积平原、沙漠四个类型。项目区白杨镇位于叶城县北部，东、南邻与吐古其乡，西邻巴仁乡、乌吉热克乡和泽普县，北邻江格勒斯乡，距离叶城县城 </w:t>
      </w:r>
      <w:r>
        <w:rPr>
          <w:rFonts w:ascii="宋体" w:hAnsi="宋体" w:eastAsia="宋体"/>
          <w:sz w:val="24"/>
        </w:rPr>
        <w:t xml:space="preserve">11 </w:t>
      </w:r>
      <w:r>
        <w:rPr>
          <w:rFonts w:hint="eastAsia" w:ascii="宋体" w:hAnsi="宋体" w:eastAsia="宋体"/>
          <w:sz w:val="24"/>
        </w:rPr>
        <w:t xml:space="preserve">千米。全乡总面积 </w:t>
      </w:r>
      <w:r>
        <w:rPr>
          <w:rFonts w:ascii="宋体" w:hAnsi="宋体" w:eastAsia="宋体"/>
          <w:sz w:val="24"/>
        </w:rPr>
        <w:t xml:space="preserve">87.77 </w:t>
      </w:r>
      <w:r>
        <w:rPr>
          <w:rFonts w:hint="eastAsia" w:ascii="宋体" w:hAnsi="宋体" w:eastAsia="宋体"/>
          <w:sz w:val="24"/>
        </w:rPr>
        <w:t xml:space="preserve">平方千米。乡地处冲积扇平原，地势平坦，平均海拔 </w:t>
      </w:r>
      <w:r>
        <w:rPr>
          <w:rFonts w:ascii="宋体" w:hAnsi="宋体" w:eastAsia="宋体"/>
          <w:sz w:val="24"/>
        </w:rPr>
        <w:t xml:space="preserve">1320 </w:t>
      </w:r>
      <w:r>
        <w:rPr>
          <w:rFonts w:hint="eastAsia" w:ascii="宋体" w:hAnsi="宋体" w:eastAsia="宋体"/>
          <w:sz w:val="24"/>
        </w:rPr>
        <w:t xml:space="preserve">米。 </w:t>
      </w:r>
    </w:p>
    <w:p w14:paraId="5AC54A90">
      <w:pPr>
        <w:spacing w:line="480" w:lineRule="auto"/>
        <w:rPr>
          <w:rFonts w:ascii="宋体" w:hAnsi="宋体" w:eastAsia="宋体"/>
          <w:sz w:val="24"/>
        </w:rPr>
      </w:pPr>
      <w:r>
        <w:rPr>
          <w:rFonts w:hint="eastAsia" w:ascii="宋体" w:hAnsi="宋体" w:eastAsia="宋体"/>
          <w:sz w:val="24"/>
        </w:rPr>
        <w:t xml:space="preserve">目前项目区已建渠道计量设施不完善，量水工作开展困难，造成水资源浪费严重。为了提高水利用系数，利于水资源合理开发利用，提出了本项目的建设。 </w:t>
      </w:r>
    </w:p>
    <w:p w14:paraId="5933C17F">
      <w:pPr>
        <w:pStyle w:val="3"/>
        <w:rPr>
          <w:sz w:val="24"/>
          <w:szCs w:val="24"/>
        </w:rPr>
      </w:pPr>
      <w:bookmarkStart w:id="27" w:name="_Toc179900103"/>
      <w:r>
        <w:rPr>
          <w:rStyle w:val="17"/>
          <w:rFonts w:hint="eastAsia"/>
          <w:b w:val="0"/>
          <w:bCs w:val="0"/>
          <w:sz w:val="24"/>
          <w:szCs w:val="24"/>
        </w:rPr>
        <w:t>3</w:t>
      </w:r>
      <w:r>
        <w:rPr>
          <w:rStyle w:val="17"/>
          <w:b w:val="0"/>
          <w:bCs w:val="0"/>
          <w:sz w:val="24"/>
          <w:szCs w:val="24"/>
        </w:rPr>
        <w:t xml:space="preserve">2 </w:t>
      </w:r>
      <w:r>
        <w:rPr>
          <w:rFonts w:hint="eastAsia"/>
          <w:sz w:val="24"/>
          <w:szCs w:val="24"/>
        </w:rPr>
        <w:t>工程建设的必要性与可行性</w:t>
      </w:r>
      <w:bookmarkEnd w:id="27"/>
      <w:r>
        <w:rPr>
          <w:rFonts w:hint="eastAsia"/>
          <w:sz w:val="24"/>
          <w:szCs w:val="24"/>
        </w:rPr>
        <w:t xml:space="preserve"> </w:t>
      </w:r>
    </w:p>
    <w:p w14:paraId="42D71F55">
      <w:pPr>
        <w:pStyle w:val="4"/>
        <w:rPr>
          <w:sz w:val="24"/>
          <w:szCs w:val="24"/>
        </w:rPr>
      </w:pPr>
      <w:bookmarkStart w:id="28" w:name="_Toc179900104"/>
      <w:r>
        <w:rPr>
          <w:rFonts w:hint="eastAsia"/>
          <w:sz w:val="24"/>
          <w:szCs w:val="24"/>
        </w:rPr>
        <w:t>3</w:t>
      </w:r>
      <w:r>
        <w:rPr>
          <w:sz w:val="24"/>
          <w:szCs w:val="24"/>
        </w:rPr>
        <w:t xml:space="preserve">.2.1 </w:t>
      </w:r>
      <w:r>
        <w:rPr>
          <w:rFonts w:hint="eastAsia"/>
          <w:sz w:val="24"/>
          <w:szCs w:val="24"/>
        </w:rPr>
        <w:t>项目建设的必要性</w:t>
      </w:r>
      <w:bookmarkEnd w:id="28"/>
      <w:r>
        <w:rPr>
          <w:rFonts w:hint="eastAsia"/>
          <w:sz w:val="24"/>
          <w:szCs w:val="24"/>
        </w:rPr>
        <w:t xml:space="preserve"> </w:t>
      </w:r>
    </w:p>
    <w:p w14:paraId="62DD89F8">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）巩固当地脱贫成果的需要</w:t>
      </w:r>
    </w:p>
    <w:p w14:paraId="64FB4749">
      <w:pPr>
        <w:spacing w:line="480" w:lineRule="auto"/>
        <w:rPr>
          <w:rFonts w:ascii="宋体" w:hAnsi="宋体" w:eastAsia="宋体"/>
          <w:sz w:val="24"/>
        </w:rPr>
      </w:pPr>
      <w:r>
        <w:rPr>
          <w:rFonts w:hint="eastAsia" w:ascii="宋体" w:hAnsi="宋体" w:eastAsia="宋体"/>
          <w:sz w:val="24"/>
        </w:rPr>
        <w:t xml:space="preserve">近年来，叶城县在实现转移就业工作中取得了很大的成就，脱贫攻坚战略实施以来大部分农户已脱贫，根据中央文件的指示，在实现脱贫的愿景下，巩固来之不易的脱贫成果，是当前乡村经济发展和农户增收的重要目标。本项目通过渠道计量设施的建设推动乡村产业的发展，带动当地产业发展，为当地特色产业市场注入新鲜血液，不断更新乡村特色产业的发展模式，促进当地市场经济的发展的同时，为当地脱贫农户且有就业意愿的农户提供发展平台，巩固已脱贫的成果并帮助其逐步实现小康生活的愿景，本项目的建设社会效益显著。 </w:t>
      </w:r>
    </w:p>
    <w:p w14:paraId="0B13DF64">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）改善项目区生产条件，促进经济发展的需要 </w:t>
      </w:r>
    </w:p>
    <w:p w14:paraId="0CB4BE8A">
      <w:pPr>
        <w:spacing w:line="480" w:lineRule="auto"/>
        <w:rPr>
          <w:rFonts w:ascii="宋体" w:hAnsi="宋体" w:eastAsia="宋体"/>
          <w:sz w:val="24"/>
        </w:rPr>
      </w:pPr>
      <w:r>
        <w:rPr>
          <w:rFonts w:hint="eastAsia" w:ascii="宋体" w:hAnsi="宋体" w:eastAsia="宋体"/>
          <w:sz w:val="24"/>
        </w:rPr>
        <w:t xml:space="preserve">目前项目区已建渠道计量设施不完善，量水工作开展困难，造成水资源浪费严重。为了提高水利用系数，利于水资源合理开发利用，提出了本项目的建设。 工程实施有利于水资源合理开发利用，维护了项目区内的生态环境，可改善项目区灌区生产条件，调整产业结构，提高水利用率，便于管理均起到积极促进作用，工程的实施将产生明显的经济效益、社会效益和生态效益，将会为灌溉区内的经济持续稳定快速发展打下坚实基础，该工程项目的建设是十分必要和紧迫的，应早日实施，早日受益。 </w:t>
      </w:r>
    </w:p>
    <w:p w14:paraId="338674FC">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）实现水资源可持续利用，节约水资源的需要 </w:t>
      </w:r>
    </w:p>
    <w:p w14:paraId="2E34086A">
      <w:pPr>
        <w:spacing w:line="480" w:lineRule="auto"/>
        <w:rPr>
          <w:rFonts w:ascii="宋体" w:hAnsi="宋体" w:eastAsia="宋体"/>
          <w:sz w:val="24"/>
        </w:rPr>
      </w:pPr>
      <w:r>
        <w:rPr>
          <w:rFonts w:hint="eastAsia" w:ascii="宋体" w:hAnsi="宋体" w:eastAsia="宋体"/>
          <w:sz w:val="24"/>
        </w:rPr>
        <w:t xml:space="preserve">工程建设项目的实施，将有效地节约水资源，为当地灌溉提供保障，为实现水资源可持续利用起到了至关重要的作用，加快民生工程建设，保障各村农田增产增效，将会为项目区经济稳定快速发展打下坚实基础。 </w:t>
      </w:r>
    </w:p>
    <w:p w14:paraId="3CD2BFEA">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）是项目区增产增效，农牧民致富奔小康的需要 </w:t>
      </w:r>
    </w:p>
    <w:p w14:paraId="3DD7F26C">
      <w:pPr>
        <w:spacing w:line="480" w:lineRule="auto"/>
        <w:rPr>
          <w:rFonts w:ascii="宋体" w:hAnsi="宋体" w:eastAsia="宋体"/>
          <w:sz w:val="24"/>
        </w:rPr>
      </w:pPr>
      <w:r>
        <w:rPr>
          <w:rFonts w:hint="eastAsia" w:ascii="宋体" w:hAnsi="宋体" w:eastAsia="宋体"/>
          <w:sz w:val="24"/>
        </w:rPr>
        <w:t xml:space="preserve">本项目实施后灌区内的单产均有提高，灌区每年可实现增产。项目区作物增产后一方面可为农民增加收入，提高生产、生活水平，另一方面可为实现居民提供了一定的物质基础，有利于提高医疗、卫生、教育等方面的水平让居民更好地安居乐业。因此，本项目建设是很有必要的。 </w:t>
      </w:r>
    </w:p>
    <w:p w14:paraId="62C97C00">
      <w:pPr>
        <w:pStyle w:val="4"/>
        <w:rPr>
          <w:sz w:val="24"/>
          <w:szCs w:val="24"/>
        </w:rPr>
      </w:pPr>
      <w:bookmarkStart w:id="29" w:name="_Toc179900105"/>
      <w:r>
        <w:rPr>
          <w:rFonts w:hint="eastAsia"/>
          <w:sz w:val="24"/>
          <w:szCs w:val="24"/>
        </w:rPr>
        <w:t>3</w:t>
      </w:r>
      <w:r>
        <w:rPr>
          <w:sz w:val="24"/>
          <w:szCs w:val="24"/>
        </w:rPr>
        <w:t xml:space="preserve">.2.2 </w:t>
      </w:r>
      <w:r>
        <w:rPr>
          <w:rFonts w:hint="eastAsia"/>
          <w:sz w:val="24"/>
          <w:szCs w:val="24"/>
        </w:rPr>
        <w:t>项目建设的可行性</w:t>
      </w:r>
      <w:bookmarkEnd w:id="29"/>
      <w:r>
        <w:rPr>
          <w:rFonts w:hint="eastAsia"/>
          <w:sz w:val="24"/>
          <w:szCs w:val="24"/>
        </w:rPr>
        <w:t xml:space="preserve"> </w:t>
      </w:r>
    </w:p>
    <w:p w14:paraId="48FEC288">
      <w:pPr>
        <w:spacing w:line="480" w:lineRule="auto"/>
        <w:rPr>
          <w:rFonts w:ascii="宋体" w:hAnsi="宋体" w:eastAsia="宋体"/>
          <w:sz w:val="24"/>
        </w:rPr>
      </w:pPr>
      <w:r>
        <w:rPr>
          <w:rFonts w:hint="eastAsia" w:ascii="宋体" w:hAnsi="宋体" w:eastAsia="宋体"/>
          <w:sz w:val="24"/>
        </w:rPr>
        <w:t xml:space="preserve">近年来，随着社会经济的发展，叶城县白杨镇人民政府在政策、力度等方面对提升村容村貌基础设施条件的建设进行了倾斜和大力支持，有效促进了项目的顺利实施并成立了项目建设领导小组，保障项目的建设顺利实施。 </w:t>
      </w:r>
    </w:p>
    <w:p w14:paraId="2CBFE14C">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）国家政策发展条件支持 </w:t>
      </w:r>
    </w:p>
    <w:p w14:paraId="637F9B07">
      <w:pPr>
        <w:spacing w:line="480" w:lineRule="auto"/>
        <w:rPr>
          <w:rFonts w:ascii="宋体" w:hAnsi="宋体" w:eastAsia="宋体"/>
          <w:sz w:val="24"/>
        </w:rPr>
      </w:pPr>
      <w:r>
        <w:rPr>
          <w:rFonts w:hint="eastAsia" w:ascii="宋体" w:hAnsi="宋体" w:eastAsia="宋体"/>
          <w:sz w:val="24"/>
        </w:rPr>
        <w:t xml:space="preserve">中央新疆工作座谈会议的召开，明确了落实农田水利设施建设新机制，进一步改善自治区农田水利基础设施条件，加大对小型农田水利建设的支持力度，提高农业综合生产能力，保证粮食安全，促进农业经济的可持续发展，推进社会主义新农村建设进程的会议精神。为此，新疆维吾尔自治区、喀什地区等各级政府高度重视，积极开展农田水利工程的建设工作，并成立了相关领导机构，加强了对灌区农田水利工程建设的宏观管理与指导，为该项事业的全面实施提供了政策支撑。要加快大中型灌区的节水改造步伐，针对目前配套不完善、建 </w:t>
      </w:r>
    </w:p>
    <w:p w14:paraId="3BFF4C5E">
      <w:pPr>
        <w:spacing w:line="480" w:lineRule="auto"/>
        <w:rPr>
          <w:rFonts w:ascii="宋体" w:hAnsi="宋体" w:eastAsia="宋体"/>
          <w:sz w:val="24"/>
        </w:rPr>
      </w:pPr>
      <w:r>
        <w:rPr>
          <w:rFonts w:hint="eastAsia" w:ascii="宋体" w:hAnsi="宋体" w:eastAsia="宋体"/>
          <w:sz w:val="24"/>
        </w:rPr>
        <w:t xml:space="preserve">设标准低、渠系老化失修、灌溉保证率逐年降低、对现有灌区进行升级改造。是国家对新疆工作的重要决策和部署，因此本工程在国家政策发展条件上是可行的。通过灌区小型农田水利建设项目的实施，充分证明，在通过各级财政多渠道、多层次筹集资金，广泛动员受益区群众集资投劳，同时在国家给予大力支持的基础上，是完全能够做好此项工作的。 </w:t>
      </w:r>
    </w:p>
    <w:p w14:paraId="35EDCF50">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）技术条件完备 </w:t>
      </w:r>
    </w:p>
    <w:p w14:paraId="442E58D1">
      <w:pPr>
        <w:spacing w:line="480" w:lineRule="auto"/>
        <w:rPr>
          <w:rFonts w:ascii="宋体" w:hAnsi="宋体" w:eastAsia="宋体"/>
          <w:sz w:val="24"/>
        </w:rPr>
      </w:pPr>
      <w:r>
        <w:rPr>
          <w:rFonts w:hint="eastAsia" w:ascii="宋体" w:hAnsi="宋体" w:eastAsia="宋体"/>
          <w:sz w:val="24"/>
        </w:rPr>
        <w:t xml:space="preserve">经过长期以来的培养锻炼，叶城县已培养了一大批工程专业技术人员，形成了一支具有相当规模的勘测、设计、施工以及管理的技术队伍，从而保证了各项水利工程工作的质量。特别是通过多项大、中型水利水电工程建设的锻炼，已形成了一支能力较强、水平较高的工程建设、工程运行管理队伍。 </w:t>
      </w:r>
    </w:p>
    <w:p w14:paraId="57C38D0B">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）群众支持 </w:t>
      </w:r>
    </w:p>
    <w:p w14:paraId="7827CE8F">
      <w:pPr>
        <w:spacing w:line="480" w:lineRule="auto"/>
        <w:rPr>
          <w:rFonts w:ascii="宋体" w:hAnsi="宋体" w:eastAsia="宋体"/>
          <w:sz w:val="24"/>
        </w:rPr>
      </w:pPr>
      <w:r>
        <w:rPr>
          <w:rFonts w:hint="eastAsia" w:ascii="宋体" w:hAnsi="宋体" w:eastAsia="宋体"/>
          <w:sz w:val="24"/>
        </w:rPr>
        <w:t xml:space="preserve">本项目在项目实施过程中可解决部分群众的就业问题，增加农民收入，激发群众自力更生、艰苦奋斗的精神，广大农民群众是非常支持的。 </w:t>
      </w:r>
    </w:p>
    <w:p w14:paraId="35BCBC7F">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）具有一定的工程基础和建设管理经验 </w:t>
      </w:r>
    </w:p>
    <w:p w14:paraId="2E07BB44">
      <w:pPr>
        <w:spacing w:line="480" w:lineRule="auto"/>
        <w:rPr>
          <w:rFonts w:ascii="宋体" w:hAnsi="宋体" w:eastAsia="宋体"/>
          <w:sz w:val="24"/>
        </w:rPr>
      </w:pPr>
      <w:r>
        <w:rPr>
          <w:rFonts w:hint="eastAsia" w:ascii="宋体" w:hAnsi="宋体" w:eastAsia="宋体"/>
          <w:sz w:val="24"/>
        </w:rPr>
        <w:t xml:space="preserve">项目区基本形成灌区内各级输配水渠道的灌溉系统。近年来为了合理利用农业水土资源，大力发展灌区经济，促进灌区良性循环机制的建立，进一步改善农业生产条件，提高农业抗灾能力，灌区在多年的管理运行中也积累了一定的经验，在输配水管理及用水协调、调度方面经验成熟，对灌区工程建设及运行管理有利。项目区有着优越的土地资源，通过修建防渗渠道，提高渠系水利 </w:t>
      </w:r>
    </w:p>
    <w:p w14:paraId="72A3F06F">
      <w:pPr>
        <w:spacing w:line="480" w:lineRule="auto"/>
        <w:rPr>
          <w:rFonts w:ascii="宋体" w:hAnsi="宋体" w:eastAsia="宋体"/>
          <w:sz w:val="24"/>
        </w:rPr>
      </w:pPr>
      <w:r>
        <w:rPr>
          <w:rFonts w:hint="eastAsia" w:ascii="宋体" w:hAnsi="宋体" w:eastAsia="宋体"/>
          <w:sz w:val="24"/>
        </w:rPr>
        <w:t xml:space="preserve">用系数，为项目实施后的正常运行提供了经济保证。综上所述，本次工程项目具备实施建设的各方面有利条件，项目建设是完全可行的。 </w:t>
      </w:r>
    </w:p>
    <w:p w14:paraId="341B77EB">
      <w:pPr>
        <w:pStyle w:val="3"/>
        <w:rPr>
          <w:sz w:val="24"/>
          <w:szCs w:val="24"/>
        </w:rPr>
      </w:pPr>
      <w:bookmarkStart w:id="30" w:name="_Toc179900106"/>
      <w:r>
        <w:rPr>
          <w:rFonts w:hint="eastAsia"/>
          <w:sz w:val="24"/>
          <w:szCs w:val="24"/>
        </w:rPr>
        <w:t>3</w:t>
      </w:r>
      <w:r>
        <w:rPr>
          <w:sz w:val="24"/>
          <w:szCs w:val="24"/>
        </w:rPr>
        <w:t xml:space="preserve">.3 </w:t>
      </w:r>
      <w:r>
        <w:rPr>
          <w:rFonts w:hint="eastAsia"/>
          <w:sz w:val="24"/>
          <w:szCs w:val="24"/>
        </w:rPr>
        <w:t>工程任务</w:t>
      </w:r>
      <w:bookmarkEnd w:id="30"/>
      <w:r>
        <w:rPr>
          <w:rFonts w:hint="eastAsia"/>
          <w:sz w:val="24"/>
          <w:szCs w:val="24"/>
        </w:rPr>
        <w:t xml:space="preserve"> </w:t>
      </w:r>
    </w:p>
    <w:p w14:paraId="528A75FF">
      <w:pPr>
        <w:pStyle w:val="4"/>
        <w:rPr>
          <w:sz w:val="24"/>
          <w:szCs w:val="24"/>
        </w:rPr>
      </w:pPr>
      <w:bookmarkStart w:id="31" w:name="_Toc179900107"/>
      <w:r>
        <w:rPr>
          <w:rFonts w:hint="eastAsia"/>
          <w:sz w:val="24"/>
          <w:szCs w:val="24"/>
        </w:rPr>
        <w:t>3</w:t>
      </w:r>
      <w:r>
        <w:rPr>
          <w:sz w:val="24"/>
          <w:szCs w:val="24"/>
        </w:rPr>
        <w:t xml:space="preserve">.3.1 </w:t>
      </w:r>
      <w:r>
        <w:rPr>
          <w:rFonts w:hint="eastAsia"/>
          <w:sz w:val="24"/>
          <w:szCs w:val="24"/>
        </w:rPr>
        <w:t>指导思想</w:t>
      </w:r>
      <w:bookmarkEnd w:id="31"/>
      <w:r>
        <w:rPr>
          <w:rFonts w:hint="eastAsia"/>
          <w:sz w:val="24"/>
          <w:szCs w:val="24"/>
        </w:rPr>
        <w:t xml:space="preserve"> </w:t>
      </w:r>
    </w:p>
    <w:p w14:paraId="3AB57A38">
      <w:pPr>
        <w:spacing w:line="480" w:lineRule="auto"/>
        <w:rPr>
          <w:rFonts w:ascii="宋体" w:hAnsi="宋体" w:eastAsia="宋体"/>
          <w:sz w:val="24"/>
        </w:rPr>
      </w:pPr>
      <w:r>
        <w:rPr>
          <w:rFonts w:hint="eastAsia" w:ascii="宋体" w:hAnsi="宋体" w:eastAsia="宋体"/>
          <w:sz w:val="24"/>
        </w:rPr>
        <w:t>以习近平新时代中国特色社会主义思想为指导，全面贯彻落实党的二十届五中全会精神和习近平总书记</w:t>
      </w:r>
      <w:r>
        <w:rPr>
          <w:rFonts w:ascii="宋体" w:hAnsi="宋体" w:eastAsia="宋体"/>
          <w:sz w:val="24"/>
        </w:rPr>
        <w:t>“</w:t>
      </w:r>
      <w:r>
        <w:rPr>
          <w:rFonts w:hint="eastAsia" w:ascii="宋体" w:hAnsi="宋体" w:eastAsia="宋体"/>
          <w:sz w:val="24"/>
        </w:rPr>
        <w:t>十六字</w:t>
      </w:r>
      <w:r>
        <w:rPr>
          <w:rFonts w:ascii="宋体" w:hAnsi="宋体" w:eastAsia="宋体"/>
          <w:sz w:val="24"/>
        </w:rPr>
        <w:t>”</w:t>
      </w:r>
      <w:r>
        <w:rPr>
          <w:rFonts w:hint="eastAsia" w:ascii="宋体" w:hAnsi="宋体" w:eastAsia="宋体"/>
          <w:sz w:val="24"/>
        </w:rPr>
        <w:t>治水思路，以开展党史学习教育为契机，以</w:t>
      </w:r>
      <w:r>
        <w:rPr>
          <w:rFonts w:ascii="宋体" w:hAnsi="宋体" w:eastAsia="宋体"/>
          <w:sz w:val="24"/>
        </w:rPr>
        <w:t>“</w:t>
      </w:r>
      <w:r>
        <w:rPr>
          <w:rFonts w:hint="eastAsia" w:ascii="宋体" w:hAnsi="宋体" w:eastAsia="宋体"/>
          <w:sz w:val="24"/>
        </w:rPr>
        <w:t>三对标、一规划</w:t>
      </w:r>
      <w:r>
        <w:rPr>
          <w:rFonts w:ascii="宋体" w:hAnsi="宋体" w:eastAsia="宋体"/>
          <w:sz w:val="24"/>
        </w:rPr>
        <w:t>”</w:t>
      </w:r>
      <w:r>
        <w:rPr>
          <w:rFonts w:hint="eastAsia" w:ascii="宋体" w:hAnsi="宋体" w:eastAsia="宋体"/>
          <w:sz w:val="24"/>
        </w:rPr>
        <w:t>专项行动为抓手，明确</w:t>
      </w:r>
      <w:r>
        <w:rPr>
          <w:rFonts w:ascii="宋体" w:hAnsi="宋体" w:eastAsia="宋体"/>
          <w:sz w:val="24"/>
        </w:rPr>
        <w:t>“</w:t>
      </w:r>
      <w:r>
        <w:rPr>
          <w:rFonts w:hint="eastAsia" w:ascii="宋体" w:hAnsi="宋体" w:eastAsia="宋体"/>
          <w:sz w:val="24"/>
        </w:rPr>
        <w:t>十四五</w:t>
      </w:r>
      <w:r>
        <w:rPr>
          <w:rFonts w:ascii="宋体" w:hAnsi="宋体" w:eastAsia="宋体"/>
          <w:sz w:val="24"/>
        </w:rPr>
        <w:t>”</w:t>
      </w:r>
      <w:r>
        <w:rPr>
          <w:rFonts w:hint="eastAsia" w:ascii="宋体" w:hAnsi="宋体" w:eastAsia="宋体"/>
          <w:sz w:val="24"/>
        </w:rPr>
        <w:t xml:space="preserve">水利建设工作任务，以水利工程建设高质量发展为主线，高标准推进水利工程建设，持续规范水利建设市场秩序，大力提升水利工 </w:t>
      </w:r>
    </w:p>
    <w:p w14:paraId="01A0D8F1">
      <w:pPr>
        <w:spacing w:line="480" w:lineRule="auto"/>
        <w:rPr>
          <w:rFonts w:ascii="宋体" w:hAnsi="宋体" w:eastAsia="宋体"/>
          <w:sz w:val="24"/>
        </w:rPr>
      </w:pPr>
      <w:r>
        <w:rPr>
          <w:rFonts w:hint="eastAsia" w:ascii="宋体" w:hAnsi="宋体" w:eastAsia="宋体"/>
          <w:sz w:val="24"/>
        </w:rPr>
        <w:t>程建设管理水平，切实保障水利工程质量安全，实现</w:t>
      </w:r>
      <w:r>
        <w:rPr>
          <w:rFonts w:ascii="宋体" w:hAnsi="宋体" w:eastAsia="宋体"/>
          <w:sz w:val="24"/>
        </w:rPr>
        <w:t>“</w:t>
      </w:r>
      <w:r>
        <w:rPr>
          <w:rFonts w:hint="eastAsia" w:ascii="宋体" w:hAnsi="宋体" w:eastAsia="宋体"/>
          <w:sz w:val="24"/>
        </w:rPr>
        <w:t>十四五</w:t>
      </w:r>
      <w:r>
        <w:rPr>
          <w:rFonts w:ascii="宋体" w:hAnsi="宋体" w:eastAsia="宋体"/>
          <w:sz w:val="24"/>
        </w:rPr>
        <w:t>”</w:t>
      </w:r>
      <w:r>
        <w:rPr>
          <w:rFonts w:hint="eastAsia" w:ascii="宋体" w:hAnsi="宋体" w:eastAsia="宋体"/>
          <w:sz w:val="24"/>
        </w:rPr>
        <w:t xml:space="preserve">水利工程建设工作良好开局。 </w:t>
      </w:r>
    </w:p>
    <w:p w14:paraId="36BE3048">
      <w:pPr>
        <w:spacing w:line="480" w:lineRule="auto"/>
        <w:rPr>
          <w:rFonts w:ascii="宋体" w:hAnsi="宋体" w:eastAsia="宋体"/>
          <w:sz w:val="24"/>
        </w:rPr>
      </w:pPr>
      <w:r>
        <w:rPr>
          <w:rFonts w:ascii="宋体" w:hAnsi="宋体" w:eastAsia="宋体"/>
          <w:sz w:val="24"/>
        </w:rPr>
        <w:t xml:space="preserve">5.3.2 </w:t>
      </w:r>
      <w:r>
        <w:rPr>
          <w:rFonts w:hint="eastAsia" w:ascii="宋体" w:hAnsi="宋体" w:eastAsia="宋体"/>
          <w:sz w:val="24"/>
        </w:rPr>
        <w:t xml:space="preserve">基本原则 </w:t>
      </w:r>
    </w:p>
    <w:p w14:paraId="7C021C6D">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、坚持项目建设面向乡村地区、面向农村人口，因地制宜，相对集中，突出特色，科学规划的原则； </w:t>
      </w:r>
    </w:p>
    <w:p w14:paraId="14373978">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、坚持统一规划，突出重点，分步实施，分类指导的原则； </w:t>
      </w:r>
    </w:p>
    <w:p w14:paraId="19FE0352">
      <w:pPr>
        <w:spacing w:line="480" w:lineRule="auto"/>
        <w:rPr>
          <w:rFonts w:ascii="宋体" w:hAnsi="宋体" w:eastAsia="宋体"/>
          <w:sz w:val="24"/>
        </w:rPr>
      </w:pPr>
      <w:r>
        <w:rPr>
          <w:rFonts w:ascii="宋体" w:hAnsi="宋体" w:eastAsia="宋体"/>
          <w:sz w:val="24"/>
        </w:rPr>
        <w:t>3</w:t>
      </w:r>
      <w:r>
        <w:rPr>
          <w:rFonts w:hint="eastAsia" w:ascii="宋体" w:hAnsi="宋体" w:eastAsia="宋体"/>
          <w:sz w:val="24"/>
        </w:rPr>
        <w:t xml:space="preserve">、坚持突出重点，量力而行，讲求实效的原则； </w:t>
      </w:r>
    </w:p>
    <w:p w14:paraId="46F56170">
      <w:pPr>
        <w:spacing w:line="480" w:lineRule="auto"/>
        <w:rPr>
          <w:rFonts w:ascii="宋体" w:hAnsi="宋体" w:eastAsia="宋体"/>
          <w:sz w:val="24"/>
        </w:rPr>
      </w:pPr>
      <w:r>
        <w:rPr>
          <w:rFonts w:ascii="宋体" w:hAnsi="宋体" w:eastAsia="宋体"/>
          <w:sz w:val="24"/>
        </w:rPr>
        <w:t>4</w:t>
      </w:r>
      <w:r>
        <w:rPr>
          <w:rFonts w:hint="eastAsia" w:ascii="宋体" w:hAnsi="宋体" w:eastAsia="宋体"/>
          <w:sz w:val="24"/>
        </w:rPr>
        <w:t xml:space="preserve">、坚持项目建设突出农田水利基础设施建设，显著提高水资源利用率和单位产出率的原则； </w:t>
      </w:r>
    </w:p>
    <w:p w14:paraId="406492A2">
      <w:pPr>
        <w:spacing w:line="480" w:lineRule="auto"/>
        <w:rPr>
          <w:rFonts w:ascii="宋体" w:hAnsi="宋体" w:eastAsia="宋体"/>
          <w:sz w:val="24"/>
        </w:rPr>
      </w:pPr>
      <w:r>
        <w:rPr>
          <w:rFonts w:ascii="宋体" w:hAnsi="宋体" w:eastAsia="宋体"/>
          <w:sz w:val="24"/>
        </w:rPr>
        <w:t>5</w:t>
      </w:r>
      <w:r>
        <w:rPr>
          <w:rFonts w:hint="eastAsia" w:ascii="宋体" w:hAnsi="宋体" w:eastAsia="宋体"/>
          <w:sz w:val="24"/>
        </w:rPr>
        <w:t xml:space="preserve">、坚持项目建设与生态环境建设以及其他扶贫开发项目相结合的原则； </w:t>
      </w:r>
    </w:p>
    <w:p w14:paraId="1B18E1B2">
      <w:pPr>
        <w:spacing w:line="480" w:lineRule="auto"/>
        <w:rPr>
          <w:rFonts w:ascii="宋体" w:hAnsi="宋体" w:eastAsia="宋体"/>
          <w:sz w:val="24"/>
        </w:rPr>
      </w:pPr>
      <w:r>
        <w:rPr>
          <w:rFonts w:ascii="宋体" w:hAnsi="宋体" w:eastAsia="宋体"/>
          <w:sz w:val="24"/>
        </w:rPr>
        <w:t>6</w:t>
      </w:r>
      <w:r>
        <w:rPr>
          <w:rFonts w:hint="eastAsia" w:ascii="宋体" w:hAnsi="宋体" w:eastAsia="宋体"/>
          <w:sz w:val="24"/>
        </w:rPr>
        <w:t xml:space="preserve">、坚持促进乡村地区区域经济快速发展，优化农业生产结构，增加农村农民收入的原则； </w:t>
      </w:r>
    </w:p>
    <w:p w14:paraId="738310DC">
      <w:pPr>
        <w:spacing w:line="480" w:lineRule="auto"/>
        <w:rPr>
          <w:rFonts w:ascii="宋体" w:hAnsi="宋体" w:eastAsia="宋体"/>
          <w:sz w:val="24"/>
        </w:rPr>
      </w:pPr>
      <w:r>
        <w:rPr>
          <w:rFonts w:ascii="宋体" w:hAnsi="宋体" w:eastAsia="宋体"/>
          <w:sz w:val="24"/>
        </w:rPr>
        <w:t>7</w:t>
      </w:r>
      <w:r>
        <w:rPr>
          <w:rFonts w:hint="eastAsia" w:ascii="宋体" w:hAnsi="宋体" w:eastAsia="宋体"/>
          <w:sz w:val="24"/>
        </w:rPr>
        <w:t xml:space="preserve">、坚持项目建设与乡村区域水土资源合理利用、生态环境保护相结合，实现可持续发展的原则。 </w:t>
      </w:r>
    </w:p>
    <w:p w14:paraId="73FBAC91">
      <w:pPr>
        <w:pStyle w:val="4"/>
        <w:rPr>
          <w:sz w:val="24"/>
          <w:szCs w:val="24"/>
        </w:rPr>
      </w:pPr>
      <w:bookmarkStart w:id="32" w:name="_Toc179900108"/>
      <w:r>
        <w:rPr>
          <w:rFonts w:hint="eastAsia"/>
          <w:sz w:val="24"/>
          <w:szCs w:val="24"/>
        </w:rPr>
        <w:t>3</w:t>
      </w:r>
      <w:r>
        <w:rPr>
          <w:sz w:val="24"/>
          <w:szCs w:val="24"/>
        </w:rPr>
        <w:t xml:space="preserve">.3.3 </w:t>
      </w:r>
      <w:r>
        <w:rPr>
          <w:rFonts w:hint="eastAsia"/>
          <w:sz w:val="24"/>
          <w:szCs w:val="24"/>
        </w:rPr>
        <w:t>建设任务和目标</w:t>
      </w:r>
      <w:bookmarkEnd w:id="32"/>
      <w:r>
        <w:rPr>
          <w:rFonts w:hint="eastAsia"/>
          <w:sz w:val="24"/>
          <w:szCs w:val="24"/>
        </w:rPr>
        <w:t xml:space="preserve"> </w:t>
      </w:r>
    </w:p>
    <w:p w14:paraId="4482CB9B">
      <w:pPr>
        <w:spacing w:line="480" w:lineRule="auto"/>
        <w:rPr>
          <w:rFonts w:ascii="宋体" w:hAnsi="宋体" w:eastAsia="宋体"/>
          <w:sz w:val="24"/>
        </w:rPr>
      </w:pPr>
      <w:r>
        <w:rPr>
          <w:rFonts w:hint="eastAsia" w:ascii="宋体" w:hAnsi="宋体" w:eastAsia="宋体"/>
          <w:sz w:val="24"/>
        </w:rPr>
        <w:t>本项目现状水平年为</w:t>
      </w:r>
      <w:r>
        <w:rPr>
          <w:rFonts w:ascii="宋体" w:hAnsi="宋体" w:eastAsia="宋体"/>
          <w:sz w:val="24"/>
        </w:rPr>
        <w:t>2023</w:t>
      </w:r>
      <w:r>
        <w:rPr>
          <w:rFonts w:hint="eastAsia" w:ascii="宋体" w:hAnsi="宋体" w:eastAsia="宋体"/>
          <w:sz w:val="24"/>
        </w:rPr>
        <w:t>年，设计水平年为</w:t>
      </w:r>
      <w:r>
        <w:rPr>
          <w:rFonts w:ascii="宋体" w:hAnsi="宋体" w:eastAsia="宋体"/>
          <w:sz w:val="24"/>
        </w:rPr>
        <w:t>2024</w:t>
      </w:r>
      <w:r>
        <w:rPr>
          <w:rFonts w:hint="eastAsia" w:ascii="宋体" w:hAnsi="宋体" w:eastAsia="宋体"/>
          <w:sz w:val="24"/>
        </w:rPr>
        <w:t xml:space="preserve">年。 </w:t>
      </w:r>
    </w:p>
    <w:p w14:paraId="177EA666">
      <w:pPr>
        <w:spacing w:line="480" w:lineRule="auto"/>
        <w:rPr>
          <w:rFonts w:ascii="宋体" w:hAnsi="宋体" w:eastAsia="宋体"/>
          <w:sz w:val="24"/>
        </w:rPr>
      </w:pPr>
      <w:r>
        <w:rPr>
          <w:rFonts w:hint="eastAsia" w:ascii="宋体" w:hAnsi="宋体" w:eastAsia="宋体"/>
          <w:sz w:val="24"/>
        </w:rPr>
        <w:t>建设任务为防渗渠道计量设施不锈钢水尺共计460座及平板电脑采购及APP安装调试。</w:t>
      </w:r>
    </w:p>
    <w:p w14:paraId="3E967991">
      <w:pPr>
        <w:spacing w:line="480" w:lineRule="auto"/>
        <w:rPr>
          <w:rFonts w:ascii="宋体" w:hAnsi="宋体" w:eastAsia="宋体"/>
          <w:sz w:val="24"/>
        </w:rPr>
      </w:pPr>
      <w:r>
        <w:rPr>
          <w:rFonts w:hint="eastAsia" w:ascii="宋体" w:hAnsi="宋体" w:eastAsia="宋体"/>
          <w:sz w:val="24"/>
        </w:rPr>
        <w:t xml:space="preserve">项目灌溉设计标准为灌溉保证率 </w:t>
      </w:r>
      <w:r>
        <w:rPr>
          <w:rFonts w:ascii="宋体" w:hAnsi="宋体" w:eastAsia="宋体"/>
          <w:sz w:val="24"/>
        </w:rPr>
        <w:t>75%</w:t>
      </w:r>
      <w:r>
        <w:rPr>
          <w:rFonts w:hint="eastAsia" w:ascii="宋体" w:hAnsi="宋体" w:eastAsia="宋体"/>
          <w:sz w:val="24"/>
        </w:rPr>
        <w:t xml:space="preserve">，灌溉水利用系数 </w:t>
      </w:r>
      <w:r>
        <w:rPr>
          <w:rFonts w:ascii="宋体" w:hAnsi="宋体" w:eastAsia="宋体"/>
          <w:sz w:val="24"/>
        </w:rPr>
        <w:t>0.66</w:t>
      </w:r>
      <w:r>
        <w:rPr>
          <w:rFonts w:hint="eastAsia" w:ascii="宋体" w:hAnsi="宋体" w:eastAsia="宋体"/>
          <w:sz w:val="24"/>
        </w:rPr>
        <w:t xml:space="preserve">。 </w:t>
      </w:r>
    </w:p>
    <w:p w14:paraId="604469C1">
      <w:pPr>
        <w:spacing w:line="480" w:lineRule="auto"/>
        <w:rPr>
          <w:rFonts w:ascii="宋体" w:hAnsi="宋体" w:eastAsia="宋体"/>
          <w:sz w:val="24"/>
        </w:rPr>
      </w:pPr>
      <w:r>
        <w:rPr>
          <w:rFonts w:ascii="宋体" w:hAnsi="宋体" w:eastAsia="宋体"/>
          <w:sz w:val="24"/>
        </w:rPr>
        <w:t xml:space="preserve">5.3.4 </w:t>
      </w:r>
      <w:r>
        <w:rPr>
          <w:rFonts w:hint="eastAsia" w:ascii="宋体" w:hAnsi="宋体" w:eastAsia="宋体"/>
          <w:sz w:val="24"/>
        </w:rPr>
        <w:t xml:space="preserve">工程规模 </w:t>
      </w:r>
    </w:p>
    <w:p w14:paraId="5ED54486">
      <w:pPr>
        <w:spacing w:line="480" w:lineRule="auto"/>
        <w:rPr>
          <w:rFonts w:ascii="宋体" w:hAnsi="宋体" w:eastAsia="宋体"/>
          <w:sz w:val="24"/>
        </w:rPr>
      </w:pPr>
      <w:r>
        <w:rPr>
          <w:rFonts w:hint="eastAsia" w:ascii="宋体" w:hAnsi="宋体" w:eastAsia="宋体"/>
          <w:sz w:val="24"/>
        </w:rPr>
        <w:t>工程共新建防渗渠道计量设施不锈钢水尺共计460座及平板电脑采购及APP安装调试。</w:t>
      </w:r>
    </w:p>
    <w:p w14:paraId="6BD53242">
      <w:pPr>
        <w:spacing w:line="480" w:lineRule="auto"/>
        <w:rPr>
          <w:rFonts w:ascii="宋体" w:hAnsi="宋体" w:eastAsia="宋体"/>
          <w:sz w:val="24"/>
        </w:rPr>
      </w:pPr>
      <w:r>
        <w:rPr>
          <w:rFonts w:hint="eastAsia" w:ascii="宋体" w:hAnsi="宋体" w:eastAsia="宋体"/>
          <w:sz w:val="24"/>
        </w:rPr>
        <w:t>本工程根据《灌溉与排水工程设计标准》</w:t>
      </w:r>
      <w:r>
        <w:rPr>
          <w:rFonts w:ascii="宋体" w:hAnsi="宋体" w:eastAsia="宋体"/>
          <w:sz w:val="24"/>
        </w:rPr>
        <w:t>(GB50288</w:t>
      </w:r>
      <w:r>
        <w:rPr>
          <w:rFonts w:hint="eastAsia" w:ascii="宋体" w:hAnsi="宋体" w:eastAsia="宋体"/>
          <w:sz w:val="24"/>
        </w:rPr>
        <w:t>—</w:t>
      </w:r>
      <w:r>
        <w:rPr>
          <w:rFonts w:ascii="宋体" w:hAnsi="宋体" w:eastAsia="宋体"/>
          <w:sz w:val="24"/>
        </w:rPr>
        <w:t>2018</w:t>
      </w:r>
      <w:r>
        <w:rPr>
          <w:rFonts w:hint="eastAsia" w:ascii="宋体" w:hAnsi="宋体" w:eastAsia="宋体"/>
          <w:sz w:val="24"/>
        </w:rPr>
        <w:t xml:space="preserve">）中规定，本工程级别为 </w:t>
      </w:r>
      <w:r>
        <w:rPr>
          <w:rFonts w:ascii="宋体" w:hAnsi="宋体" w:eastAsia="宋体"/>
          <w:sz w:val="24"/>
        </w:rPr>
        <w:t xml:space="preserve">5 </w:t>
      </w:r>
      <w:r>
        <w:rPr>
          <w:rFonts w:hint="eastAsia" w:ascii="宋体" w:hAnsi="宋体" w:eastAsia="宋体"/>
          <w:sz w:val="24"/>
        </w:rPr>
        <w:t xml:space="preserve">级，建筑物级别为 </w:t>
      </w:r>
      <w:r>
        <w:rPr>
          <w:rFonts w:ascii="宋体" w:hAnsi="宋体" w:eastAsia="宋体"/>
          <w:sz w:val="24"/>
        </w:rPr>
        <w:t xml:space="preserve">5 </w:t>
      </w:r>
      <w:r>
        <w:rPr>
          <w:rFonts w:hint="eastAsia" w:ascii="宋体" w:hAnsi="宋体" w:eastAsia="宋体"/>
          <w:sz w:val="24"/>
        </w:rPr>
        <w:t>级；根据《水利水电工程等级划分及洪水标准》（</w:t>
      </w:r>
      <w:r>
        <w:rPr>
          <w:rFonts w:ascii="宋体" w:hAnsi="宋体" w:eastAsia="宋体"/>
          <w:sz w:val="24"/>
        </w:rPr>
        <w:t>SL252-2017</w:t>
      </w:r>
      <w:r>
        <w:rPr>
          <w:rFonts w:hint="eastAsia" w:ascii="宋体" w:hAnsi="宋体" w:eastAsia="宋体"/>
          <w:sz w:val="24"/>
        </w:rPr>
        <w:t>），工程等别为Ⅴ等小（</w:t>
      </w:r>
      <w:r>
        <w:rPr>
          <w:rFonts w:ascii="宋体" w:hAnsi="宋体" w:eastAsia="宋体"/>
          <w:sz w:val="24"/>
        </w:rPr>
        <w:t>2</w:t>
      </w:r>
      <w:r>
        <w:rPr>
          <w:rFonts w:hint="eastAsia" w:ascii="宋体" w:hAnsi="宋体" w:eastAsia="宋体"/>
          <w:sz w:val="24"/>
        </w:rPr>
        <w:t>）型。</w:t>
      </w:r>
    </w:p>
    <w:p w14:paraId="21DBDF19">
      <w:pPr>
        <w:pStyle w:val="2"/>
        <w:jc w:val="center"/>
      </w:pPr>
      <w:bookmarkStart w:id="33" w:name="_Toc179900109"/>
      <w:r>
        <w:rPr>
          <w:rFonts w:hint="eastAsia"/>
        </w:rPr>
        <w:t>4</w:t>
      </w:r>
      <w:r>
        <w:t xml:space="preserve"> </w:t>
      </w:r>
      <w:r>
        <w:rPr>
          <w:rFonts w:hint="eastAsia"/>
        </w:rPr>
        <w:t>工程布置及建筑物</w:t>
      </w:r>
      <w:bookmarkEnd w:id="33"/>
    </w:p>
    <w:p w14:paraId="629C8E4C">
      <w:pPr>
        <w:pStyle w:val="3"/>
        <w:rPr>
          <w:sz w:val="24"/>
          <w:szCs w:val="24"/>
        </w:rPr>
      </w:pPr>
      <w:bookmarkStart w:id="34" w:name="_Toc179900110"/>
      <w:r>
        <w:rPr>
          <w:rFonts w:hint="eastAsia"/>
          <w:sz w:val="24"/>
          <w:szCs w:val="24"/>
        </w:rPr>
        <w:t>4.</w:t>
      </w:r>
      <w:r>
        <w:rPr>
          <w:sz w:val="24"/>
          <w:szCs w:val="24"/>
        </w:rPr>
        <w:t xml:space="preserve">1 </w:t>
      </w:r>
      <w:r>
        <w:rPr>
          <w:rFonts w:hint="eastAsia"/>
          <w:sz w:val="24"/>
          <w:szCs w:val="24"/>
        </w:rPr>
        <w:t>设计依据</w:t>
      </w:r>
      <w:bookmarkEnd w:id="34"/>
      <w:r>
        <w:rPr>
          <w:rFonts w:hint="eastAsia"/>
          <w:sz w:val="24"/>
          <w:szCs w:val="24"/>
        </w:rPr>
        <w:t xml:space="preserve"> </w:t>
      </w:r>
    </w:p>
    <w:p w14:paraId="69274BC4">
      <w:pPr>
        <w:pStyle w:val="4"/>
        <w:rPr>
          <w:sz w:val="24"/>
          <w:szCs w:val="24"/>
        </w:rPr>
      </w:pPr>
      <w:bookmarkStart w:id="35" w:name="_Toc179900111"/>
      <w:r>
        <w:rPr>
          <w:rFonts w:hint="eastAsia"/>
          <w:sz w:val="24"/>
          <w:szCs w:val="24"/>
        </w:rPr>
        <w:t>4</w:t>
      </w:r>
      <w:r>
        <w:rPr>
          <w:sz w:val="24"/>
          <w:szCs w:val="24"/>
        </w:rPr>
        <w:t xml:space="preserve">.1.1 </w:t>
      </w:r>
      <w:r>
        <w:rPr>
          <w:rFonts w:hint="eastAsia"/>
          <w:sz w:val="24"/>
          <w:szCs w:val="24"/>
        </w:rPr>
        <w:t>技术标准</w:t>
      </w:r>
      <w:bookmarkEnd w:id="35"/>
      <w:r>
        <w:rPr>
          <w:rFonts w:hint="eastAsia"/>
          <w:sz w:val="24"/>
          <w:szCs w:val="24"/>
        </w:rPr>
        <w:t xml:space="preserve"> </w:t>
      </w:r>
    </w:p>
    <w:p w14:paraId="5EA449A6">
      <w:pPr>
        <w:spacing w:line="480" w:lineRule="auto"/>
        <w:rPr>
          <w:rFonts w:ascii="宋体" w:hAnsi="宋体" w:eastAsia="宋体"/>
          <w:sz w:val="24"/>
        </w:rPr>
      </w:pPr>
      <w:r>
        <w:rPr>
          <w:rFonts w:ascii="宋体" w:hAnsi="宋体" w:eastAsia="宋体"/>
          <w:sz w:val="24"/>
        </w:rPr>
        <w:t xml:space="preserve">1) </w:t>
      </w:r>
      <w:r>
        <w:rPr>
          <w:rFonts w:hint="eastAsia" w:ascii="宋体" w:hAnsi="宋体" w:eastAsia="宋体"/>
          <w:sz w:val="24"/>
        </w:rPr>
        <w:t>《灌溉排水工程项目初步设计报告编制规程》</w:t>
      </w:r>
      <w:r>
        <w:rPr>
          <w:rFonts w:ascii="宋体" w:hAnsi="宋体" w:eastAsia="宋体"/>
          <w:sz w:val="24"/>
        </w:rPr>
        <w:t>(SLT533-2021)</w:t>
      </w:r>
      <w:r>
        <w:rPr>
          <w:rFonts w:hint="eastAsia" w:ascii="宋体" w:hAnsi="宋体" w:eastAsia="宋体"/>
          <w:sz w:val="24"/>
        </w:rPr>
        <w:t xml:space="preserve">； </w:t>
      </w:r>
    </w:p>
    <w:p w14:paraId="31DF6FF1">
      <w:pPr>
        <w:spacing w:line="480" w:lineRule="auto"/>
        <w:rPr>
          <w:rFonts w:ascii="宋体" w:hAnsi="宋体" w:eastAsia="宋体"/>
          <w:sz w:val="24"/>
        </w:rPr>
      </w:pPr>
      <w:r>
        <w:rPr>
          <w:rFonts w:ascii="宋体" w:hAnsi="宋体" w:eastAsia="宋体"/>
          <w:sz w:val="24"/>
        </w:rPr>
        <w:t xml:space="preserve">2) </w:t>
      </w:r>
      <w:r>
        <w:rPr>
          <w:rFonts w:hint="eastAsia" w:ascii="宋体" w:hAnsi="宋体" w:eastAsia="宋体"/>
          <w:sz w:val="24"/>
        </w:rPr>
        <w:t>《灌溉与排水工程设计标准》</w:t>
      </w:r>
      <w:r>
        <w:rPr>
          <w:rFonts w:ascii="宋体" w:hAnsi="宋体" w:eastAsia="宋体"/>
          <w:sz w:val="24"/>
        </w:rPr>
        <w:t>(GB50288-2018)</w:t>
      </w:r>
      <w:r>
        <w:rPr>
          <w:rFonts w:hint="eastAsia" w:ascii="宋体" w:hAnsi="宋体" w:eastAsia="宋体"/>
          <w:sz w:val="24"/>
        </w:rPr>
        <w:t xml:space="preserve">； </w:t>
      </w:r>
    </w:p>
    <w:p w14:paraId="45A52A31">
      <w:pPr>
        <w:spacing w:line="480" w:lineRule="auto"/>
        <w:rPr>
          <w:rFonts w:ascii="宋体" w:hAnsi="宋体" w:eastAsia="宋体"/>
          <w:sz w:val="24"/>
        </w:rPr>
      </w:pPr>
      <w:r>
        <w:rPr>
          <w:rFonts w:ascii="宋体" w:hAnsi="宋体" w:eastAsia="宋体"/>
          <w:sz w:val="24"/>
        </w:rPr>
        <w:t xml:space="preserve">3) </w:t>
      </w:r>
      <w:r>
        <w:rPr>
          <w:rFonts w:hint="eastAsia" w:ascii="宋体" w:hAnsi="宋体" w:eastAsia="宋体"/>
          <w:sz w:val="24"/>
        </w:rPr>
        <w:t>《渠道防渗衬砌工程技术标准》</w:t>
      </w:r>
      <w:r>
        <w:rPr>
          <w:rFonts w:ascii="宋体" w:hAnsi="宋体" w:eastAsia="宋体"/>
          <w:sz w:val="24"/>
        </w:rPr>
        <w:t>(GBT50600-2020)</w:t>
      </w:r>
      <w:r>
        <w:rPr>
          <w:rFonts w:hint="eastAsia" w:ascii="宋体" w:hAnsi="宋体" w:eastAsia="宋体"/>
          <w:sz w:val="24"/>
        </w:rPr>
        <w:t xml:space="preserve">； </w:t>
      </w:r>
    </w:p>
    <w:p w14:paraId="4CB172C5">
      <w:pPr>
        <w:spacing w:line="480" w:lineRule="auto"/>
        <w:rPr>
          <w:rFonts w:ascii="宋体" w:hAnsi="宋体" w:eastAsia="宋体"/>
          <w:sz w:val="24"/>
        </w:rPr>
      </w:pPr>
      <w:r>
        <w:rPr>
          <w:rFonts w:ascii="宋体" w:hAnsi="宋体" w:eastAsia="宋体"/>
          <w:sz w:val="24"/>
        </w:rPr>
        <w:t xml:space="preserve">4) </w:t>
      </w:r>
      <w:r>
        <w:rPr>
          <w:rFonts w:hint="eastAsia" w:ascii="宋体" w:hAnsi="宋体" w:eastAsia="宋体"/>
          <w:sz w:val="24"/>
        </w:rPr>
        <w:t>《水工建筑物抗冰冻设计规范》</w:t>
      </w:r>
      <w:r>
        <w:rPr>
          <w:rFonts w:ascii="宋体" w:hAnsi="宋体" w:eastAsia="宋体"/>
          <w:sz w:val="24"/>
        </w:rPr>
        <w:t>(GBT50662-2011)</w:t>
      </w:r>
      <w:r>
        <w:rPr>
          <w:rFonts w:hint="eastAsia" w:ascii="宋体" w:hAnsi="宋体" w:eastAsia="宋体"/>
          <w:sz w:val="24"/>
        </w:rPr>
        <w:t xml:space="preserve">； </w:t>
      </w:r>
    </w:p>
    <w:p w14:paraId="31148315">
      <w:pPr>
        <w:spacing w:line="480" w:lineRule="auto"/>
        <w:rPr>
          <w:rFonts w:ascii="宋体" w:hAnsi="宋体" w:eastAsia="宋体"/>
          <w:sz w:val="24"/>
        </w:rPr>
      </w:pPr>
      <w:r>
        <w:rPr>
          <w:rFonts w:ascii="宋体" w:hAnsi="宋体" w:eastAsia="宋体"/>
          <w:sz w:val="24"/>
        </w:rPr>
        <w:t xml:space="preserve">5) </w:t>
      </w:r>
      <w:r>
        <w:rPr>
          <w:rFonts w:hint="eastAsia" w:ascii="宋体" w:hAnsi="宋体" w:eastAsia="宋体"/>
          <w:sz w:val="24"/>
        </w:rPr>
        <w:t>《水闸设计规范》</w:t>
      </w:r>
      <w:r>
        <w:rPr>
          <w:rFonts w:ascii="宋体" w:hAnsi="宋体" w:eastAsia="宋体"/>
          <w:sz w:val="24"/>
        </w:rPr>
        <w:t>(SL265-2016)</w:t>
      </w:r>
      <w:r>
        <w:rPr>
          <w:rFonts w:hint="eastAsia" w:ascii="宋体" w:hAnsi="宋体" w:eastAsia="宋体"/>
          <w:sz w:val="24"/>
        </w:rPr>
        <w:t xml:space="preserve">； </w:t>
      </w:r>
    </w:p>
    <w:p w14:paraId="7AF02AA4">
      <w:pPr>
        <w:spacing w:line="480" w:lineRule="auto"/>
        <w:rPr>
          <w:rFonts w:ascii="宋体" w:hAnsi="宋体" w:eastAsia="宋体"/>
          <w:sz w:val="24"/>
        </w:rPr>
      </w:pPr>
      <w:r>
        <w:rPr>
          <w:rFonts w:ascii="宋体" w:hAnsi="宋体" w:eastAsia="宋体"/>
          <w:sz w:val="24"/>
        </w:rPr>
        <w:t xml:space="preserve">6) </w:t>
      </w:r>
      <w:r>
        <w:rPr>
          <w:rFonts w:hint="eastAsia" w:ascii="宋体" w:hAnsi="宋体" w:eastAsia="宋体"/>
          <w:sz w:val="24"/>
        </w:rPr>
        <w:t>《水工建筑物抗震设计标准》</w:t>
      </w:r>
      <w:r>
        <w:rPr>
          <w:rFonts w:ascii="宋体" w:hAnsi="宋体" w:eastAsia="宋体"/>
          <w:sz w:val="24"/>
        </w:rPr>
        <w:t>(GB51247-2018)</w:t>
      </w:r>
      <w:r>
        <w:rPr>
          <w:rFonts w:hint="eastAsia" w:ascii="宋体" w:hAnsi="宋体" w:eastAsia="宋体"/>
          <w:sz w:val="24"/>
        </w:rPr>
        <w:t xml:space="preserve">； </w:t>
      </w:r>
    </w:p>
    <w:p w14:paraId="2F1208A4">
      <w:pPr>
        <w:spacing w:line="480" w:lineRule="auto"/>
        <w:rPr>
          <w:rFonts w:ascii="宋体" w:hAnsi="宋体" w:eastAsia="宋体"/>
          <w:sz w:val="24"/>
        </w:rPr>
      </w:pPr>
      <w:r>
        <w:rPr>
          <w:rFonts w:ascii="宋体" w:hAnsi="宋体" w:eastAsia="宋体"/>
          <w:sz w:val="24"/>
        </w:rPr>
        <w:t xml:space="preserve">7) </w:t>
      </w:r>
      <w:r>
        <w:rPr>
          <w:rFonts w:hint="eastAsia" w:ascii="宋体" w:hAnsi="宋体" w:eastAsia="宋体"/>
          <w:sz w:val="24"/>
        </w:rPr>
        <w:t>《灌溉与排水渠系建筑物设计规范》</w:t>
      </w:r>
      <w:r>
        <w:rPr>
          <w:rFonts w:ascii="宋体" w:hAnsi="宋体" w:eastAsia="宋体"/>
          <w:sz w:val="24"/>
        </w:rPr>
        <w:t>(SL482-2011)</w:t>
      </w:r>
      <w:r>
        <w:rPr>
          <w:rFonts w:hint="eastAsia" w:ascii="宋体" w:hAnsi="宋体" w:eastAsia="宋体"/>
          <w:sz w:val="24"/>
        </w:rPr>
        <w:t xml:space="preserve">； </w:t>
      </w:r>
    </w:p>
    <w:p w14:paraId="40B6EF8F">
      <w:pPr>
        <w:spacing w:line="480" w:lineRule="auto"/>
        <w:rPr>
          <w:rFonts w:ascii="宋体" w:hAnsi="宋体" w:eastAsia="宋体"/>
          <w:sz w:val="24"/>
        </w:rPr>
      </w:pPr>
      <w:r>
        <w:rPr>
          <w:rFonts w:ascii="宋体" w:hAnsi="宋体" w:eastAsia="宋体"/>
          <w:sz w:val="24"/>
        </w:rPr>
        <w:t xml:space="preserve">8) </w:t>
      </w:r>
      <w:r>
        <w:rPr>
          <w:rFonts w:hint="eastAsia" w:ascii="宋体" w:hAnsi="宋体" w:eastAsia="宋体"/>
          <w:sz w:val="24"/>
        </w:rPr>
        <w:t>《水工钢筋混凝土结构设计规范》</w:t>
      </w:r>
      <w:r>
        <w:rPr>
          <w:rFonts w:ascii="宋体" w:hAnsi="宋体" w:eastAsia="宋体"/>
          <w:sz w:val="24"/>
        </w:rPr>
        <w:t>(SL191-2008)</w:t>
      </w:r>
      <w:r>
        <w:rPr>
          <w:rFonts w:hint="eastAsia" w:ascii="宋体" w:hAnsi="宋体" w:eastAsia="宋体"/>
          <w:sz w:val="24"/>
        </w:rPr>
        <w:t xml:space="preserve">； </w:t>
      </w:r>
    </w:p>
    <w:p w14:paraId="300B2537">
      <w:pPr>
        <w:spacing w:line="480" w:lineRule="auto"/>
        <w:rPr>
          <w:rFonts w:ascii="宋体" w:hAnsi="宋体" w:eastAsia="宋体"/>
          <w:sz w:val="24"/>
        </w:rPr>
      </w:pPr>
      <w:r>
        <w:rPr>
          <w:rFonts w:ascii="宋体" w:hAnsi="宋体" w:eastAsia="宋体"/>
          <w:sz w:val="24"/>
        </w:rPr>
        <w:t xml:space="preserve">9) </w:t>
      </w:r>
      <w:r>
        <w:rPr>
          <w:rFonts w:hint="eastAsia" w:ascii="宋体" w:hAnsi="宋体" w:eastAsia="宋体"/>
          <w:sz w:val="24"/>
        </w:rPr>
        <w:t>《水利水电工程施工组织设计规范》</w:t>
      </w:r>
      <w:r>
        <w:rPr>
          <w:rFonts w:ascii="宋体" w:hAnsi="宋体" w:eastAsia="宋体"/>
          <w:sz w:val="24"/>
        </w:rPr>
        <w:t>(SL303-2017)</w:t>
      </w:r>
      <w:r>
        <w:rPr>
          <w:rFonts w:hint="eastAsia" w:ascii="宋体" w:hAnsi="宋体" w:eastAsia="宋体"/>
          <w:sz w:val="24"/>
        </w:rPr>
        <w:t xml:space="preserve">； </w:t>
      </w:r>
    </w:p>
    <w:p w14:paraId="7C7DA198">
      <w:pPr>
        <w:spacing w:line="480" w:lineRule="auto"/>
        <w:rPr>
          <w:rFonts w:ascii="宋体" w:hAnsi="宋体" w:eastAsia="宋体"/>
          <w:sz w:val="24"/>
        </w:rPr>
      </w:pPr>
      <w:r>
        <w:rPr>
          <w:rFonts w:ascii="宋体" w:hAnsi="宋体" w:eastAsia="宋体"/>
          <w:sz w:val="24"/>
        </w:rPr>
        <w:t xml:space="preserve">10) </w:t>
      </w:r>
      <w:r>
        <w:rPr>
          <w:rFonts w:hint="eastAsia" w:ascii="宋体" w:hAnsi="宋体" w:eastAsia="宋体"/>
          <w:sz w:val="24"/>
        </w:rPr>
        <w:t>《水利水电工程等级划分及洪水标准》</w:t>
      </w:r>
      <w:r>
        <w:rPr>
          <w:rFonts w:ascii="宋体" w:hAnsi="宋体" w:eastAsia="宋体"/>
          <w:sz w:val="24"/>
        </w:rPr>
        <w:t>(SL252-2017)</w:t>
      </w:r>
      <w:r>
        <w:rPr>
          <w:rFonts w:hint="eastAsia" w:ascii="宋体" w:hAnsi="宋体" w:eastAsia="宋体"/>
          <w:sz w:val="24"/>
        </w:rPr>
        <w:t xml:space="preserve">； </w:t>
      </w:r>
    </w:p>
    <w:p w14:paraId="58A2270A">
      <w:pPr>
        <w:spacing w:line="480" w:lineRule="auto"/>
        <w:rPr>
          <w:rFonts w:ascii="宋体" w:hAnsi="宋体" w:eastAsia="宋体"/>
          <w:sz w:val="24"/>
        </w:rPr>
      </w:pPr>
      <w:r>
        <w:rPr>
          <w:rFonts w:ascii="宋体" w:hAnsi="宋体" w:eastAsia="宋体"/>
          <w:sz w:val="24"/>
        </w:rPr>
        <w:t xml:space="preserve">11) </w:t>
      </w:r>
      <w:r>
        <w:rPr>
          <w:rFonts w:hint="eastAsia" w:ascii="宋体" w:hAnsi="宋体" w:eastAsia="宋体"/>
          <w:sz w:val="24"/>
        </w:rPr>
        <w:t>《防洪标准》</w:t>
      </w:r>
      <w:r>
        <w:rPr>
          <w:rFonts w:ascii="宋体" w:hAnsi="宋体" w:eastAsia="宋体"/>
          <w:sz w:val="24"/>
        </w:rPr>
        <w:t>(GB50201-2014)</w:t>
      </w:r>
      <w:r>
        <w:rPr>
          <w:rFonts w:hint="eastAsia" w:ascii="宋体" w:hAnsi="宋体" w:eastAsia="宋体"/>
          <w:sz w:val="24"/>
        </w:rPr>
        <w:t xml:space="preserve">； </w:t>
      </w:r>
    </w:p>
    <w:p w14:paraId="12BA0C0E">
      <w:pPr>
        <w:spacing w:line="480" w:lineRule="auto"/>
        <w:rPr>
          <w:rFonts w:ascii="宋体" w:hAnsi="宋体" w:eastAsia="宋体"/>
          <w:sz w:val="24"/>
        </w:rPr>
      </w:pPr>
      <w:r>
        <w:rPr>
          <w:rFonts w:ascii="宋体" w:hAnsi="宋体" w:eastAsia="宋体"/>
          <w:sz w:val="24"/>
        </w:rPr>
        <w:t xml:space="preserve">12) </w:t>
      </w:r>
      <w:r>
        <w:rPr>
          <w:rFonts w:hint="eastAsia" w:ascii="宋体" w:hAnsi="宋体" w:eastAsia="宋体"/>
          <w:sz w:val="24"/>
        </w:rPr>
        <w:t>《水利水电工程钢闸门设计规范》</w:t>
      </w:r>
      <w:r>
        <w:rPr>
          <w:rFonts w:ascii="宋体" w:hAnsi="宋体" w:eastAsia="宋体"/>
          <w:sz w:val="24"/>
        </w:rPr>
        <w:t>(SL74-2019)</w:t>
      </w:r>
      <w:r>
        <w:rPr>
          <w:rFonts w:hint="eastAsia" w:ascii="宋体" w:hAnsi="宋体" w:eastAsia="宋体"/>
          <w:sz w:val="24"/>
        </w:rPr>
        <w:t xml:space="preserve">； </w:t>
      </w:r>
    </w:p>
    <w:p w14:paraId="6DEAE1C7">
      <w:pPr>
        <w:spacing w:line="480" w:lineRule="auto"/>
        <w:rPr>
          <w:rFonts w:ascii="宋体" w:hAnsi="宋体" w:eastAsia="宋体"/>
          <w:sz w:val="24"/>
        </w:rPr>
      </w:pPr>
      <w:r>
        <w:rPr>
          <w:rFonts w:ascii="宋体" w:hAnsi="宋体" w:eastAsia="宋体"/>
          <w:sz w:val="24"/>
        </w:rPr>
        <w:t xml:space="preserve">13) </w:t>
      </w:r>
      <w:r>
        <w:rPr>
          <w:rFonts w:hint="eastAsia" w:ascii="宋体" w:hAnsi="宋体" w:eastAsia="宋体"/>
          <w:sz w:val="24"/>
        </w:rPr>
        <w:t>水利水电工程耐久性设计规范（</w:t>
      </w:r>
      <w:r>
        <w:rPr>
          <w:rFonts w:ascii="宋体" w:hAnsi="宋体" w:eastAsia="宋体"/>
          <w:sz w:val="24"/>
        </w:rPr>
        <w:t>SL654-2014)</w:t>
      </w:r>
      <w:r>
        <w:rPr>
          <w:rFonts w:hint="eastAsia" w:ascii="宋体" w:hAnsi="宋体" w:eastAsia="宋体"/>
          <w:sz w:val="24"/>
        </w:rPr>
        <w:t xml:space="preserve">。 </w:t>
      </w:r>
    </w:p>
    <w:p w14:paraId="1167E3E7">
      <w:pPr>
        <w:spacing w:line="480" w:lineRule="auto"/>
        <w:rPr>
          <w:rFonts w:ascii="宋体" w:hAnsi="宋体" w:eastAsia="宋体"/>
          <w:sz w:val="24"/>
        </w:rPr>
      </w:pPr>
      <w:r>
        <w:rPr>
          <w:rFonts w:ascii="宋体" w:hAnsi="宋体" w:eastAsia="宋体"/>
          <w:sz w:val="24"/>
        </w:rPr>
        <w:t>14</w:t>
      </w:r>
      <w:r>
        <w:rPr>
          <w:rFonts w:hint="eastAsia" w:ascii="宋体" w:hAnsi="宋体" w:eastAsia="宋体"/>
          <w:sz w:val="24"/>
        </w:rPr>
        <w:t xml:space="preserve">）有关其他规范标准文件。 </w:t>
      </w:r>
    </w:p>
    <w:p w14:paraId="642B46A0">
      <w:pPr>
        <w:pStyle w:val="3"/>
        <w:rPr>
          <w:sz w:val="24"/>
          <w:szCs w:val="24"/>
        </w:rPr>
      </w:pPr>
      <w:bookmarkStart w:id="36" w:name="_Toc179900112"/>
      <w:r>
        <w:rPr>
          <w:rFonts w:hint="eastAsia"/>
          <w:sz w:val="24"/>
          <w:szCs w:val="24"/>
        </w:rPr>
        <w:t>4</w:t>
      </w:r>
      <w:r>
        <w:rPr>
          <w:sz w:val="24"/>
          <w:szCs w:val="24"/>
        </w:rPr>
        <w:t xml:space="preserve">.2 </w:t>
      </w:r>
      <w:r>
        <w:rPr>
          <w:rFonts w:hint="eastAsia"/>
          <w:sz w:val="24"/>
          <w:szCs w:val="24"/>
        </w:rPr>
        <w:t>工程等级和标准</w:t>
      </w:r>
      <w:bookmarkEnd w:id="36"/>
      <w:r>
        <w:rPr>
          <w:rFonts w:hint="eastAsia"/>
          <w:sz w:val="24"/>
          <w:szCs w:val="24"/>
        </w:rPr>
        <w:t xml:space="preserve"> </w:t>
      </w:r>
    </w:p>
    <w:p w14:paraId="2D651550">
      <w:pPr>
        <w:pStyle w:val="4"/>
        <w:rPr>
          <w:sz w:val="24"/>
          <w:szCs w:val="24"/>
        </w:rPr>
      </w:pPr>
      <w:bookmarkStart w:id="37" w:name="_Toc179900113"/>
      <w:r>
        <w:rPr>
          <w:rFonts w:hint="eastAsia"/>
          <w:sz w:val="24"/>
          <w:szCs w:val="24"/>
        </w:rPr>
        <w:t>4</w:t>
      </w:r>
      <w:r>
        <w:rPr>
          <w:sz w:val="24"/>
          <w:szCs w:val="24"/>
        </w:rPr>
        <w:t xml:space="preserve">.2.1 </w:t>
      </w:r>
      <w:r>
        <w:rPr>
          <w:rFonts w:hint="eastAsia"/>
          <w:sz w:val="24"/>
          <w:szCs w:val="24"/>
        </w:rPr>
        <w:t>工程等级和标准</w:t>
      </w:r>
      <w:bookmarkEnd w:id="37"/>
      <w:r>
        <w:rPr>
          <w:rFonts w:hint="eastAsia"/>
          <w:sz w:val="24"/>
          <w:szCs w:val="24"/>
        </w:rPr>
        <w:t xml:space="preserve"> </w:t>
      </w:r>
    </w:p>
    <w:p w14:paraId="30F87202">
      <w:pPr>
        <w:spacing w:line="480" w:lineRule="auto"/>
        <w:rPr>
          <w:rFonts w:ascii="宋体" w:hAnsi="宋体" w:eastAsia="宋体"/>
          <w:sz w:val="24"/>
        </w:rPr>
      </w:pPr>
      <w:r>
        <w:rPr>
          <w:rFonts w:hint="eastAsia" w:ascii="宋体" w:hAnsi="宋体" w:eastAsia="宋体"/>
          <w:sz w:val="24"/>
        </w:rPr>
        <w:t>本工程根据《灌溉与排水工程设计标准》</w:t>
      </w:r>
      <w:r>
        <w:rPr>
          <w:rFonts w:ascii="宋体" w:hAnsi="宋体" w:eastAsia="宋体"/>
          <w:sz w:val="24"/>
        </w:rPr>
        <w:t>(GB50288</w:t>
      </w:r>
      <w:r>
        <w:rPr>
          <w:rFonts w:hint="eastAsia" w:ascii="宋体" w:hAnsi="宋体" w:eastAsia="宋体"/>
          <w:sz w:val="24"/>
        </w:rPr>
        <w:t>—</w:t>
      </w:r>
      <w:r>
        <w:rPr>
          <w:rFonts w:ascii="宋体" w:hAnsi="宋体" w:eastAsia="宋体"/>
          <w:sz w:val="24"/>
        </w:rPr>
        <w:t>2018</w:t>
      </w:r>
      <w:r>
        <w:rPr>
          <w:rFonts w:hint="eastAsia" w:ascii="宋体" w:hAnsi="宋体" w:eastAsia="宋体"/>
          <w:sz w:val="24"/>
        </w:rPr>
        <w:t>）中规定，本工程级别为</w:t>
      </w:r>
      <w:r>
        <w:rPr>
          <w:rFonts w:ascii="宋体" w:hAnsi="宋体" w:eastAsia="宋体"/>
          <w:sz w:val="24"/>
        </w:rPr>
        <w:t>5</w:t>
      </w:r>
      <w:r>
        <w:rPr>
          <w:rFonts w:hint="eastAsia" w:ascii="宋体" w:hAnsi="宋体" w:eastAsia="宋体"/>
          <w:sz w:val="24"/>
        </w:rPr>
        <w:t>级，建筑物级别为</w:t>
      </w:r>
      <w:r>
        <w:rPr>
          <w:rFonts w:ascii="宋体" w:hAnsi="宋体" w:eastAsia="宋体"/>
          <w:sz w:val="24"/>
        </w:rPr>
        <w:t>5</w:t>
      </w:r>
      <w:r>
        <w:rPr>
          <w:rFonts w:hint="eastAsia" w:ascii="宋体" w:hAnsi="宋体" w:eastAsia="宋体"/>
          <w:sz w:val="24"/>
        </w:rPr>
        <w:t>级；根据《水利水电工程等级划分及洪水标准》（</w:t>
      </w:r>
      <w:r>
        <w:rPr>
          <w:rFonts w:ascii="宋体" w:hAnsi="宋体" w:eastAsia="宋体"/>
          <w:sz w:val="24"/>
        </w:rPr>
        <w:t>SL252-2017</w:t>
      </w:r>
      <w:r>
        <w:rPr>
          <w:rFonts w:hint="eastAsia" w:ascii="宋体" w:hAnsi="宋体" w:eastAsia="宋体"/>
          <w:sz w:val="24"/>
        </w:rPr>
        <w:t>），工程等别为Ⅴ等小（</w:t>
      </w:r>
      <w:r>
        <w:rPr>
          <w:rFonts w:ascii="宋体" w:hAnsi="宋体" w:eastAsia="宋体"/>
          <w:sz w:val="24"/>
        </w:rPr>
        <w:t>2</w:t>
      </w:r>
      <w:r>
        <w:rPr>
          <w:rFonts w:hint="eastAsia" w:ascii="宋体" w:hAnsi="宋体" w:eastAsia="宋体"/>
          <w:sz w:val="24"/>
        </w:rPr>
        <w:t xml:space="preserve">）型。据 </w:t>
      </w:r>
      <w:r>
        <w:rPr>
          <w:rFonts w:ascii="宋体" w:hAnsi="宋体" w:eastAsia="宋体"/>
          <w:sz w:val="24"/>
        </w:rPr>
        <w:t xml:space="preserve">1/400 </w:t>
      </w:r>
      <w:r>
        <w:rPr>
          <w:rFonts w:hint="eastAsia" w:ascii="宋体" w:hAnsi="宋体" w:eastAsia="宋体"/>
          <w:sz w:val="24"/>
        </w:rPr>
        <w:t>万《中国地震动参数区划图》</w:t>
      </w:r>
      <w:r>
        <w:rPr>
          <w:rFonts w:ascii="宋体" w:hAnsi="宋体" w:eastAsia="宋体"/>
          <w:sz w:val="24"/>
        </w:rPr>
        <w:t>(GB18306-2015)</w:t>
      </w:r>
      <w:r>
        <w:rPr>
          <w:rFonts w:hint="eastAsia" w:ascii="宋体" w:hAnsi="宋体" w:eastAsia="宋体"/>
          <w:sz w:val="24"/>
        </w:rPr>
        <w:t xml:space="preserve">，工程区地震基本烈度为Ⅶ度，本次地震设防烈度采用地震基本烈度 </w:t>
      </w:r>
      <w:r>
        <w:rPr>
          <w:rFonts w:ascii="宋体" w:hAnsi="宋体" w:eastAsia="宋体"/>
          <w:sz w:val="24"/>
        </w:rPr>
        <w:t xml:space="preserve">7 </w:t>
      </w:r>
      <w:r>
        <w:rPr>
          <w:rFonts w:hint="eastAsia" w:ascii="宋体" w:hAnsi="宋体" w:eastAsia="宋体"/>
          <w:sz w:val="24"/>
        </w:rPr>
        <w:t xml:space="preserve">度。 </w:t>
      </w:r>
    </w:p>
    <w:p w14:paraId="4F15A769">
      <w:pPr>
        <w:pStyle w:val="4"/>
        <w:rPr>
          <w:sz w:val="24"/>
          <w:szCs w:val="24"/>
        </w:rPr>
      </w:pPr>
      <w:bookmarkStart w:id="38" w:name="_Toc179900114"/>
      <w:r>
        <w:rPr>
          <w:rFonts w:hint="eastAsia"/>
          <w:sz w:val="24"/>
          <w:szCs w:val="24"/>
        </w:rPr>
        <w:t>4</w:t>
      </w:r>
      <w:r>
        <w:rPr>
          <w:sz w:val="24"/>
          <w:szCs w:val="24"/>
        </w:rPr>
        <w:t xml:space="preserve">.2.2 </w:t>
      </w:r>
      <w:r>
        <w:rPr>
          <w:rFonts w:hint="eastAsia"/>
          <w:sz w:val="24"/>
          <w:szCs w:val="24"/>
        </w:rPr>
        <w:t>耐久性设计</w:t>
      </w:r>
      <w:bookmarkEnd w:id="38"/>
      <w:r>
        <w:rPr>
          <w:rFonts w:hint="eastAsia"/>
          <w:sz w:val="24"/>
          <w:szCs w:val="24"/>
        </w:rPr>
        <w:t xml:space="preserve"> </w:t>
      </w:r>
    </w:p>
    <w:p w14:paraId="169C04E4">
      <w:pPr>
        <w:spacing w:line="480" w:lineRule="auto"/>
        <w:rPr>
          <w:rFonts w:ascii="宋体" w:hAnsi="宋体" w:eastAsia="宋体"/>
          <w:sz w:val="24"/>
        </w:rPr>
      </w:pPr>
      <w:r>
        <w:rPr>
          <w:rFonts w:hint="eastAsia" w:ascii="宋体" w:hAnsi="宋体" w:eastAsia="宋体"/>
          <w:sz w:val="24"/>
        </w:rPr>
        <w:t>根据《水利水电工程合理使用年限及耐久性设计规范》</w:t>
      </w:r>
      <w:r>
        <w:rPr>
          <w:rFonts w:ascii="宋体" w:hAnsi="宋体" w:eastAsia="宋体"/>
          <w:sz w:val="24"/>
        </w:rPr>
        <w:t xml:space="preserve">6 </w:t>
      </w:r>
      <w:r>
        <w:rPr>
          <w:rFonts w:hint="eastAsia" w:ascii="宋体" w:hAnsi="宋体" w:eastAsia="宋体"/>
          <w:sz w:val="24"/>
        </w:rPr>
        <w:t>工程布置及建筑物</w:t>
      </w:r>
      <w:r>
        <w:rPr>
          <w:rFonts w:ascii="宋体" w:hAnsi="宋体" w:eastAsia="宋体"/>
          <w:sz w:val="24"/>
        </w:rPr>
        <w:t>(SL654-2014</w:t>
      </w:r>
      <w:r>
        <w:rPr>
          <w:rFonts w:hint="eastAsia" w:ascii="宋体" w:hAnsi="宋体" w:eastAsia="宋体"/>
          <w:sz w:val="24"/>
        </w:rPr>
        <w:t>）表</w:t>
      </w:r>
      <w:r>
        <w:rPr>
          <w:rFonts w:ascii="宋体" w:hAnsi="宋体" w:eastAsia="宋体"/>
          <w:sz w:val="24"/>
        </w:rPr>
        <w:t>3.0.3</w:t>
      </w:r>
      <w:r>
        <w:rPr>
          <w:rFonts w:hint="eastAsia" w:ascii="宋体" w:hAnsi="宋体" w:eastAsia="宋体"/>
          <w:sz w:val="24"/>
        </w:rPr>
        <w:t>以及《渠道防渗衬砌工程技术标准》</w:t>
      </w:r>
      <w:r>
        <w:rPr>
          <w:rFonts w:ascii="宋体" w:hAnsi="宋体" w:eastAsia="宋体"/>
          <w:sz w:val="24"/>
        </w:rPr>
        <w:t>(GBT50600-2020</w:t>
      </w:r>
      <w:r>
        <w:rPr>
          <w:rFonts w:hint="eastAsia" w:ascii="宋体" w:hAnsi="宋体" w:eastAsia="宋体"/>
          <w:sz w:val="24"/>
        </w:rPr>
        <w:t>）表</w:t>
      </w:r>
      <w:r>
        <w:rPr>
          <w:rFonts w:ascii="宋体" w:hAnsi="宋体" w:eastAsia="宋体"/>
          <w:sz w:val="24"/>
        </w:rPr>
        <w:t>3.1.6</w:t>
      </w:r>
      <w:r>
        <w:rPr>
          <w:rFonts w:hint="eastAsia" w:ascii="宋体" w:hAnsi="宋体" w:eastAsia="宋体"/>
          <w:sz w:val="24"/>
        </w:rPr>
        <w:t>可知，本工程为灌溉渠道</w:t>
      </w:r>
      <w:r>
        <w:rPr>
          <w:rFonts w:ascii="宋体" w:hAnsi="宋体" w:eastAsia="宋体"/>
          <w:sz w:val="24"/>
        </w:rPr>
        <w:t>5</w:t>
      </w:r>
      <w:r>
        <w:rPr>
          <w:rFonts w:hint="eastAsia" w:ascii="宋体" w:hAnsi="宋体" w:eastAsia="宋体"/>
          <w:sz w:val="24"/>
        </w:rPr>
        <w:t xml:space="preserve">级工程，渠道工程合理使用年限定为 </w:t>
      </w:r>
      <w:r>
        <w:rPr>
          <w:rFonts w:ascii="宋体" w:hAnsi="宋体" w:eastAsia="宋体"/>
          <w:sz w:val="24"/>
        </w:rPr>
        <w:t xml:space="preserve">20 </w:t>
      </w:r>
      <w:r>
        <w:rPr>
          <w:rFonts w:hint="eastAsia" w:ascii="宋体" w:hAnsi="宋体" w:eastAsia="宋体"/>
          <w:sz w:val="24"/>
        </w:rPr>
        <w:t xml:space="preserve">年，渠系建筑物合理使用年限为 </w:t>
      </w:r>
      <w:r>
        <w:rPr>
          <w:rFonts w:ascii="宋体" w:hAnsi="宋体" w:eastAsia="宋体"/>
          <w:sz w:val="24"/>
        </w:rPr>
        <w:t xml:space="preserve">30 </w:t>
      </w:r>
      <w:r>
        <w:rPr>
          <w:rFonts w:hint="eastAsia" w:ascii="宋体" w:hAnsi="宋体" w:eastAsia="宋体"/>
          <w:sz w:val="24"/>
        </w:rPr>
        <w:t>年，且建筑物合理使用年限不超过工程的使用年限，故本工程合理使用年限为</w:t>
      </w:r>
      <w:r>
        <w:rPr>
          <w:rFonts w:ascii="宋体" w:hAnsi="宋体" w:eastAsia="宋体"/>
          <w:sz w:val="24"/>
        </w:rPr>
        <w:t>20</w:t>
      </w:r>
      <w:r>
        <w:rPr>
          <w:rFonts w:hint="eastAsia" w:ascii="宋体" w:hAnsi="宋体" w:eastAsia="宋体"/>
          <w:sz w:val="24"/>
        </w:rPr>
        <w:t>年。根据《水利水电工程合理使用年限及耐久性设计规范》</w:t>
      </w:r>
      <w:r>
        <w:rPr>
          <w:rFonts w:ascii="宋体" w:hAnsi="宋体" w:eastAsia="宋体"/>
          <w:sz w:val="24"/>
        </w:rPr>
        <w:t xml:space="preserve">SL654-2014 </w:t>
      </w:r>
      <w:r>
        <w:rPr>
          <w:rFonts w:hint="eastAsia" w:ascii="宋体" w:hAnsi="宋体" w:eastAsia="宋体"/>
          <w:sz w:val="24"/>
        </w:rPr>
        <w:t xml:space="preserve">表 </w:t>
      </w:r>
      <w:r>
        <w:rPr>
          <w:rFonts w:ascii="宋体" w:hAnsi="宋体" w:eastAsia="宋体"/>
          <w:sz w:val="24"/>
        </w:rPr>
        <w:t xml:space="preserve">4.1.9 </w:t>
      </w:r>
      <w:r>
        <w:rPr>
          <w:rFonts w:hint="eastAsia" w:ascii="宋体" w:hAnsi="宋体" w:eastAsia="宋体"/>
          <w:sz w:val="24"/>
        </w:rPr>
        <w:t xml:space="preserve">及表 </w:t>
      </w:r>
      <w:r>
        <w:rPr>
          <w:rFonts w:ascii="宋体" w:hAnsi="宋体" w:eastAsia="宋体"/>
          <w:sz w:val="24"/>
        </w:rPr>
        <w:t>4.3.2</w:t>
      </w:r>
      <w:r>
        <w:rPr>
          <w:rFonts w:hint="eastAsia" w:ascii="宋体" w:hAnsi="宋体" w:eastAsia="宋体"/>
          <w:sz w:val="24"/>
        </w:rPr>
        <w:t xml:space="preserve">、表 </w:t>
      </w:r>
      <w:r>
        <w:rPr>
          <w:rFonts w:ascii="宋体" w:hAnsi="宋体" w:eastAsia="宋体"/>
          <w:sz w:val="24"/>
        </w:rPr>
        <w:t xml:space="preserve">4.4.4 </w:t>
      </w:r>
      <w:r>
        <w:rPr>
          <w:rFonts w:hint="eastAsia" w:ascii="宋体" w:hAnsi="宋体" w:eastAsia="宋体"/>
          <w:sz w:val="24"/>
        </w:rPr>
        <w:t>的要求，本工程定为三类环境，属于寒冷地区。合理使用年限</w:t>
      </w:r>
      <w:r>
        <w:rPr>
          <w:rFonts w:ascii="宋体" w:hAnsi="宋体" w:eastAsia="宋体"/>
          <w:sz w:val="24"/>
        </w:rPr>
        <w:t>20</w:t>
      </w:r>
      <w:r>
        <w:rPr>
          <w:rFonts w:hint="eastAsia" w:ascii="宋体" w:hAnsi="宋体" w:eastAsia="宋体"/>
          <w:sz w:val="24"/>
        </w:rPr>
        <w:t>年、</w:t>
      </w:r>
      <w:r>
        <w:rPr>
          <w:rFonts w:ascii="宋体" w:hAnsi="宋体" w:eastAsia="宋体"/>
          <w:sz w:val="24"/>
        </w:rPr>
        <w:t>3</w:t>
      </w:r>
      <w:r>
        <w:rPr>
          <w:rFonts w:hint="eastAsia" w:ascii="宋体" w:hAnsi="宋体" w:eastAsia="宋体"/>
          <w:sz w:val="24"/>
        </w:rPr>
        <w:t xml:space="preserve">0年的水工结构砼强度等级宜与合理使用年限为 </w:t>
      </w:r>
      <w:r>
        <w:rPr>
          <w:rFonts w:ascii="宋体" w:hAnsi="宋体" w:eastAsia="宋体"/>
          <w:sz w:val="24"/>
        </w:rPr>
        <w:t xml:space="preserve">50 </w:t>
      </w:r>
      <w:r>
        <w:rPr>
          <w:rFonts w:hint="eastAsia" w:ascii="宋体" w:hAnsi="宋体" w:eastAsia="宋体"/>
          <w:sz w:val="24"/>
        </w:rPr>
        <w:t>年的水工结构一致。根据《水利水电工程合理使用年限及耐久性设计规范》</w:t>
      </w:r>
      <w:r>
        <w:rPr>
          <w:rFonts w:ascii="宋体" w:hAnsi="宋体" w:eastAsia="宋体"/>
          <w:sz w:val="24"/>
        </w:rPr>
        <w:t>SL654-2014</w:t>
      </w:r>
      <w:r>
        <w:rPr>
          <w:rFonts w:hint="eastAsia" w:ascii="宋体" w:hAnsi="宋体" w:eastAsia="宋体"/>
          <w:sz w:val="24"/>
        </w:rPr>
        <w:t>、《水工砼结构设计规范》表</w:t>
      </w:r>
      <w:r>
        <w:rPr>
          <w:rFonts w:ascii="宋体" w:hAnsi="宋体" w:eastAsia="宋体"/>
          <w:sz w:val="24"/>
        </w:rPr>
        <w:t xml:space="preserve">3.3.4 </w:t>
      </w:r>
      <w:r>
        <w:rPr>
          <w:rFonts w:hint="eastAsia" w:ascii="宋体" w:hAnsi="宋体" w:eastAsia="宋体"/>
          <w:sz w:val="24"/>
        </w:rPr>
        <w:t>和《渠道防渗衬砌工程技术标准》</w:t>
      </w:r>
      <w:r>
        <w:rPr>
          <w:rFonts w:ascii="宋体" w:hAnsi="宋体" w:eastAsia="宋体"/>
          <w:sz w:val="24"/>
        </w:rPr>
        <w:t>GB/T50600-2020</w:t>
      </w:r>
      <w:r>
        <w:rPr>
          <w:rFonts w:hint="eastAsia" w:ascii="宋体" w:hAnsi="宋体" w:eastAsia="宋体"/>
          <w:sz w:val="24"/>
        </w:rPr>
        <w:t xml:space="preserve">等规定要求，确定渠系建筑物采用的现浇砼强度等级取 </w:t>
      </w:r>
      <w:r>
        <w:rPr>
          <w:rFonts w:ascii="宋体" w:hAnsi="宋体" w:eastAsia="宋体"/>
          <w:sz w:val="24"/>
        </w:rPr>
        <w:t>C25</w:t>
      </w:r>
      <w:r>
        <w:rPr>
          <w:rFonts w:hint="eastAsia" w:ascii="宋体" w:hAnsi="宋体" w:eastAsia="宋体"/>
          <w:sz w:val="24"/>
        </w:rPr>
        <w:t xml:space="preserve">、渠道现浇素砼板等结构混凝土强度等级取为 </w:t>
      </w:r>
      <w:r>
        <w:rPr>
          <w:rFonts w:ascii="宋体" w:hAnsi="宋体" w:eastAsia="宋体"/>
          <w:sz w:val="24"/>
        </w:rPr>
        <w:t>C25</w:t>
      </w:r>
      <w:r>
        <w:rPr>
          <w:rFonts w:hint="eastAsia" w:ascii="宋体" w:hAnsi="宋体" w:eastAsia="宋体"/>
          <w:sz w:val="24"/>
        </w:rPr>
        <w:t>，预制渠道混凝土强度等级取为</w:t>
      </w:r>
      <w:r>
        <w:rPr>
          <w:rFonts w:ascii="宋体" w:hAnsi="宋体" w:eastAsia="宋体"/>
          <w:sz w:val="24"/>
        </w:rPr>
        <w:t>C35</w:t>
      </w:r>
      <w:r>
        <w:rPr>
          <w:rFonts w:hint="eastAsia" w:ascii="宋体" w:hAnsi="宋体" w:eastAsia="宋体"/>
          <w:sz w:val="24"/>
        </w:rPr>
        <w:t>。主要设计技术指标详见以下内容。</w:t>
      </w:r>
    </w:p>
    <w:p w14:paraId="20633116">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、渠系建筑物混凝土 </w:t>
      </w:r>
    </w:p>
    <w:p w14:paraId="612B3930">
      <w:pPr>
        <w:spacing w:line="480" w:lineRule="auto"/>
        <w:rPr>
          <w:rFonts w:ascii="宋体" w:hAnsi="宋体" w:eastAsia="宋体"/>
          <w:sz w:val="24"/>
        </w:rPr>
      </w:pPr>
      <w:r>
        <w:rPr>
          <w:rFonts w:hint="eastAsia" w:ascii="宋体" w:hAnsi="宋体" w:eastAsia="宋体"/>
          <w:sz w:val="24"/>
        </w:rPr>
        <w:t xml:space="preserve">渠系建筑物采用 </w:t>
      </w:r>
      <w:r>
        <w:rPr>
          <w:rFonts w:ascii="宋体" w:hAnsi="宋体" w:eastAsia="宋体"/>
          <w:sz w:val="24"/>
        </w:rPr>
        <w:t xml:space="preserve">C30 </w:t>
      </w:r>
      <w:r>
        <w:rPr>
          <w:rFonts w:hint="eastAsia" w:ascii="宋体" w:hAnsi="宋体" w:eastAsia="宋体"/>
          <w:sz w:val="24"/>
        </w:rPr>
        <w:t xml:space="preserve">现浇砼，抗冻等级 </w:t>
      </w:r>
      <w:r>
        <w:rPr>
          <w:rFonts w:ascii="宋体" w:hAnsi="宋体" w:eastAsia="宋体"/>
          <w:sz w:val="24"/>
        </w:rPr>
        <w:t>F200</w:t>
      </w:r>
      <w:r>
        <w:rPr>
          <w:rFonts w:hint="eastAsia" w:ascii="宋体" w:hAnsi="宋体" w:eastAsia="宋体"/>
          <w:sz w:val="24"/>
        </w:rPr>
        <w:t xml:space="preserve">，抗渗等级 </w:t>
      </w:r>
      <w:r>
        <w:rPr>
          <w:rFonts w:ascii="宋体" w:hAnsi="宋体" w:eastAsia="宋体"/>
          <w:sz w:val="24"/>
        </w:rPr>
        <w:t>W6</w:t>
      </w:r>
      <w:r>
        <w:rPr>
          <w:rFonts w:hint="eastAsia" w:ascii="宋体" w:hAnsi="宋体" w:eastAsia="宋体"/>
          <w:sz w:val="24"/>
        </w:rPr>
        <w:t xml:space="preserve">，没有抗渗要求。并且要满足《水利水电工程合理使用年限及耐久性设计规范》《水工砼结构设计规范》规定的三类环境下最小水泥用量要求。砼设计强度以 </w:t>
      </w:r>
      <w:r>
        <w:rPr>
          <w:rFonts w:ascii="宋体" w:hAnsi="宋体" w:eastAsia="宋体"/>
          <w:sz w:val="24"/>
        </w:rPr>
        <w:t xml:space="preserve">28 </w:t>
      </w:r>
      <w:r>
        <w:rPr>
          <w:rFonts w:hint="eastAsia" w:ascii="宋体" w:hAnsi="宋体" w:eastAsia="宋体"/>
          <w:sz w:val="24"/>
        </w:rPr>
        <w:t xml:space="preserve">天龄期的强度作为设计强度。在配制砼时宜掺用外加剂，有抗冻要求的砼必须掺用引气剂或引气减水剂，冬季施工的砼掺用早强剂和抗冻剂。 </w:t>
      </w:r>
    </w:p>
    <w:p w14:paraId="1BF18BEB">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、水泥 </w:t>
      </w:r>
    </w:p>
    <w:p w14:paraId="208E3044">
      <w:pPr>
        <w:spacing w:line="480" w:lineRule="auto"/>
        <w:rPr>
          <w:rFonts w:ascii="宋体" w:hAnsi="宋体" w:eastAsia="宋体"/>
          <w:sz w:val="24"/>
        </w:rPr>
      </w:pPr>
      <w:r>
        <w:rPr>
          <w:rFonts w:hint="eastAsia" w:ascii="宋体" w:hAnsi="宋体" w:eastAsia="宋体"/>
          <w:sz w:val="24"/>
        </w:rPr>
        <w:t xml:space="preserve">水泥全部采用 </w:t>
      </w:r>
      <w:r>
        <w:rPr>
          <w:rFonts w:ascii="宋体" w:hAnsi="宋体" w:eastAsia="宋体"/>
          <w:sz w:val="24"/>
        </w:rPr>
        <w:t xml:space="preserve">R42.5 </w:t>
      </w:r>
      <w:r>
        <w:rPr>
          <w:rFonts w:hint="eastAsia" w:ascii="宋体" w:hAnsi="宋体" w:eastAsia="宋体"/>
          <w:sz w:val="24"/>
        </w:rPr>
        <w:t>普通硅酸盐水泥，质量应符合（</w:t>
      </w:r>
      <w:r>
        <w:rPr>
          <w:rFonts w:ascii="宋体" w:hAnsi="宋体" w:eastAsia="宋体"/>
          <w:sz w:val="24"/>
        </w:rPr>
        <w:t>GB175-2020</w:t>
      </w:r>
      <w:r>
        <w:rPr>
          <w:rFonts w:hint="eastAsia" w:ascii="宋体" w:hAnsi="宋体" w:eastAsia="宋体"/>
          <w:sz w:val="24"/>
        </w:rPr>
        <w:t xml:space="preserve">）及有关的标准和规范的要求。 </w:t>
      </w:r>
    </w:p>
    <w:p w14:paraId="1F0C9714">
      <w:pPr>
        <w:spacing w:line="480" w:lineRule="auto"/>
        <w:rPr>
          <w:rFonts w:ascii="宋体" w:hAnsi="宋体" w:eastAsia="宋体"/>
          <w:sz w:val="24"/>
        </w:rPr>
      </w:pPr>
      <w:r>
        <w:rPr>
          <w:rFonts w:hint="eastAsia" w:ascii="宋体" w:hAnsi="宋体" w:eastAsia="宋体"/>
          <w:sz w:val="24"/>
        </w:rPr>
        <w:t xml:space="preserve">工程选线 </w:t>
      </w:r>
    </w:p>
    <w:p w14:paraId="3505AA42">
      <w:pPr>
        <w:pStyle w:val="4"/>
        <w:rPr>
          <w:sz w:val="24"/>
          <w:szCs w:val="24"/>
        </w:rPr>
      </w:pPr>
      <w:bookmarkStart w:id="39" w:name="_Toc179900115"/>
      <w:r>
        <w:rPr>
          <w:rFonts w:hint="eastAsia"/>
          <w:sz w:val="24"/>
          <w:szCs w:val="24"/>
        </w:rPr>
        <w:t>4</w:t>
      </w:r>
      <w:r>
        <w:rPr>
          <w:sz w:val="24"/>
          <w:szCs w:val="24"/>
        </w:rPr>
        <w:t xml:space="preserve">.2.3 </w:t>
      </w:r>
      <w:r>
        <w:rPr>
          <w:rFonts w:hint="eastAsia"/>
          <w:sz w:val="24"/>
          <w:szCs w:val="24"/>
        </w:rPr>
        <w:t>布置原则</w:t>
      </w:r>
      <w:bookmarkEnd w:id="39"/>
      <w:r>
        <w:rPr>
          <w:rFonts w:hint="eastAsia"/>
          <w:sz w:val="24"/>
          <w:szCs w:val="24"/>
        </w:rPr>
        <w:t xml:space="preserve"> </w:t>
      </w:r>
    </w:p>
    <w:p w14:paraId="1DA1ECFF">
      <w:pPr>
        <w:spacing w:line="480" w:lineRule="auto"/>
        <w:rPr>
          <w:rFonts w:ascii="宋体" w:hAnsi="宋体" w:eastAsia="宋体"/>
          <w:sz w:val="24"/>
        </w:rPr>
      </w:pPr>
      <w:r>
        <w:rPr>
          <w:rFonts w:hint="eastAsia" w:ascii="宋体" w:hAnsi="宋体" w:eastAsia="宋体"/>
          <w:sz w:val="24"/>
        </w:rPr>
        <w:t>项目区灌区是老灌区，总体布置较为合理。计量设施的布置和选择应充分结合灌区现状，使所选的渠线符合灌区的发展和规划。本工</w:t>
      </w:r>
      <w:r>
        <w:rPr>
          <w:rFonts w:ascii="宋体" w:hAnsi="宋体" w:eastAsia="宋体"/>
          <w:sz w:val="24"/>
        </w:rPr>
        <w:t>506</w:t>
      </w:r>
      <w:r>
        <w:rPr>
          <w:rFonts w:hint="eastAsia" w:ascii="宋体" w:hAnsi="宋体" w:eastAsia="宋体"/>
          <w:sz w:val="24"/>
        </w:rPr>
        <w:t xml:space="preserve">工程布置及建筑物程计量设施布置的选择主要综合考虑了以下原则： </w:t>
      </w:r>
    </w:p>
    <w:p w14:paraId="05D1B6D8">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）充分利用地形和原有渠道，满足灌区的灌溉引水水位和配水流量，在工程布置上应与灌区规划协调； </w:t>
      </w:r>
    </w:p>
    <w:p w14:paraId="318BE1CC">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）渠道沿线各分水闸引水水位的需求； </w:t>
      </w:r>
    </w:p>
    <w:p w14:paraId="63D5A159">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）施工期避免影响灌区的正常灌溉生产用水； </w:t>
      </w:r>
    </w:p>
    <w:p w14:paraId="13544CFD">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）尽可能少占耕地，少拆民居，少砍树； </w:t>
      </w:r>
    </w:p>
    <w:p w14:paraId="03D26F66">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9</w:t>
      </w:r>
      <w:r>
        <w:rPr>
          <w:rFonts w:hint="eastAsia" w:ascii="宋体" w:hAnsi="宋体" w:eastAsia="宋体"/>
          <w:sz w:val="24"/>
        </w:rPr>
        <w:t xml:space="preserve">）工程量和工程费用较小，经济合理； </w:t>
      </w:r>
    </w:p>
    <w:p w14:paraId="497CF930">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10</w:t>
      </w:r>
      <w:r>
        <w:rPr>
          <w:rFonts w:hint="eastAsia" w:ascii="宋体" w:hAnsi="宋体" w:eastAsia="宋体"/>
          <w:sz w:val="24"/>
        </w:rPr>
        <w:t xml:space="preserve">）应充分考虑行政规划，以利管理； </w:t>
      </w:r>
    </w:p>
    <w:p w14:paraId="012C39AF">
      <w:pPr>
        <w:spacing w:line="480" w:lineRule="auto"/>
        <w:rPr>
          <w:rFonts w:ascii="宋体" w:hAnsi="宋体" w:eastAsia="宋体"/>
          <w:sz w:val="24"/>
        </w:rPr>
      </w:pPr>
      <w:r>
        <w:rPr>
          <w:rFonts w:hint="eastAsia" w:ascii="宋体" w:hAnsi="宋体" w:eastAsia="宋体"/>
          <w:sz w:val="24"/>
        </w:rPr>
        <w:t xml:space="preserve">在综合考虑以上选址原则的基础上，布置选择还应结合工程区的周围环境等因素。 </w:t>
      </w:r>
    </w:p>
    <w:p w14:paraId="67EBE1F6">
      <w:pPr>
        <w:pStyle w:val="4"/>
      </w:pPr>
      <w:bookmarkStart w:id="40" w:name="_Toc179900116"/>
      <w:r>
        <w:rPr>
          <w:rFonts w:hint="eastAsia"/>
          <w:sz w:val="24"/>
          <w:szCs w:val="24"/>
        </w:rPr>
        <w:t>4</w:t>
      </w:r>
      <w:r>
        <w:rPr>
          <w:sz w:val="24"/>
          <w:szCs w:val="24"/>
        </w:rPr>
        <w:t xml:space="preserve">.2.4 </w:t>
      </w:r>
      <w:r>
        <w:rPr>
          <w:rFonts w:hint="eastAsia"/>
          <w:sz w:val="24"/>
          <w:szCs w:val="24"/>
        </w:rPr>
        <w:t>计量设施布置</w:t>
      </w:r>
      <w:bookmarkEnd w:id="40"/>
      <w:r>
        <w:rPr>
          <w:rFonts w:hint="eastAsia"/>
          <w:sz w:val="24"/>
          <w:szCs w:val="24"/>
        </w:rPr>
        <w:t xml:space="preserve"> </w:t>
      </w:r>
    </w:p>
    <w:p w14:paraId="51A86D60">
      <w:pPr>
        <w:spacing w:line="480" w:lineRule="auto"/>
        <w:rPr>
          <w:rFonts w:ascii="宋体" w:hAnsi="宋体" w:eastAsia="宋体"/>
          <w:sz w:val="24"/>
        </w:rPr>
      </w:pPr>
      <w:r>
        <w:rPr>
          <w:rFonts w:hint="eastAsia" w:ascii="宋体" w:hAnsi="宋体" w:eastAsia="宋体"/>
          <w:sz w:val="24"/>
        </w:rPr>
        <w:t xml:space="preserve">本次主要解决渠道计量设施缺失的问题。计量设施的布置选择主要是依据灌区现有渠线的布置情况，并结合地形、地质等条件和听取当地水管部门的意见来确定，要保证满足灌溉要求，维持现有的渠系灌溉格局，尽量少占农田，少破坏天然植被，工程投资少和保证渠道安全运行、便于管理。本次工程各计量设施均布置在老渠线。 </w:t>
      </w:r>
    </w:p>
    <w:p w14:paraId="56AF8A36">
      <w:pPr>
        <w:pStyle w:val="3"/>
        <w:rPr>
          <w:sz w:val="24"/>
          <w:szCs w:val="24"/>
        </w:rPr>
      </w:pPr>
      <w:bookmarkStart w:id="41" w:name="_Toc179900117"/>
      <w:r>
        <w:rPr>
          <w:rFonts w:hint="eastAsia"/>
          <w:sz w:val="24"/>
          <w:szCs w:val="24"/>
        </w:rPr>
        <w:t>4</w:t>
      </w:r>
      <w:r>
        <w:rPr>
          <w:sz w:val="24"/>
          <w:szCs w:val="24"/>
        </w:rPr>
        <w:t xml:space="preserve">.3 </w:t>
      </w:r>
      <w:r>
        <w:rPr>
          <w:rFonts w:hint="eastAsia"/>
          <w:sz w:val="24"/>
          <w:szCs w:val="24"/>
        </w:rPr>
        <w:t>计量设施设计</w:t>
      </w:r>
      <w:bookmarkEnd w:id="41"/>
      <w:r>
        <w:rPr>
          <w:rFonts w:hint="eastAsia"/>
          <w:sz w:val="24"/>
          <w:szCs w:val="24"/>
        </w:rPr>
        <w:t xml:space="preserve"> </w:t>
      </w:r>
    </w:p>
    <w:p w14:paraId="5782E4E1">
      <w:pPr>
        <w:pStyle w:val="4"/>
        <w:rPr>
          <w:sz w:val="24"/>
          <w:szCs w:val="24"/>
        </w:rPr>
      </w:pPr>
      <w:bookmarkStart w:id="42" w:name="_Toc179900118"/>
      <w:r>
        <w:rPr>
          <w:rFonts w:hint="eastAsia"/>
          <w:sz w:val="24"/>
          <w:szCs w:val="24"/>
        </w:rPr>
        <w:t>4</w:t>
      </w:r>
      <w:r>
        <w:rPr>
          <w:sz w:val="24"/>
          <w:szCs w:val="24"/>
        </w:rPr>
        <w:t xml:space="preserve">.3.1 </w:t>
      </w:r>
      <w:r>
        <w:rPr>
          <w:rFonts w:hint="eastAsia"/>
          <w:sz w:val="24"/>
          <w:szCs w:val="24"/>
        </w:rPr>
        <w:t>建筑物型式比选</w:t>
      </w:r>
      <w:bookmarkEnd w:id="42"/>
      <w:r>
        <w:rPr>
          <w:rFonts w:hint="eastAsia"/>
          <w:sz w:val="24"/>
          <w:szCs w:val="24"/>
        </w:rPr>
        <w:t xml:space="preserve"> </w:t>
      </w:r>
    </w:p>
    <w:p w14:paraId="7717A522">
      <w:pPr>
        <w:spacing w:line="480" w:lineRule="auto"/>
        <w:rPr>
          <w:rFonts w:ascii="宋体" w:hAnsi="宋体" w:eastAsia="宋体"/>
          <w:sz w:val="24"/>
        </w:rPr>
      </w:pPr>
      <w:r>
        <w:rPr>
          <w:rFonts w:hint="eastAsia" w:ascii="宋体" w:hAnsi="宋体" w:eastAsia="宋体"/>
          <w:sz w:val="24"/>
        </w:rPr>
        <w:t xml:space="preserve">常见的计量设施有水尺及巴歇尔槽。 </w:t>
      </w:r>
    </w:p>
    <w:p w14:paraId="320B73B4">
      <w:pPr>
        <w:spacing w:line="480" w:lineRule="auto"/>
        <w:rPr>
          <w:rFonts w:ascii="宋体" w:hAnsi="宋体" w:eastAsia="宋体"/>
          <w:sz w:val="24"/>
        </w:rPr>
      </w:pPr>
      <w:r>
        <w:rPr>
          <w:rFonts w:hint="eastAsia" w:ascii="宋体" w:hAnsi="宋体" w:eastAsia="宋体"/>
          <w:sz w:val="24"/>
        </w:rPr>
        <w:t xml:space="preserve">水尺具有造价低、便于施工的优点，但量测准确度较巴歇尔槽稍低；巴歇尔槽具有量测精度高、耐久性好的优点，但相对造价较高、施工难度及工期较长。根据乡水管站需求，并综合考虑到投资及工期因素，本次工程已建防渗渠道计量设施选用水尺。 </w:t>
      </w:r>
    </w:p>
    <w:p w14:paraId="52DCFD29">
      <w:pPr>
        <w:spacing w:line="480" w:lineRule="auto"/>
        <w:rPr>
          <w:rFonts w:ascii="宋体" w:hAnsi="宋体" w:eastAsia="宋体"/>
          <w:sz w:val="24"/>
        </w:rPr>
      </w:pPr>
    </w:p>
    <w:p w14:paraId="28BDC6FA">
      <w:pPr>
        <w:spacing w:line="480" w:lineRule="auto"/>
        <w:rPr>
          <w:rFonts w:hint="eastAsia" w:ascii="宋体" w:hAnsi="宋体" w:eastAsia="宋体"/>
          <w:sz w:val="24"/>
        </w:rPr>
      </w:pPr>
    </w:p>
    <w:p w14:paraId="5FAD5CC8">
      <w:pPr>
        <w:pStyle w:val="4"/>
        <w:rPr>
          <w:sz w:val="24"/>
          <w:szCs w:val="24"/>
        </w:rPr>
      </w:pPr>
      <w:bookmarkStart w:id="43" w:name="_Toc179900119"/>
      <w:r>
        <w:rPr>
          <w:rFonts w:hint="eastAsia"/>
          <w:sz w:val="24"/>
          <w:szCs w:val="24"/>
        </w:rPr>
        <w:t>4</w:t>
      </w:r>
      <w:r>
        <w:rPr>
          <w:sz w:val="24"/>
          <w:szCs w:val="24"/>
        </w:rPr>
        <w:t xml:space="preserve">.3.2 </w:t>
      </w:r>
      <w:r>
        <w:rPr>
          <w:rFonts w:hint="eastAsia"/>
          <w:sz w:val="24"/>
          <w:szCs w:val="24"/>
        </w:rPr>
        <w:t>建筑物设计</w:t>
      </w:r>
      <w:bookmarkEnd w:id="43"/>
      <w:r>
        <w:rPr>
          <w:rFonts w:hint="eastAsia"/>
          <w:sz w:val="24"/>
          <w:szCs w:val="24"/>
        </w:rPr>
        <w:t xml:space="preserve"> </w:t>
      </w:r>
    </w:p>
    <w:p w14:paraId="4920BAB4">
      <w:pPr>
        <w:spacing w:line="480" w:lineRule="auto"/>
        <w:rPr>
          <w:rFonts w:ascii="宋体" w:hAnsi="宋体" w:eastAsia="宋体"/>
          <w:sz w:val="24"/>
        </w:rPr>
      </w:pPr>
      <w:r>
        <w:rPr>
          <w:rFonts w:hint="eastAsia" w:ascii="宋体" w:hAnsi="宋体" w:eastAsia="宋体"/>
          <w:sz w:val="24"/>
        </w:rPr>
        <w:t xml:space="preserve">防渗渠道计量设施选用水尺。在斗渠进水闸后渠道安装水尺进行量水。 </w:t>
      </w:r>
    </w:p>
    <w:p w14:paraId="448037CD">
      <w:pPr>
        <w:spacing w:line="480" w:lineRule="auto"/>
        <w:rPr>
          <w:rFonts w:ascii="宋体" w:hAnsi="宋体" w:eastAsia="宋体"/>
          <w:sz w:val="24"/>
        </w:rPr>
      </w:pPr>
      <w:r>
        <w:rPr>
          <w:rFonts w:hint="eastAsia" w:ascii="宋体" w:hAnsi="宋体" w:eastAsia="宋体"/>
          <w:sz w:val="24"/>
        </w:rPr>
        <w:t>水水尺采用厚</w:t>
      </w:r>
      <w:r>
        <w:rPr>
          <w:rFonts w:ascii="宋体" w:hAnsi="宋体" w:eastAsia="宋体"/>
          <w:sz w:val="24"/>
        </w:rPr>
        <w:t>1mm</w:t>
      </w:r>
      <w:r>
        <w:rPr>
          <w:rFonts w:hint="eastAsia" w:ascii="宋体" w:hAnsi="宋体" w:eastAsia="宋体"/>
          <w:sz w:val="24"/>
        </w:rPr>
        <w:t>不锈钢材质，刻度由激光雕刻，高温烤漆，正常使用寿命</w:t>
      </w:r>
      <w:r>
        <w:rPr>
          <w:rFonts w:ascii="宋体" w:hAnsi="宋体" w:eastAsia="宋体"/>
          <w:sz w:val="24"/>
        </w:rPr>
        <w:t>5</w:t>
      </w:r>
      <w:r>
        <w:rPr>
          <w:rFonts w:hint="eastAsia" w:ascii="宋体" w:hAnsi="宋体" w:eastAsia="宋体"/>
          <w:sz w:val="24"/>
        </w:rPr>
        <w:t>年以上，460处安装点必须由施工人员及水管人员采用</w:t>
      </w:r>
      <w:r>
        <w:rPr>
          <w:rFonts w:ascii="宋体" w:hAnsi="宋体" w:eastAsia="宋体"/>
          <w:sz w:val="24"/>
        </w:rPr>
        <w:t>RTK</w:t>
      </w:r>
      <w:r>
        <w:rPr>
          <w:rFonts w:hint="eastAsia" w:ascii="宋体" w:hAnsi="宋体" w:eastAsia="宋体"/>
          <w:sz w:val="24"/>
        </w:rPr>
        <w:t>进行测量，确保每处点位数据正确，并将每处水尺进行编号定制，定制完成后进行点对点安装。同时将每处点位进行油漆编号。编号后录入渠道计量信息化平台。并在采购平板电脑APP上显示。</w:t>
      </w:r>
    </w:p>
    <w:p w14:paraId="25B93D94">
      <w:pPr>
        <w:spacing w:line="480" w:lineRule="auto"/>
        <w:rPr>
          <w:rFonts w:ascii="宋体" w:hAnsi="宋体" w:eastAsia="宋体"/>
          <w:sz w:val="24"/>
        </w:rPr>
      </w:pPr>
      <w:r>
        <w:rPr>
          <w:rFonts w:hint="eastAsia" w:ascii="宋体" w:hAnsi="宋体" w:eastAsia="宋体"/>
          <w:sz w:val="24"/>
        </w:rPr>
        <w:t xml:space="preserve">流量测量范围为 </w:t>
      </w:r>
      <w:r>
        <w:rPr>
          <w:rFonts w:ascii="宋体" w:hAnsi="宋体" w:eastAsia="宋体"/>
          <w:sz w:val="24"/>
        </w:rPr>
        <w:t>0.1m3/s</w:t>
      </w:r>
      <w:r>
        <w:rPr>
          <w:rFonts w:hint="eastAsia" w:ascii="宋体" w:hAnsi="宋体" w:eastAsia="宋体"/>
          <w:sz w:val="24"/>
        </w:rPr>
        <w:t>—</w:t>
      </w:r>
      <w:r>
        <w:rPr>
          <w:rFonts w:ascii="宋体" w:hAnsi="宋体" w:eastAsia="宋体"/>
          <w:sz w:val="24"/>
        </w:rPr>
        <w:t>1.0m3/s</w:t>
      </w:r>
      <w:r>
        <w:rPr>
          <w:rFonts w:hint="eastAsia" w:ascii="宋体" w:hAnsi="宋体" w:eastAsia="宋体"/>
          <w:sz w:val="24"/>
        </w:rPr>
        <w:t xml:space="preserve">。 </w:t>
      </w:r>
    </w:p>
    <w:p w14:paraId="27CAFA71">
      <w:pPr>
        <w:pStyle w:val="4"/>
        <w:rPr>
          <w:sz w:val="24"/>
          <w:szCs w:val="24"/>
        </w:rPr>
      </w:pPr>
      <w:bookmarkStart w:id="44" w:name="_Toc179900120"/>
      <w:r>
        <w:rPr>
          <w:rFonts w:hint="eastAsia"/>
          <w:sz w:val="24"/>
          <w:szCs w:val="24"/>
        </w:rPr>
        <w:t>4</w:t>
      </w:r>
      <w:r>
        <w:rPr>
          <w:sz w:val="24"/>
          <w:szCs w:val="24"/>
        </w:rPr>
        <w:t xml:space="preserve">.3.3 </w:t>
      </w:r>
      <w:r>
        <w:rPr>
          <w:rFonts w:hint="eastAsia"/>
          <w:sz w:val="24"/>
          <w:szCs w:val="24"/>
        </w:rPr>
        <w:t>建筑物抗冻设计</w:t>
      </w:r>
      <w:bookmarkEnd w:id="44"/>
      <w:r>
        <w:rPr>
          <w:rFonts w:hint="eastAsia"/>
          <w:sz w:val="24"/>
          <w:szCs w:val="24"/>
        </w:rPr>
        <w:t xml:space="preserve"> </w:t>
      </w:r>
    </w:p>
    <w:p w14:paraId="4C72CC0A">
      <w:pPr>
        <w:spacing w:line="480" w:lineRule="auto"/>
        <w:rPr>
          <w:rFonts w:ascii="宋体" w:hAnsi="宋体" w:eastAsia="宋体"/>
          <w:sz w:val="24"/>
        </w:rPr>
      </w:pPr>
      <w:r>
        <w:rPr>
          <w:rFonts w:hint="eastAsia" w:ascii="宋体" w:hAnsi="宋体" w:eastAsia="宋体"/>
          <w:sz w:val="24"/>
        </w:rPr>
        <w:t xml:space="preserve">工程区地基土属季节性冻土，标准冻深为 </w:t>
      </w:r>
      <w:r>
        <w:rPr>
          <w:rFonts w:ascii="宋体" w:hAnsi="宋体" w:eastAsia="宋体"/>
          <w:sz w:val="24"/>
        </w:rPr>
        <w:t>0.8m</w:t>
      </w:r>
      <w:r>
        <w:rPr>
          <w:rFonts w:hint="eastAsia" w:ascii="宋体" w:hAnsi="宋体" w:eastAsia="宋体"/>
          <w:sz w:val="24"/>
        </w:rPr>
        <w:t xml:space="preserve">。 </w:t>
      </w:r>
    </w:p>
    <w:p w14:paraId="7A5EC952">
      <w:pPr>
        <w:spacing w:line="480" w:lineRule="auto"/>
        <w:rPr>
          <w:rFonts w:ascii="宋体" w:hAnsi="宋体" w:eastAsia="宋体"/>
          <w:sz w:val="24"/>
        </w:rPr>
      </w:pPr>
      <w:r>
        <w:rPr>
          <w:rFonts w:hint="eastAsia" w:ascii="宋体" w:hAnsi="宋体" w:eastAsia="宋体"/>
          <w:sz w:val="24"/>
        </w:rPr>
        <w:t xml:space="preserve">本次工程计量设施选用水尺，安装于已建渠道，故不再考虑抗冻胀问题。 </w:t>
      </w:r>
    </w:p>
    <w:p w14:paraId="162C47DF">
      <w:pPr>
        <w:pStyle w:val="4"/>
        <w:rPr>
          <w:sz w:val="24"/>
          <w:szCs w:val="24"/>
        </w:rPr>
      </w:pPr>
      <w:bookmarkStart w:id="45" w:name="_Toc179900121"/>
      <w:r>
        <w:rPr>
          <w:rFonts w:hint="eastAsia"/>
          <w:sz w:val="24"/>
          <w:szCs w:val="24"/>
        </w:rPr>
        <w:t>4</w:t>
      </w:r>
      <w:r>
        <w:rPr>
          <w:sz w:val="24"/>
          <w:szCs w:val="24"/>
        </w:rPr>
        <w:t xml:space="preserve">.3.4 </w:t>
      </w:r>
      <w:r>
        <w:rPr>
          <w:rFonts w:hint="eastAsia"/>
          <w:sz w:val="24"/>
          <w:szCs w:val="24"/>
        </w:rPr>
        <w:t>建筑物防腐设计</w:t>
      </w:r>
      <w:bookmarkEnd w:id="45"/>
      <w:r>
        <w:rPr>
          <w:rFonts w:hint="eastAsia"/>
          <w:sz w:val="24"/>
          <w:szCs w:val="24"/>
        </w:rPr>
        <w:t xml:space="preserve"> </w:t>
      </w:r>
    </w:p>
    <w:p w14:paraId="5D510FA3">
      <w:pPr>
        <w:spacing w:line="480" w:lineRule="auto"/>
        <w:rPr>
          <w:rFonts w:ascii="宋体" w:hAnsi="宋体" w:eastAsia="宋体"/>
          <w:sz w:val="24"/>
        </w:rPr>
      </w:pPr>
      <w:r>
        <w:rPr>
          <w:rFonts w:hint="eastAsia" w:ascii="宋体" w:hAnsi="宋体" w:eastAsia="宋体"/>
          <w:sz w:val="24"/>
        </w:rPr>
        <w:t>项目区环境水对混凝土具硫酸盐型弱腐蚀对混凝土中的钢筋、钢结构具有弱腐蚀性；</w:t>
      </w:r>
    </w:p>
    <w:p w14:paraId="4AA53184">
      <w:pPr>
        <w:spacing w:line="480" w:lineRule="auto"/>
        <w:rPr>
          <w:rFonts w:ascii="宋体" w:hAnsi="宋体" w:eastAsia="宋体"/>
          <w:sz w:val="24"/>
        </w:rPr>
      </w:pPr>
      <w:r>
        <w:rPr>
          <w:rFonts w:hint="eastAsia" w:ascii="宋体" w:hAnsi="宋体" w:eastAsia="宋体"/>
          <w:sz w:val="24"/>
        </w:rPr>
        <w:t xml:space="preserve">项目区环境类型为 </w:t>
      </w:r>
      <w:r>
        <w:rPr>
          <w:rFonts w:ascii="宋体" w:hAnsi="宋体" w:eastAsia="宋体"/>
          <w:sz w:val="24"/>
        </w:rPr>
        <w:t xml:space="preserve">III </w:t>
      </w:r>
      <w:r>
        <w:rPr>
          <w:rFonts w:hint="eastAsia" w:ascii="宋体" w:hAnsi="宋体" w:eastAsia="宋体"/>
          <w:sz w:val="24"/>
        </w:rPr>
        <w:t>类，所以本次设计所用水尺采用不锈钢材质。</w:t>
      </w:r>
    </w:p>
    <w:p w14:paraId="64468201">
      <w:pPr>
        <w:spacing w:line="480" w:lineRule="auto"/>
        <w:rPr>
          <w:rFonts w:hint="eastAsia" w:ascii="宋体" w:hAnsi="宋体" w:eastAsia="宋体"/>
          <w:b/>
          <w:bCs/>
          <w:sz w:val="24"/>
        </w:rPr>
      </w:pPr>
      <w:r>
        <w:rPr>
          <w:rFonts w:hint="eastAsia" w:ascii="宋体" w:hAnsi="宋体" w:eastAsia="宋体"/>
          <w:b/>
          <w:bCs/>
          <w:sz w:val="24"/>
        </w:rPr>
        <w:t>以下为各乡镇水尺统计表：</w:t>
      </w:r>
    </w:p>
    <w:p w14:paraId="2475075A">
      <w:pPr>
        <w:spacing w:line="480" w:lineRule="auto"/>
        <w:rPr>
          <w:rFonts w:ascii="宋体" w:hAnsi="宋体" w:eastAsia="宋体"/>
          <w:sz w:val="24"/>
        </w:rPr>
      </w:pPr>
      <w:r>
        <w:rPr>
          <w:rFonts w:ascii="宋体" w:hAnsi="宋体" w:eastAsia="宋体"/>
          <w:sz w:val="24"/>
        </w:rPr>
        <w:br w:type="page"/>
      </w:r>
    </w:p>
    <w:p w14:paraId="7EDE9D9D">
      <w:pPr>
        <w:spacing w:line="480" w:lineRule="auto"/>
        <w:rPr>
          <w:rFonts w:ascii="宋体" w:hAnsi="宋体" w:eastAsia="宋体"/>
          <w:sz w:val="24"/>
        </w:rPr>
        <w:sectPr>
          <w:pgSz w:w="11906" w:h="16838"/>
          <w:pgMar w:top="1440" w:right="1800" w:bottom="1440" w:left="1800" w:header="851" w:footer="992" w:gutter="0"/>
          <w:cols w:space="425" w:num="1"/>
          <w:docGrid w:type="lines" w:linePitch="312" w:charSpace="0"/>
        </w:sectPr>
      </w:pPr>
    </w:p>
    <w:tbl>
      <w:tblPr>
        <w:tblStyle w:val="10"/>
        <w:tblW w:w="11067" w:type="dxa"/>
        <w:jc w:val="center"/>
        <w:tblLayout w:type="autofit"/>
        <w:tblCellMar>
          <w:top w:w="0" w:type="dxa"/>
          <w:left w:w="108" w:type="dxa"/>
          <w:bottom w:w="0" w:type="dxa"/>
          <w:right w:w="108" w:type="dxa"/>
        </w:tblCellMar>
      </w:tblPr>
      <w:tblGrid>
        <w:gridCol w:w="485"/>
        <w:gridCol w:w="19"/>
        <w:gridCol w:w="33"/>
        <w:gridCol w:w="20"/>
        <w:gridCol w:w="7"/>
        <w:gridCol w:w="2"/>
        <w:gridCol w:w="7"/>
        <w:gridCol w:w="28"/>
        <w:gridCol w:w="7"/>
        <w:gridCol w:w="10"/>
        <w:gridCol w:w="98"/>
        <w:gridCol w:w="1724"/>
        <w:gridCol w:w="48"/>
        <w:gridCol w:w="87"/>
        <w:gridCol w:w="42"/>
        <w:gridCol w:w="22"/>
        <w:gridCol w:w="31"/>
        <w:gridCol w:w="105"/>
        <w:gridCol w:w="88"/>
        <w:gridCol w:w="51"/>
        <w:gridCol w:w="16"/>
        <w:gridCol w:w="299"/>
        <w:gridCol w:w="195"/>
        <w:gridCol w:w="90"/>
        <w:gridCol w:w="102"/>
        <w:gridCol w:w="46"/>
        <w:gridCol w:w="24"/>
        <w:gridCol w:w="54"/>
        <w:gridCol w:w="53"/>
        <w:gridCol w:w="36"/>
        <w:gridCol w:w="41"/>
        <w:gridCol w:w="4"/>
        <w:gridCol w:w="73"/>
        <w:gridCol w:w="93"/>
        <w:gridCol w:w="70"/>
        <w:gridCol w:w="52"/>
        <w:gridCol w:w="150"/>
        <w:gridCol w:w="18"/>
        <w:gridCol w:w="75"/>
        <w:gridCol w:w="6"/>
        <w:gridCol w:w="36"/>
        <w:gridCol w:w="61"/>
        <w:gridCol w:w="41"/>
        <w:gridCol w:w="61"/>
        <w:gridCol w:w="19"/>
        <w:gridCol w:w="57"/>
        <w:gridCol w:w="37"/>
        <w:gridCol w:w="32"/>
        <w:gridCol w:w="90"/>
        <w:gridCol w:w="48"/>
        <w:gridCol w:w="177"/>
        <w:gridCol w:w="167"/>
        <w:gridCol w:w="32"/>
        <w:gridCol w:w="215"/>
        <w:gridCol w:w="44"/>
        <w:gridCol w:w="620"/>
        <w:gridCol w:w="414"/>
        <w:gridCol w:w="35"/>
        <w:gridCol w:w="24"/>
        <w:gridCol w:w="124"/>
        <w:gridCol w:w="76"/>
        <w:gridCol w:w="176"/>
        <w:gridCol w:w="26"/>
        <w:gridCol w:w="17"/>
        <w:gridCol w:w="4"/>
        <w:gridCol w:w="59"/>
        <w:gridCol w:w="200"/>
        <w:gridCol w:w="162"/>
        <w:gridCol w:w="331"/>
        <w:gridCol w:w="67"/>
        <w:gridCol w:w="353"/>
        <w:gridCol w:w="519"/>
        <w:gridCol w:w="3"/>
        <w:gridCol w:w="231"/>
        <w:gridCol w:w="26"/>
        <w:gridCol w:w="11"/>
        <w:gridCol w:w="60"/>
        <w:gridCol w:w="24"/>
        <w:gridCol w:w="100"/>
        <w:gridCol w:w="122"/>
        <w:gridCol w:w="67"/>
        <w:gridCol w:w="75"/>
        <w:gridCol w:w="156"/>
        <w:gridCol w:w="223"/>
        <w:gridCol w:w="13"/>
        <w:gridCol w:w="131"/>
        <w:gridCol w:w="85"/>
        <w:gridCol w:w="46"/>
        <w:gridCol w:w="26"/>
        <w:gridCol w:w="41"/>
        <w:gridCol w:w="17"/>
        <w:gridCol w:w="47"/>
        <w:gridCol w:w="37"/>
        <w:gridCol w:w="6"/>
        <w:gridCol w:w="111"/>
        <w:gridCol w:w="173"/>
        <w:gridCol w:w="94"/>
        <w:gridCol w:w="33"/>
        <w:gridCol w:w="468"/>
        <w:gridCol w:w="128"/>
        <w:gridCol w:w="75"/>
      </w:tblGrid>
      <w:tr w14:paraId="4EC3F9F2">
        <w:tblPrEx>
          <w:tblCellMar>
            <w:top w:w="0" w:type="dxa"/>
            <w:left w:w="108" w:type="dxa"/>
            <w:bottom w:w="0" w:type="dxa"/>
            <w:right w:w="108" w:type="dxa"/>
          </w:tblCellMar>
        </w:tblPrEx>
        <w:trPr>
          <w:gridAfter w:val="4"/>
          <w:wAfter w:w="710" w:type="dxa"/>
          <w:trHeight w:val="439" w:hRule="atLeast"/>
          <w:jc w:val="center"/>
        </w:trPr>
        <w:tc>
          <w:tcPr>
            <w:tcW w:w="10357" w:type="dxa"/>
            <w:gridSpan w:val="9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D600">
            <w:pPr>
              <w:widowControl/>
              <w:spacing w:after="0" w:line="240" w:lineRule="auto"/>
              <w:jc w:val="center"/>
              <w:rPr>
                <w:rFonts w:ascii="宋体" w:hAnsi="宋体" w:eastAsia="宋体" w:cs="宋体"/>
                <w:b/>
                <w:bCs/>
                <w:color w:val="000000"/>
                <w:kern w:val="0"/>
                <w:sz w:val="28"/>
                <w:szCs w:val="28"/>
                <w14:ligatures w14:val="none"/>
              </w:rPr>
            </w:pPr>
            <w:r>
              <w:rPr>
                <w:rFonts w:hint="eastAsia" w:ascii="宋体" w:hAnsi="宋体" w:eastAsia="宋体" w:cs="宋体"/>
                <w:b/>
                <w:bCs/>
                <w:color w:val="000000"/>
                <w:kern w:val="0"/>
                <w:sz w:val="28"/>
                <w:szCs w:val="28"/>
                <w14:ligatures w14:val="none"/>
              </w:rPr>
              <w:t>依提木孔乡水尺明细表</w:t>
            </w:r>
          </w:p>
        </w:tc>
      </w:tr>
      <w:tr w14:paraId="724608AA">
        <w:tblPrEx>
          <w:tblCellMar>
            <w:top w:w="0" w:type="dxa"/>
            <w:left w:w="108" w:type="dxa"/>
            <w:bottom w:w="0" w:type="dxa"/>
            <w:right w:w="108" w:type="dxa"/>
          </w:tblCellMar>
        </w:tblPrEx>
        <w:trPr>
          <w:gridAfter w:val="4"/>
          <w:wAfter w:w="710" w:type="dxa"/>
          <w:trHeight w:val="439" w:hRule="atLeast"/>
          <w:jc w:val="center"/>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824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05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8D2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95"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84F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3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D9F4">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352"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42B0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23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AA6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27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79E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46FE2749">
        <w:tblPrEx>
          <w:tblCellMar>
            <w:top w:w="0" w:type="dxa"/>
            <w:left w:w="108" w:type="dxa"/>
            <w:bottom w:w="0" w:type="dxa"/>
            <w:right w:w="108" w:type="dxa"/>
          </w:tblCellMar>
        </w:tblPrEx>
        <w:trPr>
          <w:gridAfter w:val="4"/>
          <w:wAfter w:w="710" w:type="dxa"/>
          <w:trHeight w:val="439" w:hRule="atLeast"/>
          <w:jc w:val="center"/>
        </w:trPr>
        <w:tc>
          <w:tcPr>
            <w:tcW w:w="617" w:type="dxa"/>
            <w:gridSpan w:val="10"/>
            <w:tcBorders>
              <w:top w:val="single" w:color="000000" w:sz="4" w:space="0"/>
              <w:left w:val="single" w:color="000000" w:sz="4" w:space="0"/>
              <w:bottom w:val="nil"/>
              <w:right w:val="single" w:color="000000" w:sz="4" w:space="0"/>
            </w:tcBorders>
            <w:shd w:val="clear" w:color="auto" w:fill="auto"/>
            <w:noWrap/>
            <w:vAlign w:val="center"/>
          </w:tcPr>
          <w:p w14:paraId="76FF5D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5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87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21村4、5组渠</w:t>
            </w:r>
          </w:p>
        </w:tc>
        <w:tc>
          <w:tcPr>
            <w:tcW w:w="1195"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75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3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F0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352"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BE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37:55:06.70591</w:t>
            </w:r>
          </w:p>
        </w:tc>
        <w:tc>
          <w:tcPr>
            <w:tcW w:w="223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07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77:24:10.09448</w:t>
            </w:r>
          </w:p>
        </w:tc>
        <w:tc>
          <w:tcPr>
            <w:tcW w:w="1271" w:type="dxa"/>
            <w:gridSpan w:val="16"/>
            <w:tcBorders>
              <w:top w:val="single" w:color="000000" w:sz="4" w:space="0"/>
              <w:left w:val="single" w:color="000000" w:sz="4" w:space="0"/>
              <w:bottom w:val="nil"/>
              <w:right w:val="single" w:color="000000" w:sz="4" w:space="0"/>
            </w:tcBorders>
            <w:shd w:val="clear" w:color="auto" w:fill="auto"/>
            <w:noWrap/>
            <w:vAlign w:val="center"/>
          </w:tcPr>
          <w:p w14:paraId="10E88B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15F5638">
        <w:tblPrEx>
          <w:tblCellMar>
            <w:top w:w="0" w:type="dxa"/>
            <w:left w:w="108" w:type="dxa"/>
            <w:bottom w:w="0" w:type="dxa"/>
            <w:right w:w="108" w:type="dxa"/>
          </w:tblCellMar>
        </w:tblPrEx>
        <w:trPr>
          <w:gridAfter w:val="4"/>
          <w:wAfter w:w="710" w:type="dxa"/>
          <w:trHeight w:val="439" w:hRule="atLeast"/>
          <w:jc w:val="center"/>
        </w:trPr>
        <w:tc>
          <w:tcPr>
            <w:tcW w:w="617" w:type="dxa"/>
            <w:gridSpan w:val="10"/>
            <w:tcBorders>
              <w:top w:val="single" w:color="000000" w:sz="4" w:space="0"/>
              <w:left w:val="single" w:color="000000" w:sz="4" w:space="0"/>
              <w:bottom w:val="nil"/>
              <w:right w:val="single" w:color="000000" w:sz="4" w:space="0"/>
            </w:tcBorders>
            <w:shd w:val="clear" w:color="auto" w:fill="auto"/>
            <w:noWrap/>
            <w:vAlign w:val="center"/>
          </w:tcPr>
          <w:p w14:paraId="09637D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05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AD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11村1、2 组渠</w:t>
            </w:r>
          </w:p>
        </w:tc>
        <w:tc>
          <w:tcPr>
            <w:tcW w:w="1195"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93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w:t>
            </w:r>
          </w:p>
        </w:tc>
        <w:tc>
          <w:tcPr>
            <w:tcW w:w="63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B2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352"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25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37:51:57.71980</w:t>
            </w:r>
          </w:p>
        </w:tc>
        <w:tc>
          <w:tcPr>
            <w:tcW w:w="223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4B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77:21:05.04864</w:t>
            </w:r>
          </w:p>
        </w:tc>
        <w:tc>
          <w:tcPr>
            <w:tcW w:w="1271" w:type="dxa"/>
            <w:gridSpan w:val="16"/>
            <w:tcBorders>
              <w:top w:val="single" w:color="000000" w:sz="4" w:space="0"/>
              <w:left w:val="single" w:color="000000" w:sz="4" w:space="0"/>
              <w:bottom w:val="nil"/>
              <w:right w:val="single" w:color="000000" w:sz="4" w:space="0"/>
            </w:tcBorders>
            <w:shd w:val="clear" w:color="auto" w:fill="auto"/>
            <w:noWrap/>
            <w:vAlign w:val="center"/>
          </w:tcPr>
          <w:p w14:paraId="6D3330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5E5C87E">
        <w:tblPrEx>
          <w:tblCellMar>
            <w:top w:w="0" w:type="dxa"/>
            <w:left w:w="108" w:type="dxa"/>
            <w:bottom w:w="0" w:type="dxa"/>
            <w:right w:w="108" w:type="dxa"/>
          </w:tblCellMar>
        </w:tblPrEx>
        <w:trPr>
          <w:gridAfter w:val="4"/>
          <w:wAfter w:w="710" w:type="dxa"/>
          <w:trHeight w:val="439" w:hRule="atLeast"/>
          <w:jc w:val="center"/>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BC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05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74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14村4组渠</w:t>
            </w:r>
          </w:p>
        </w:tc>
        <w:tc>
          <w:tcPr>
            <w:tcW w:w="1195"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36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3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95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352"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B3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37:52:21.55552</w:t>
            </w:r>
          </w:p>
        </w:tc>
        <w:tc>
          <w:tcPr>
            <w:tcW w:w="223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F23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77:21:57.68440</w:t>
            </w:r>
          </w:p>
        </w:tc>
        <w:tc>
          <w:tcPr>
            <w:tcW w:w="1271" w:type="dxa"/>
            <w:gridSpan w:val="16"/>
            <w:tcBorders>
              <w:top w:val="single" w:color="000000" w:sz="4" w:space="0"/>
              <w:left w:val="single" w:color="000000" w:sz="4" w:space="0"/>
              <w:bottom w:val="nil"/>
              <w:right w:val="single" w:color="000000" w:sz="4" w:space="0"/>
            </w:tcBorders>
            <w:shd w:val="clear" w:color="auto" w:fill="auto"/>
            <w:noWrap/>
            <w:vAlign w:val="center"/>
          </w:tcPr>
          <w:p w14:paraId="401E69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8AB1649">
        <w:tblPrEx>
          <w:tblCellMar>
            <w:top w:w="0" w:type="dxa"/>
            <w:left w:w="108" w:type="dxa"/>
            <w:bottom w:w="0" w:type="dxa"/>
            <w:right w:w="108" w:type="dxa"/>
          </w:tblCellMar>
        </w:tblPrEx>
        <w:trPr>
          <w:gridAfter w:val="4"/>
          <w:wAfter w:w="710" w:type="dxa"/>
          <w:trHeight w:val="439" w:hRule="atLeast"/>
          <w:jc w:val="center"/>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09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05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82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15村2组渠</w:t>
            </w:r>
          </w:p>
        </w:tc>
        <w:tc>
          <w:tcPr>
            <w:tcW w:w="1195"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79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370</w:t>
            </w:r>
          </w:p>
        </w:tc>
        <w:tc>
          <w:tcPr>
            <w:tcW w:w="63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39D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352"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A0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37:52:06.67079</w:t>
            </w:r>
          </w:p>
        </w:tc>
        <w:tc>
          <w:tcPr>
            <w:tcW w:w="223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77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77:23:32.28207</w:t>
            </w:r>
          </w:p>
        </w:tc>
        <w:tc>
          <w:tcPr>
            <w:tcW w:w="1271" w:type="dxa"/>
            <w:gridSpan w:val="16"/>
            <w:tcBorders>
              <w:top w:val="single" w:color="000000" w:sz="4" w:space="0"/>
              <w:left w:val="single" w:color="000000" w:sz="4" w:space="0"/>
              <w:bottom w:val="nil"/>
              <w:right w:val="single" w:color="000000" w:sz="4" w:space="0"/>
            </w:tcBorders>
            <w:shd w:val="clear" w:color="auto" w:fill="auto"/>
            <w:noWrap/>
            <w:vAlign w:val="center"/>
          </w:tcPr>
          <w:p w14:paraId="54315F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B42847A">
        <w:tblPrEx>
          <w:tblCellMar>
            <w:top w:w="0" w:type="dxa"/>
            <w:left w:w="108" w:type="dxa"/>
            <w:bottom w:w="0" w:type="dxa"/>
            <w:right w:w="108" w:type="dxa"/>
          </w:tblCellMar>
        </w:tblPrEx>
        <w:trPr>
          <w:gridAfter w:val="4"/>
          <w:wAfter w:w="710" w:type="dxa"/>
          <w:trHeight w:val="280" w:hRule="atLeast"/>
          <w:jc w:val="center"/>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5F2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05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1E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13.14.15村</w:t>
            </w:r>
          </w:p>
        </w:tc>
        <w:tc>
          <w:tcPr>
            <w:tcW w:w="1195"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2F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3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6C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352"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4EB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37°52'07.3524"</w:t>
            </w:r>
          </w:p>
        </w:tc>
        <w:tc>
          <w:tcPr>
            <w:tcW w:w="223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57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77°23'42.5129"</w:t>
            </w:r>
          </w:p>
        </w:tc>
        <w:tc>
          <w:tcPr>
            <w:tcW w:w="127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79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E09CD8F">
        <w:tblPrEx>
          <w:tblCellMar>
            <w:top w:w="0" w:type="dxa"/>
            <w:left w:w="108" w:type="dxa"/>
            <w:bottom w:w="0" w:type="dxa"/>
            <w:right w:w="108" w:type="dxa"/>
          </w:tblCellMar>
        </w:tblPrEx>
        <w:trPr>
          <w:wAfter w:w="9" w:type="dxa"/>
          <w:trHeight w:val="350" w:hRule="atLeast"/>
        </w:trPr>
        <w:tc>
          <w:tcPr>
            <w:tcW w:w="11064" w:type="dxa"/>
            <w:gridSpan w:val="10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6C8F">
            <w:pPr>
              <w:widowControl/>
              <w:spacing w:after="0" w:line="240" w:lineRule="auto"/>
              <w:jc w:val="center"/>
              <w:rPr>
                <w:rFonts w:ascii="宋体" w:hAnsi="宋体" w:eastAsia="宋体" w:cs="宋体"/>
                <w:b/>
                <w:bCs/>
                <w:color w:val="000000"/>
                <w:kern w:val="0"/>
                <w:sz w:val="28"/>
                <w:szCs w:val="28"/>
                <w14:ligatures w14:val="none"/>
              </w:rPr>
            </w:pPr>
            <w:r>
              <w:rPr>
                <w:rFonts w:hint="eastAsia" w:ascii="宋体" w:hAnsi="宋体" w:eastAsia="宋体" w:cs="宋体"/>
                <w:b/>
                <w:bCs/>
                <w:color w:val="000000"/>
                <w:kern w:val="0"/>
                <w:sz w:val="28"/>
                <w:szCs w:val="28"/>
                <w14:ligatures w14:val="none"/>
              </w:rPr>
              <w:t>伯西热克乡水尺明细表</w:t>
            </w:r>
          </w:p>
        </w:tc>
      </w:tr>
      <w:tr w14:paraId="27191AA6">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CAED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6F1B">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20C1">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961E">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A9FB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FF4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A7567">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65506816">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483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88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13村高标准农田1号渠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BD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820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95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9B1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37:53:19.99820</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80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77:30:52.75341</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12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DB31EEA">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2D2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83E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14村栏杆农渠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07E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850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39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E6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37:53:33.17990</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2A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77:30:14.81654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5F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FE87DAF">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D0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2A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15村2、4、5组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CA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EC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47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37:53:58.32616</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75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77:30:19.08418</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F5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89594F6">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2C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85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15村2、3组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3A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35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69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37:54:17.58013</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938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77:30:01.35365</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4C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61FB5E3">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AE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34F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18村2组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F83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0BF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8C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37:54:09.19582</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66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77:28:56.72887</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FD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1A3B7D9">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1B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EB2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18村3、4组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13C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A0C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81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37:54:08.14388</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3F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77:28:57.27112</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33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D05118E">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56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0E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17村1-4组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CC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9D9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6F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37:53:52.67071</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91E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77:28:51.47313</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27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0A16246">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AF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3D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17村3组1号渠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F9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E1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83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37°53'58.2189"</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B9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77°28'49.5486"</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2D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BADFBBD">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05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83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17村3组3号渠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1E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BB6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6A0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37°54'11.0734"</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38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77°28'45.4899"</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21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4B147457">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5A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079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17村2、4组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58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9A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88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37°54'11.5200"</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93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77°28'46.4999"</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67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652DFDF">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FF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58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17村3组2号渠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41B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82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54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37°54'02.4051"</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60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77°28'44.0084"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064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939FA09">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E1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BB3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596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DB6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EB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37°54'42.4137"</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48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77°28'52.0603"</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6B5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697FB0C">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9F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F0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17村2组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EE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DF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4605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37:54:42.20922</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274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77:28:43.86679</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1F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9DBD25B">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5C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30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17村1组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95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09C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47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37°54'24.4619"</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28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77°29'07.8233"</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2A6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24ADBFE">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B04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68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17、18村</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88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D56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3CF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37:53:53.20869</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D2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77:28:53.39212</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B0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3EA06AA">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7B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42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18村3、4组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C7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14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C0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37:54:04.26955</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D0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77:29:37.17959</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46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816A99C">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B9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20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5村5组1号渠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08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D7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1E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37:54:03.72316</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77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77:29:38.06134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E9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0A76F37">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0C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E6F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15村5组2号渠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ED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9DE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AD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37:54:02.68655</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60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77:29:38.99326</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EF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3E7C7AF">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AB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35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8村1-4组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A1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79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2D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37:54:06.22186</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05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77:29:17.09793</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659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F3D43B7">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B74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8F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18村3、4组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BA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2B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0C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37°54'05.4790"</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697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77°29'27.6528"</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1313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49B7957A">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C77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DF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4村2、4组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5E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85F0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37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37°52'57.9621"</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95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77°29'34.6707"</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D7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6D85CAB">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87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76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5村1组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D1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84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20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37°52'58.2520"</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63A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77°29'34.5457"</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3F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E97FD22">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B6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C6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4村3组1号渠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35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CC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E7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37°52'53.1525"</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63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77°29'06.6088"</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C3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DCD9A00">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99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31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4村2组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CA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36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36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37°52'49.5548"</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97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77°29'33.0549"</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7D7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266E6F8">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C9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08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14村3组2号渠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F3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95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5B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37°52'49.7383"</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7C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77°29'32.8434"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6C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CE92A5C">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2F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CE34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15村1-2-3-4-5组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ED53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BACA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75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37:53:30.28865</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BF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77:29:33.59708</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039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88CFF83">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3B3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79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3村1-3组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97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CD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F7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37:52:25.80118</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C2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77:29:58.39716</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E2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98923E2">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14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34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9村1组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C99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69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86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37°52'20.9885"</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72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77°29'24.7070"</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83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F057422">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4C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F954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10村1-2-3组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B6DA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AB18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50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37:51:59.99661</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FA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77:29:53.15858</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AD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60C1831">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13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19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0村1、5组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17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5E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D6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37°51'39.1052"</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95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77°29'18.4838"</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8C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56F2CE1">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1FF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1A1F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9村1-2组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5E15D">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DAF1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A0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37:51:02.60956</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EA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77:29:21.41862</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60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C05977F">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C1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5B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w:t>
            </w:r>
            <w:r>
              <w:rPr>
                <w:rFonts w:ascii="宋体" w:hAnsi="宋体" w:eastAsia="宋体" w:cs="宋体"/>
                <w:color w:val="000000"/>
                <w:kern w:val="0"/>
                <w:szCs w:val="22"/>
                <w14:ligatures w14:val="none"/>
              </w:rPr>
              <w:t>3、4组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04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5A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D3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37°50'59.5111"</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6B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77°29'50.3414"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10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0284B06">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17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1F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w:t>
            </w:r>
            <w:r>
              <w:rPr>
                <w:rFonts w:ascii="宋体" w:hAnsi="宋体" w:eastAsia="宋体" w:cs="宋体"/>
                <w:color w:val="000000"/>
                <w:kern w:val="0"/>
                <w:szCs w:val="22"/>
                <w14:ligatures w14:val="none"/>
              </w:rPr>
              <w:t>4组、10村5组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FB00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412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672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37°50'57.1638"</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92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77°30'10.4189"</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53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0C43600">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37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34</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6E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w:t>
            </w:r>
            <w:r>
              <w:rPr>
                <w:rFonts w:ascii="宋体" w:hAnsi="宋体" w:eastAsia="宋体" w:cs="宋体"/>
                <w:color w:val="000000"/>
                <w:kern w:val="0"/>
                <w:szCs w:val="22"/>
                <w14:ligatures w14:val="none"/>
              </w:rPr>
              <w:t>5组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F5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8C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5C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37:49:48.59712</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CC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77:29:25.78534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BBC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01E8721">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F4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58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w:t>
            </w:r>
            <w:r>
              <w:rPr>
                <w:rFonts w:ascii="宋体" w:hAnsi="宋体" w:eastAsia="宋体" w:cs="宋体"/>
                <w:color w:val="000000"/>
                <w:kern w:val="0"/>
                <w:szCs w:val="22"/>
                <w14:ligatures w14:val="none"/>
              </w:rPr>
              <w:t>4、5组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61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23A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D6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37°49'35.1494"</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AB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77°28'52.5032"</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28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CFEA571">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DC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36</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80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w:t>
            </w:r>
            <w:r>
              <w:rPr>
                <w:rFonts w:ascii="宋体" w:hAnsi="宋体" w:eastAsia="宋体" w:cs="宋体"/>
                <w:color w:val="000000"/>
                <w:kern w:val="0"/>
                <w:szCs w:val="22"/>
                <w14:ligatures w14:val="none"/>
              </w:rPr>
              <w:t>3、5组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C5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A0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44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37:49:35.19445</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811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77:29:23.10810</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DC1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DFEED03">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E80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2C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6村3、4组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CC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58C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7A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37:49:50.38288</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40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77:29:05.63660</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12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7F43612">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8E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C6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w:t>
            </w:r>
            <w:r>
              <w:rPr>
                <w:rFonts w:ascii="宋体" w:hAnsi="宋体" w:eastAsia="宋体" w:cs="宋体"/>
                <w:color w:val="000000"/>
                <w:kern w:val="0"/>
                <w:szCs w:val="22"/>
                <w14:ligatures w14:val="none"/>
              </w:rPr>
              <w:t>1-3组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36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2BE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15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37:46:05.56559</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65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77:28:54.95224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B9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526BC2C">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25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39</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5F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4村2、3组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50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39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F3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37:46:02.64430</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8C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77:28:38.84724</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971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4292E27">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BD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A3D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r>
              <w:rPr>
                <w:rFonts w:ascii="宋体" w:hAnsi="宋体" w:eastAsia="宋体" w:cs="宋体"/>
                <w:color w:val="000000"/>
                <w:kern w:val="0"/>
                <w:szCs w:val="22"/>
                <w14:ligatures w14:val="none"/>
              </w:rPr>
              <w:t>4村</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17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EC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57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37:46:02.64879</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3FC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77:28:39.62486</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69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384061D">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52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41</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7E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w:t>
            </w:r>
            <w:r>
              <w:rPr>
                <w:rFonts w:ascii="宋体" w:hAnsi="宋体" w:eastAsia="宋体" w:cs="宋体"/>
                <w:color w:val="000000"/>
                <w:kern w:val="0"/>
                <w:szCs w:val="22"/>
                <w14:ligatures w14:val="none"/>
              </w:rPr>
              <w:t>2、3组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DC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16B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25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37°44'17.0940"</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F5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77°29'33.2131"</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0B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BCC96F9">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3D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42</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6C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w:t>
            </w:r>
            <w:r>
              <w:rPr>
                <w:rFonts w:ascii="宋体" w:hAnsi="宋体" w:eastAsia="宋体" w:cs="宋体"/>
                <w:color w:val="000000"/>
                <w:kern w:val="0"/>
                <w:szCs w:val="22"/>
                <w14:ligatures w14:val="none"/>
              </w:rPr>
              <w:t>2-4组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BE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2C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C5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37:44:18.86122</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D3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77:29:22.68816</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08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55BE69">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E3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43</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9C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3、4村支渠</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FF4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36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0B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37:44:14.39504</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9A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77:29:39.63588</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25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B35AC1D">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19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44</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1C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w:t>
            </w:r>
            <w:r>
              <w:rPr>
                <w:rFonts w:ascii="宋体" w:hAnsi="宋体" w:eastAsia="宋体" w:cs="宋体"/>
                <w:color w:val="000000"/>
                <w:kern w:val="0"/>
                <w:szCs w:val="22"/>
                <w14:ligatures w14:val="none"/>
              </w:rPr>
              <w:t>2组</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B4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F4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A97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37:44:30.92601</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87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77:29:46.05147</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62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1C0BD2E">
        <w:tblPrEx>
          <w:tblCellMar>
            <w:top w:w="0" w:type="dxa"/>
            <w:left w:w="108" w:type="dxa"/>
            <w:bottom w:w="0" w:type="dxa"/>
            <w:right w:w="108" w:type="dxa"/>
          </w:tblCellMar>
        </w:tblPrEx>
        <w:trPr>
          <w:wAfter w:w="9" w:type="dxa"/>
          <w:trHeight w:val="280" w:hRule="atLeast"/>
        </w:trPr>
        <w:tc>
          <w:tcPr>
            <w:tcW w:w="6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3D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w:t>
            </w:r>
          </w:p>
        </w:tc>
        <w:tc>
          <w:tcPr>
            <w:tcW w:w="29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C5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w:t>
            </w:r>
            <w:r>
              <w:rPr>
                <w:rFonts w:ascii="宋体" w:hAnsi="宋体" w:eastAsia="宋体" w:cs="宋体"/>
                <w:color w:val="000000"/>
                <w:kern w:val="0"/>
                <w:szCs w:val="22"/>
                <w14:ligatures w14:val="none"/>
              </w:rPr>
              <w:t>2组泵房</w:t>
            </w:r>
          </w:p>
        </w:tc>
        <w:tc>
          <w:tcPr>
            <w:tcW w:w="1232"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BA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7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A0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4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C3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37:45:05.03855</w:t>
            </w:r>
          </w:p>
        </w:tc>
        <w:tc>
          <w:tcPr>
            <w:tcW w:w="2251"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AD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77:29:32.33350</w:t>
            </w:r>
          </w:p>
        </w:tc>
        <w:tc>
          <w:tcPr>
            <w:tcW w:w="122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AE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9E93143">
        <w:tblPrEx>
          <w:tblCellMar>
            <w:top w:w="0" w:type="dxa"/>
            <w:left w:w="108" w:type="dxa"/>
            <w:bottom w:w="0" w:type="dxa"/>
            <w:right w:w="108" w:type="dxa"/>
          </w:tblCellMar>
        </w:tblPrEx>
        <w:trPr>
          <w:gridAfter w:val="2"/>
          <w:wAfter w:w="206" w:type="dxa"/>
          <w:trHeight w:val="300" w:hRule="atLeast"/>
        </w:trPr>
        <w:tc>
          <w:tcPr>
            <w:tcW w:w="10861" w:type="dxa"/>
            <w:gridSpan w:val="99"/>
            <w:tcBorders>
              <w:top w:val="nil"/>
              <w:left w:val="nil"/>
              <w:bottom w:val="nil"/>
              <w:right w:val="nil"/>
            </w:tcBorders>
            <w:shd w:val="clear" w:color="auto" w:fill="auto"/>
            <w:noWrap/>
            <w:vAlign w:val="center"/>
          </w:tcPr>
          <w:p w14:paraId="16BF72B7">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江格勒斯乡水尺明细表</w:t>
            </w:r>
          </w:p>
        </w:tc>
      </w:tr>
      <w:tr w14:paraId="0F599ED6">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1A9B">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0A77">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86D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854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218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C7F3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D79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高程</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9913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78BD8902">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8A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0F70">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9村4组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426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EDD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0.35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18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38:03:32.47747</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C2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77:29:50.78455</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34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1231.8776</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B2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FD2D3DB">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B6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5E3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11村支渠</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7BC0">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5100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C51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AE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38:03:51.02787</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05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77:29:43.75321</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4D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1230.3318</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F3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55E01AB">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2E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345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11村1,2,3组斗渠</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F70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2800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184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1.8</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563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38:04:23.81649</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A2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77:29:31.39930</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95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1227.6355</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CC2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DEE5DCB">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66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69C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江格勒斯11村3组比纳木斗渠</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5D19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210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632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0.6</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AFD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38:04:44.42006</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CE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77:29:25.29718</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59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1225.9103</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21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7AAAA80">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AA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E7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1村2组、12村</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D1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23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75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38:04:46.93583</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08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77:29:22.34046</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1A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1225.2359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9B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A389815">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489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D9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0村11村支渠</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51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8F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3C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38:02:44.16370</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E4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77:30:26.94977</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5A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1235.0736</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CB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4A4A2DF">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1E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D42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7村4组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690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650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A83D">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0.3</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506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38:02:18.49064</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97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77:30:46.34729</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56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1237.1642</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46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C3C162A">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nil"/>
              <w:right w:val="single" w:color="000000" w:sz="4" w:space="0"/>
            </w:tcBorders>
            <w:shd w:val="clear" w:color="auto" w:fill="auto"/>
            <w:noWrap/>
            <w:vAlign w:val="center"/>
          </w:tcPr>
          <w:p w14:paraId="57A7AD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5A2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7村3组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515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730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44F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0.6</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15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38:02:17.57887</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6C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77:30:45.46447</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9D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1237.2112</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52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4C3D9EA">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58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A25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8村4组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5C5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960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B73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0.4</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48B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38°02'17.6646"</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260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77°30'58.5747"</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FF37">
            <w:pPr>
              <w:widowControl/>
              <w:spacing w:after="0" w:line="240" w:lineRule="auto"/>
              <w:jc w:val="center"/>
              <w:rPr>
                <w:rFonts w:hint="eastAsia" w:ascii="宋体" w:hAnsi="宋体" w:eastAsia="宋体" w:cs="宋体"/>
                <w:color w:val="000000"/>
                <w:kern w:val="0"/>
                <w:szCs w:val="22"/>
                <w14:ligatures w14:val="none"/>
              </w:rPr>
            </w:pP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85E4">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E3E1024">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70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5CD0">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8村3组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A91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780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19B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35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38:02:18.34992</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8A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77:30:50.81877</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D0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1237.3706</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A9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23FB660">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36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F3AF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8村2组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D0E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650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C91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0.35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86F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38:01:56.09332</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94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77:30:55.09647</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CC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1238.8322</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93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B38B0C1">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B3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B39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9,10,11村支渠</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529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11000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172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9A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38:01:38.72804</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D2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77:30:54.73983</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31A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1239.2345</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58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1CC9FD3">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F0B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712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5村1组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2F2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9F6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0.35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380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38:01:32.27501</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DC3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77:30:53.71106</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2D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1241.0119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9E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3646A58">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F3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9B2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5村2组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4D90">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220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52D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0.2</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70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38:01:17.25259</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B0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77:30:56.79470</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1D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1241.4709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B9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9EBD57C">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E5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E09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5村2组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3A2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C00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0.35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26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38:01:16.56901</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EA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77:30:56.08928</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211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1241.7121</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AEE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92848DD">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FBA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56F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5村4组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292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1664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0.4</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97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38:00:53.99420</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38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77:30:52.78745</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9E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1243.1491</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9FB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2BC8C2B">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7A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D8A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6村2组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485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F3E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0.25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C8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38:00:52.90605</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A8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77:30:56.80515</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3F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1243.4439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25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334CCD7">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81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5CB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7,8,9,10,11村支渠</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3D0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18272.9</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13E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B7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38:00:55.78650</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B33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77:30:55.88047</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AE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1242.3519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B5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E0C3181">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3F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E59D">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5村4组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350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220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AAE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0.4</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1C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38:00:41.41075</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13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77:30:50.55781</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B7E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1244.1075</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18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4150101">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A0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402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3村1组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9850">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680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7320">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F1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38:00:31.45019</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F00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77:30:46.55952</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2C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1245.1693</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3D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08DC581">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26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B9D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3村2组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CB9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32C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D2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38:00:18.88161</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F2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77:30:42.91486</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A4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1245.8183</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7A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3E2A13F">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54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D5D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3村3组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D88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B87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92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38:00:06.56094</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9A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77:30:38.91041</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D9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1246.9733</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20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49E6B8B">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36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30B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2村1组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B63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850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C545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0.3</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61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37:59:52.49174</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C79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77:30:36.83495</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8C4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1247.8541</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6DC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42D570E">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8E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969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4村3组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E8E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1500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780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8A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37:59:52.69801</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4F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77:30:40.09943</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E1F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1246.5819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1B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B32DE74">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8B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05A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4村1组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CF51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1500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7E6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C6B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37:59:51.97265</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F1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77:30:41.62826</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B4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1247.2322</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651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FA8FEF6">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99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CD1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1村1组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6DD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1200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131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93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37:59:43.11918</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F4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77:30:40.19454</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84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1248.3103</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5B9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153D812">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36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BD1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1村2组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4533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520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71C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BE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37:59:33.84393</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25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77:30:37.72891</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07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1249.2569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5B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3C6F97F">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8BA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28B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2村3组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53D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920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FB6F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0.35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6E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37:59:34.54720</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CA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77:30:31.74734</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B4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1248.6694</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11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2305C07">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E36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16A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1村3组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24F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620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808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5F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37:59:20.67167</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6D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77:30:35.38770</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3B0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1249.6508</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94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1D89207">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1F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0AC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1村4组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6F4D">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1600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AE3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0.2</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718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37:59:09.23250</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9E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77:30:32.62432</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13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1250.1949</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23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8DA9D31">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7F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180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14村、2、3村、渠</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AC03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4690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789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0.4</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BD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37:58:55.30729</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8D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77:31:46.35986</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6E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1250.1974</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B8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C0B6572">
        <w:tblPrEx>
          <w:tblCellMar>
            <w:top w:w="0" w:type="dxa"/>
            <w:left w:w="108" w:type="dxa"/>
            <w:bottom w:w="0" w:type="dxa"/>
            <w:right w:w="108" w:type="dxa"/>
          </w:tblCellMar>
        </w:tblPrEx>
        <w:trPr>
          <w:gridAfter w:val="2"/>
          <w:wAfter w:w="206" w:type="dxa"/>
          <w:trHeight w:val="280" w:hRule="atLeast"/>
        </w:trPr>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86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2920"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52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w:t>
            </w:r>
            <w:r>
              <w:rPr>
                <w:rFonts w:ascii="宋体" w:hAnsi="宋体" w:eastAsia="宋体" w:cs="宋体"/>
                <w:color w:val="000000"/>
                <w:kern w:val="0"/>
                <w:szCs w:val="22"/>
                <w14:ligatures w14:val="none"/>
              </w:rPr>
              <w:t>4组</w:t>
            </w:r>
          </w:p>
        </w:tc>
        <w:tc>
          <w:tcPr>
            <w:tcW w:w="978"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05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5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945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8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24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37:59:20.59423</w:t>
            </w:r>
          </w:p>
        </w:tc>
        <w:tc>
          <w:tcPr>
            <w:tcW w:w="180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0F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77:30:28.54365</w:t>
            </w:r>
          </w:p>
        </w:tc>
        <w:tc>
          <w:tcPr>
            <w:tcW w:w="1206"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299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1249.4471</w:t>
            </w:r>
          </w:p>
        </w:tc>
        <w:tc>
          <w:tcPr>
            <w:tcW w:w="97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49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390FF59">
        <w:tblPrEx>
          <w:tblCellMar>
            <w:top w:w="0" w:type="dxa"/>
            <w:left w:w="108" w:type="dxa"/>
            <w:bottom w:w="0" w:type="dxa"/>
            <w:right w:w="108" w:type="dxa"/>
          </w:tblCellMar>
        </w:tblPrEx>
        <w:trPr>
          <w:gridAfter w:val="3"/>
          <w:wAfter w:w="676" w:type="dxa"/>
          <w:trHeight w:val="350" w:hRule="atLeast"/>
        </w:trPr>
        <w:tc>
          <w:tcPr>
            <w:tcW w:w="10391" w:type="dxa"/>
            <w:gridSpan w:val="9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C137">
            <w:pPr>
              <w:widowControl/>
              <w:spacing w:after="0" w:line="240" w:lineRule="auto"/>
              <w:jc w:val="center"/>
              <w:rPr>
                <w:rFonts w:ascii="宋体" w:hAnsi="宋体" w:eastAsia="宋体" w:cs="宋体"/>
                <w:b/>
                <w:bCs/>
                <w:color w:val="000000"/>
                <w:kern w:val="0"/>
                <w:sz w:val="28"/>
                <w:szCs w:val="28"/>
                <w14:ligatures w14:val="none"/>
              </w:rPr>
            </w:pPr>
            <w:r>
              <w:rPr>
                <w:rFonts w:hint="eastAsia" w:ascii="宋体" w:hAnsi="宋体" w:eastAsia="宋体" w:cs="宋体"/>
                <w:b/>
                <w:bCs/>
                <w:color w:val="000000"/>
                <w:kern w:val="0"/>
                <w:sz w:val="28"/>
                <w:szCs w:val="28"/>
                <w14:ligatures w14:val="none"/>
              </w:rPr>
              <w:t>洛克乡水尺明细表</w:t>
            </w:r>
          </w:p>
        </w:tc>
      </w:tr>
      <w:tr w14:paraId="2DA44E89">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8DFAE">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B24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B9F1">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DE1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0F6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1BC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20FA">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487C9BCF">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04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394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洛克7村4组斗渠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8D1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786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B0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37:55:33.15420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C2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77:36:50.56365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5C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402A4DB">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02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F9C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洛克7村2组斗渠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C609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6D0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20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37:55:51.26972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F89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77:36:47.60972</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B6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B10A2EA">
        <w:tblPrEx>
          <w:tblCellMar>
            <w:top w:w="0" w:type="dxa"/>
            <w:left w:w="108" w:type="dxa"/>
            <w:bottom w:w="0" w:type="dxa"/>
            <w:right w:w="108" w:type="dxa"/>
          </w:tblCellMar>
        </w:tblPrEx>
        <w:trPr>
          <w:gridAfter w:val="3"/>
          <w:wAfter w:w="676" w:type="dxa"/>
          <w:trHeight w:val="280" w:hRule="atLeast"/>
        </w:trPr>
        <w:tc>
          <w:tcPr>
            <w:tcW w:w="573"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A2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650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洛克7村3组斗渠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AF4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B99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43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37:55:50.45535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49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77:36:50.30630</w:t>
            </w:r>
          </w:p>
        </w:tc>
        <w:tc>
          <w:tcPr>
            <w:tcW w:w="1073" w:type="dxa"/>
            <w:gridSpan w:val="1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A62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下面梯形，上面矩形</w:t>
            </w:r>
          </w:p>
        </w:tc>
      </w:tr>
      <w:tr w14:paraId="7014C78E">
        <w:tblPrEx>
          <w:tblCellMar>
            <w:top w:w="0" w:type="dxa"/>
            <w:left w:w="108" w:type="dxa"/>
            <w:bottom w:w="0" w:type="dxa"/>
            <w:right w:w="108" w:type="dxa"/>
          </w:tblCellMar>
        </w:tblPrEx>
        <w:trPr>
          <w:gridAfter w:val="3"/>
          <w:wAfter w:w="676" w:type="dxa"/>
          <w:trHeight w:val="280" w:hRule="atLeast"/>
        </w:trPr>
        <w:tc>
          <w:tcPr>
            <w:tcW w:w="573" w:type="dxa"/>
            <w:gridSpan w:val="7"/>
            <w:vMerge w:val="continue"/>
            <w:tcBorders>
              <w:top w:val="single" w:color="000000" w:sz="4" w:space="0"/>
              <w:left w:val="single" w:color="000000" w:sz="4" w:space="0"/>
              <w:bottom w:val="single" w:color="000000" w:sz="4" w:space="0"/>
              <w:right w:val="single" w:color="000000" w:sz="4" w:space="0"/>
            </w:tcBorders>
            <w:vAlign w:val="center"/>
          </w:tcPr>
          <w:p w14:paraId="78F05328">
            <w:pPr>
              <w:widowControl/>
              <w:spacing w:after="0" w:line="240" w:lineRule="auto"/>
              <w:jc w:val="center"/>
              <w:rPr>
                <w:rFonts w:ascii="宋体" w:hAnsi="宋体" w:eastAsia="宋体" w:cs="宋体"/>
                <w:color w:val="000000"/>
                <w:kern w:val="0"/>
                <w:szCs w:val="22"/>
                <w14:ligatures w14:val="none"/>
              </w:rPr>
            </w:pP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7EAB">
            <w:pPr>
              <w:widowControl/>
              <w:spacing w:after="0" w:line="240" w:lineRule="auto"/>
              <w:jc w:val="center"/>
              <w:rPr>
                <w:rFonts w:hint="eastAsia" w:ascii="宋体" w:hAnsi="宋体" w:eastAsia="宋体" w:cs="宋体"/>
                <w:color w:val="000000"/>
                <w:kern w:val="0"/>
                <w:szCs w:val="22"/>
                <w14:ligatures w14:val="none"/>
              </w:rPr>
            </w:pP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FB23">
            <w:pPr>
              <w:widowControl/>
              <w:spacing w:after="0" w:line="240" w:lineRule="auto"/>
              <w:jc w:val="center"/>
              <w:rPr>
                <w:rFonts w:ascii="Times New Roman" w:hAnsi="Times New Roman" w:eastAsia="Times New Roman" w:cs="Times New Roman"/>
                <w:kern w:val="0"/>
                <w:sz w:val="20"/>
                <w:szCs w:val="20"/>
                <w14:ligatures w14:val="none"/>
              </w:rPr>
            </w:pP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8890">
            <w:pPr>
              <w:widowControl/>
              <w:spacing w:after="0" w:line="240" w:lineRule="auto"/>
              <w:jc w:val="center"/>
              <w:rPr>
                <w:rFonts w:ascii="Times New Roman" w:hAnsi="Times New Roman" w:eastAsia="Times New Roman" w:cs="Times New Roman"/>
                <w:kern w:val="0"/>
                <w:sz w:val="20"/>
                <w:szCs w:val="20"/>
                <w14:ligatures w14:val="none"/>
              </w:rPr>
            </w:pP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8792">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37:55:50.45705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D3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77:36:50.30402</w:t>
            </w:r>
          </w:p>
        </w:tc>
        <w:tc>
          <w:tcPr>
            <w:tcW w:w="1073" w:type="dxa"/>
            <w:gridSpan w:val="15"/>
            <w:vMerge w:val="continue"/>
            <w:tcBorders>
              <w:top w:val="single" w:color="000000" w:sz="4" w:space="0"/>
              <w:left w:val="single" w:color="000000" w:sz="4" w:space="0"/>
              <w:bottom w:val="single" w:color="000000" w:sz="4" w:space="0"/>
              <w:right w:val="single" w:color="000000" w:sz="4" w:space="0"/>
            </w:tcBorders>
            <w:vAlign w:val="center"/>
          </w:tcPr>
          <w:p w14:paraId="5BA7F7C8">
            <w:pPr>
              <w:widowControl/>
              <w:spacing w:after="0" w:line="240" w:lineRule="auto"/>
              <w:jc w:val="center"/>
              <w:rPr>
                <w:rFonts w:ascii="宋体" w:hAnsi="宋体" w:eastAsia="宋体" w:cs="宋体"/>
                <w:color w:val="000000"/>
                <w:kern w:val="0"/>
                <w:szCs w:val="22"/>
                <w14:ligatures w14:val="none"/>
              </w:rPr>
            </w:pPr>
          </w:p>
        </w:tc>
      </w:tr>
      <w:tr w14:paraId="23EAA8DF">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4BE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2CC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洛克7寸2组斗渠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9EE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BFF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A8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37:56:06.71328</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2D8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77:36:49.74195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AC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828FB78">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BA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58B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7村1组1号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E7D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6F8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1F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37:56:07.25665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B88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77:36:46.98059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43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ABF5A5B">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87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8FB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7村1组2号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D038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8DE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D6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37:56:22.59198</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0ED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77:36:48.53747</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48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0466039">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08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BDE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7村1组3号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DA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3E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9C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37:56:08.51466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6E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77:36:48.01872</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BE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E330375">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87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19B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7村3组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F1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D0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0E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37:55:52.05166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33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77:37:12.98755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9D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F4BEB09">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23D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3A0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B91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DB1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27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37:55:34.79152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B37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77:37:13.65975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A9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72A7336">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E3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D90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8村2组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F7F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C04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8B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37°54'39.8229"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BE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77°37'01.3173"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A1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E0411CB">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AE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D338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8村3组1号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305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F55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3A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37:54:22.77770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F1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77:36:53.00474</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0F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AB44B97">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013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D7B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8村3组2号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B43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5CC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05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37:54:22.07639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20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77:36:18.73759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6B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121509F">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F8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19A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9组2组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163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4F2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AC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37:53:37.35230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98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77:36:15.47227</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3A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550FF8">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54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CF31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洛克9村1、2组斗渠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8F9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73D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AC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37:53:37.43572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CD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77:36:17.70159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FE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DA74BCF">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39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5C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9村2组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A2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944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7C4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37:53:36.70123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970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77:36:18.72759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C3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1372955">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AF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1C8E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9村1组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B36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093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56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37:53:36.64858</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12B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77:36:55.07797</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CE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199C210">
        <w:tblPrEx>
          <w:tblCellMar>
            <w:top w:w="0" w:type="dxa"/>
            <w:left w:w="108" w:type="dxa"/>
            <w:bottom w:w="0" w:type="dxa"/>
            <w:right w:w="108" w:type="dxa"/>
          </w:tblCellMar>
        </w:tblPrEx>
        <w:trPr>
          <w:gridAfter w:val="3"/>
          <w:wAfter w:w="676" w:type="dxa"/>
          <w:trHeight w:val="56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37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vAlign w:val="center"/>
          </w:tcPr>
          <w:p w14:paraId="0B6310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洛克乃再尔巴格斗渠、9村3组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626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3F2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C6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37:52:52.40896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89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77:36:56.19483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C1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2CDF919">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2B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790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洛克9村2组一斗渠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C69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690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5F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37:52:53.40775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D8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77:36:17.94595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45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AF8B3CD">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4F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8BB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洛克9村3,4组一斗渠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550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A17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6E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37:52:13.41292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9D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77:36:17.88668</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19F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FE6E56B">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401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9E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8D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83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49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37:51:55.25033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2C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77:36:17.54091</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4B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BB7F24C">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40C8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D5E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6村3组1号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46C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111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40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37:53:02.42007</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30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77:33:43.81515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D8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9100965">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91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23F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洛克6村2组3号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2156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341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60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37:52:25.08203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F3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77:33:23.83320</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61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0FF5424">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52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A30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6村3、4组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6F9F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3A8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DC4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37°52'04.2983"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23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77°33'22.3172"</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228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CC07C5C">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5A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99EF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D48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5B5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BE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37°52'02.5649"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A9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77°33'20.1219"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55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654994A">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D2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066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6村3组2号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D11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9B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70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37°51'47.8043"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2C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77°33'07.6447"</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A9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3042DE3">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E9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D51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6村1组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3E7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D34A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A10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37:51:48.08055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AD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77:32:57.19128</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4B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E169AA6">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CA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5E1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洛克5村4组一斗渠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B99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2A7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4B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37:51:18.72374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41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77:32:33.17460</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293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891F8D2">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89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F96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洛克5村4组二斗渠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51C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60F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A8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37:51:17.48755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A4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77:32:36.23363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BB8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730FAA9">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78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03E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5村3组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6DD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63B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288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37:50:57.41091</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80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77:32:14.79061</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87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6596B4D">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23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211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洛克5村5组2组一斗渠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6DD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D1B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F7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37:50:56.15084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02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77:32:12.81707</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F5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36241B6">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F7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5A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5村5组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433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2D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6F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37°51'09.0300"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5D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77°31'59.8215"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E8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ED95B9D">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A9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219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洛克5村1组2组4组二斗渠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9EF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90B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3A7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37:50:42.84130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D9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77:31:58.51373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1C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A0FEA8D">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5B0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465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洛克5村1组一斗渠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020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439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96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37:50:41.01799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C9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77:32:01.51163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CD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FABB045">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77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34</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7F8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5村2组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339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830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34F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A9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37:50:42.33270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FD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77:32:01.35788</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03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7D5D2FA">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382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097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洛克4村4组斗渠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CB1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E9A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D2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37:50:21.71926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0FB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77:31:38.75422</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27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AF9521">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20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36</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6E3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洛克4村3组一斗渠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389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531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9A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37:50:20.89193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D1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77:31:36.91064</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90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17C4430">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D7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74D8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洛克4村3、4组斗渠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810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E52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6D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37:50:19.30064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D8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77:31:39.51926</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58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587B50A">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1243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C12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洛克乡4村2组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954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0E7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3BB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37:50:00.62985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1E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77:31:10.43446</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80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5EC52E">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14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39</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78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二牧园区</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3F3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4A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F84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37°46'43.3405"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6E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77°30'55.7406"</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8E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4EF5D85">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9A7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9D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一牧园区</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4F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7BF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956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37°46'24.6309"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95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77°31'32.2847"</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62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811D31F">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3B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41</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DF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县林沟</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C0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工业</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DB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57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37°46'18.5694"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28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77°31'44.0958"</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86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130B5F7">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915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42</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429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华凌农业</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70E93">
            <w:pPr>
              <w:widowControl/>
              <w:spacing w:after="0" w:line="240" w:lineRule="auto"/>
              <w:jc w:val="center"/>
              <w:rPr>
                <w:rFonts w:hint="eastAsia" w:ascii="宋体" w:hAnsi="宋体" w:eastAsia="宋体" w:cs="宋体"/>
                <w:color w:val="000000"/>
                <w:kern w:val="0"/>
                <w:szCs w:val="22"/>
                <w14:ligatures w14:val="none"/>
              </w:rPr>
            </w:pP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6F67">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BF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37:45:03.98886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FF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77:36:22.36423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DED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0A87C0C">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08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43</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13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保尔水库放水渠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7C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118100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22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7D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37:37:32.98586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C9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77:39:27.90426</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E8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D3A3D69">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DF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44</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D27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11村1组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815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7C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7C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37:36:22.66929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A5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77:38:45.43796</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CE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E35A470">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5C1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1C8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保尔水库进水口</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5F87">
            <w:pPr>
              <w:widowControl/>
              <w:spacing w:after="0" w:line="240" w:lineRule="auto"/>
              <w:jc w:val="center"/>
              <w:rPr>
                <w:rFonts w:hint="eastAsia" w:ascii="宋体" w:hAnsi="宋体" w:eastAsia="宋体" w:cs="宋体"/>
                <w:color w:val="000000"/>
                <w:kern w:val="0"/>
                <w:szCs w:val="22"/>
                <w14:ligatures w14:val="none"/>
              </w:rPr>
            </w:pP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6042">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037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37:36:22.35300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95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77:38:47.71168</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1EC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A1D51F4">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D9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46</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AE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11村1号渠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AB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48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CE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37:36:23.00495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9C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77:38:46.42658</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54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C8A291D">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B51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47</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AD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巷诺克闸口</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DF2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4A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4B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37:34:37.77709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46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77:37:23.91078</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D2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606D5E7">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763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48</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D3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12村2、4组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08F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0DE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96A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37:35:45.50064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BB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77:38:34.70294</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21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9F8D032">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45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49</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F9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12村3、4组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3C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3202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A4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37:35:59.07195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2DC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77:38:38.66753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598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DB72627">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B6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59C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11村3组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5E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5B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0C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37:36:49.45894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23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77:38:53.26706</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DF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D511DC">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96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51</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17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CE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B1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7C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37:36:49.92934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7C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77:38:50.66076</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27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092FDB2">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AC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52</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B5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1C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F99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22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37:36:50.61726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B4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77:38:52.46143</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06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7E43A9B">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33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53</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18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27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5D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44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37:37:15.09320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2C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77:38:58.96415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768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58FF466">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D8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54</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AB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10村2组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1B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10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23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37:37:15.62470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22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77:38:56.05365</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EC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1C7785C">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E8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98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10村4组1号渠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76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EF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8E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37:37:50.08549</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32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77:39:06.82370</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07D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AA117D1">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C1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56</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F8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10村4组2号渠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4B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48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38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37:37:51.14440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76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77:39:04.68599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8EF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B7DE704">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AD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57</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0F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10村4组3号渠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65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E9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C5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37°38'07.5555"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B62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77°39'16.1051"</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E7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3BC5679">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C3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58</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E40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洛克1村3、4组斗渠</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FC6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59D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690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37:48:51.65226</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D3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77:30:00.96699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C1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25A549C">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C9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59</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F81F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1村2组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F2B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758C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8A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37:48:15.93767</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03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77:29:53.65119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55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CFDF757">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4C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00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2村3、4组</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79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58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A0D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37:48:06.55237</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057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77:29:50.55559</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CC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C240856">
        <w:tblPrEx>
          <w:tblCellMar>
            <w:top w:w="0" w:type="dxa"/>
            <w:left w:w="108" w:type="dxa"/>
            <w:bottom w:w="0" w:type="dxa"/>
            <w:right w:w="108" w:type="dxa"/>
          </w:tblCellMar>
        </w:tblPrEx>
        <w:trPr>
          <w:gridAfter w:val="3"/>
          <w:wAfter w:w="676"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37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61</w:t>
            </w:r>
          </w:p>
        </w:tc>
        <w:tc>
          <w:tcPr>
            <w:tcW w:w="2941"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216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1村1组1号</w:t>
            </w:r>
          </w:p>
        </w:tc>
        <w:tc>
          <w:tcPr>
            <w:tcW w:w="1106"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7F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63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40C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C5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37:47:02.40770</w:t>
            </w:r>
          </w:p>
        </w:tc>
        <w:tc>
          <w:tcPr>
            <w:tcW w:w="203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949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77:30:05.05242</w:t>
            </w:r>
          </w:p>
        </w:tc>
        <w:tc>
          <w:tcPr>
            <w:tcW w:w="10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C31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BBB29EC">
        <w:tblPrEx>
          <w:tblCellMar>
            <w:top w:w="0" w:type="dxa"/>
            <w:left w:w="108" w:type="dxa"/>
            <w:bottom w:w="0" w:type="dxa"/>
            <w:right w:w="108" w:type="dxa"/>
          </w:tblCellMar>
        </w:tblPrEx>
        <w:trPr>
          <w:gridAfter w:val="13"/>
          <w:wAfter w:w="1251" w:type="dxa"/>
          <w:trHeight w:val="350" w:hRule="atLeast"/>
        </w:trPr>
        <w:tc>
          <w:tcPr>
            <w:tcW w:w="9816" w:type="dxa"/>
            <w:gridSpan w:val="88"/>
            <w:tcBorders>
              <w:top w:val="nil"/>
              <w:left w:val="nil"/>
              <w:bottom w:val="nil"/>
              <w:right w:val="nil"/>
            </w:tcBorders>
            <w:shd w:val="clear" w:color="auto" w:fill="auto"/>
            <w:noWrap/>
            <w:vAlign w:val="center"/>
          </w:tcPr>
          <w:p w14:paraId="3021CF83">
            <w:pPr>
              <w:widowControl/>
              <w:spacing w:after="0" w:line="240" w:lineRule="auto"/>
              <w:jc w:val="center"/>
              <w:rPr>
                <w:rFonts w:ascii="宋体" w:hAnsi="宋体" w:eastAsia="宋体" w:cs="宋体"/>
                <w:b/>
                <w:bCs/>
                <w:color w:val="000000"/>
                <w:kern w:val="0"/>
                <w:sz w:val="28"/>
                <w:szCs w:val="28"/>
                <w14:ligatures w14:val="none"/>
              </w:rPr>
            </w:pPr>
            <w:r>
              <w:rPr>
                <w:rFonts w:hint="eastAsia" w:ascii="宋体" w:hAnsi="宋体" w:eastAsia="宋体" w:cs="宋体"/>
                <w:b/>
                <w:bCs/>
                <w:color w:val="000000"/>
                <w:kern w:val="0"/>
                <w:sz w:val="28"/>
                <w:szCs w:val="28"/>
                <w14:ligatures w14:val="none"/>
              </w:rPr>
              <w:t>恰尔巴格镇水尺明细表</w:t>
            </w:r>
          </w:p>
        </w:tc>
      </w:tr>
      <w:tr w14:paraId="239BFEFF">
        <w:tblPrEx>
          <w:tblCellMar>
            <w:top w:w="0" w:type="dxa"/>
            <w:left w:w="108" w:type="dxa"/>
            <w:bottom w:w="0" w:type="dxa"/>
            <w:right w:w="108" w:type="dxa"/>
          </w:tblCellMar>
        </w:tblPrEx>
        <w:trPr>
          <w:gridAfter w:val="13"/>
          <w:wAfter w:w="1251"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72E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E92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0FE1">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1F7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4A4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B03B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0AA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025F6FC0">
        <w:tblPrEx>
          <w:tblCellMar>
            <w:top w:w="0" w:type="dxa"/>
            <w:left w:w="108" w:type="dxa"/>
            <w:bottom w:w="0" w:type="dxa"/>
            <w:right w:w="108" w:type="dxa"/>
          </w:tblCellMar>
        </w:tblPrEx>
        <w:trPr>
          <w:gridAfter w:val="13"/>
          <w:wAfter w:w="1251"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F4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AA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4村3组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7C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DFF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9E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37°58'59.5062"</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B4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77°21'33.0104"</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CC8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DB074FA">
        <w:tblPrEx>
          <w:tblCellMar>
            <w:top w:w="0" w:type="dxa"/>
            <w:left w:w="108" w:type="dxa"/>
            <w:bottom w:w="0" w:type="dxa"/>
            <w:right w:w="108" w:type="dxa"/>
          </w:tblCellMar>
        </w:tblPrEx>
        <w:trPr>
          <w:gridAfter w:val="13"/>
          <w:wAfter w:w="1251"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93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7F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r>
              <w:rPr>
                <w:rFonts w:ascii="宋体" w:hAnsi="宋体" w:eastAsia="宋体" w:cs="宋体"/>
                <w:color w:val="000000"/>
                <w:kern w:val="0"/>
                <w:szCs w:val="22"/>
                <w14:ligatures w14:val="none"/>
              </w:rPr>
              <w:t>4村1组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BD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34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F8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37°59'11.2118"</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26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77°21'44.8511"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1D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31B51B9">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64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4D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2村1-2组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AC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53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738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37:57:29.50405</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AA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77:20:35.50386</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C0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0705218">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A9C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7B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2村3-4组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BB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8D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E2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37:57:29.87325</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36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77:20:34.21621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11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C0510BD">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8F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C8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DB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FA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67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37:57:15.74348</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BE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77:20:28.87221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AD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94C8AAE">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99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31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13村2-3组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E1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0D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E20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37:56:59.26353</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98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77:20:25.49361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23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AA3EFAC">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E7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0B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6村7组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41F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12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AF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37:56:50.62433</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7DD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77:20:25.50992</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137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96A0CC2">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AA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FF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E0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580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08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BC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37:56:49.88910</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F5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77:20:26.54732</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9CD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4580F70">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87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70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6村5组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17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650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7B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7E6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37:56:50.31953</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814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77:20:26.20788</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98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F3E71C0">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34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299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89B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C8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44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37:56:40.10897</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A5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77:20:20.18036</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43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23B1F52">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C1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5F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13村2-3组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8D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C6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61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37:56:40.85498</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AD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77:20:19.89705</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59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5534B35">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9A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C7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F6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4D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CF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37:55:52.27840</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F8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77:20:22.09925</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B1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1602535">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BE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09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7村4组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A8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2C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55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37:55:56.84858</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AF9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77:20:25.85854</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46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D9DC29C">
        <w:tblPrEx>
          <w:tblCellMar>
            <w:top w:w="0" w:type="dxa"/>
            <w:left w:w="108" w:type="dxa"/>
            <w:bottom w:w="0" w:type="dxa"/>
            <w:right w:w="108" w:type="dxa"/>
          </w:tblCellMar>
        </w:tblPrEx>
        <w:trPr>
          <w:gridAfter w:val="13"/>
          <w:wAfter w:w="1251"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278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CA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5村1-6组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27D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FC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5F1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37:58:06.14344</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42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77:21:51.07363</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1FF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06E7F2B">
        <w:tblPrEx>
          <w:tblCellMar>
            <w:top w:w="0" w:type="dxa"/>
            <w:left w:w="108" w:type="dxa"/>
            <w:bottom w:w="0" w:type="dxa"/>
            <w:right w:w="108" w:type="dxa"/>
          </w:tblCellMar>
        </w:tblPrEx>
        <w:trPr>
          <w:gridAfter w:val="13"/>
          <w:wAfter w:w="1251" w:type="dxa"/>
          <w:trHeight w:val="28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EC4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8A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A2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C85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29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37°58'47.0049"</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3A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77°22'47.0860"</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EE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D68C466">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ED8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9F2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11村3组12寸3组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D6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21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38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37:53:49.67054</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97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77:18:00.23899</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29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FF852F4">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C2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D4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94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F43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BB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37:53:39.88954</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CD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77:17:52.88560</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A64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62C767C">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FD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19D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11村2组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70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75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91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37:53:39.06425</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F7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77:17:52.95849</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A2FB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8B0E299">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AA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4B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11村1-2-3组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35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DD2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32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37:52:40.19754</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B0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77:17:57.12225</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8B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FA4660C">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4D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CA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6C4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4B6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D38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37:52:15.13741</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DF9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77:18:09.06001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B8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7E362C4">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CE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09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12村4组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BD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14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A8A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37:53:23.01412</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58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77:18:26.75431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6EA0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041E603">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C4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728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20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75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9A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37:53:23.73011</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B2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77:18:25.86525</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E0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8FE0680">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D6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1F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09A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E5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4BE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37:54:09.40966</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41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77:19:05.51961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F7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C4E6E5A">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E5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00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34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AE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78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37:54:10.97604</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41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77:19:05.25230</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5C6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B02648B">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83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AA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10村1组3组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0B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7FE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52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37:54:21.73355</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E4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77:18:28.53230</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A8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F682E44">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C2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34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11村5组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820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EC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38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37:54:15.03410</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B0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77:18:19.41129</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CC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0777751">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B6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020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9村22-5组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04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6D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98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37:54:51.82926</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C1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77:18:53.72044</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D5D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1A9DC89">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DC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1D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9村2-7组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55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3FA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B1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37:54:52.57186</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C9D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77:18:53.65918</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AA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E14412E">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93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59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9村4组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94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A9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411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37:55:15.44654</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56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77:19:11.02168</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BF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7F7A8E3">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2C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18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3A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E5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27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37:53:51.13732</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1D60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77:19:31.66618</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B9D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5EE4558">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DB7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86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9村6-7组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22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74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48C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37:54:30.46915</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8C0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77:19:48.25420</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2E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64FB6DF">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C6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48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9村7组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AA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50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E78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37:54:30.39873</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F5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77:19:48.75623</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5C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B4D038A">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37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FF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9村6组8村4组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FFB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5C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16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37:54:51.96708</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1C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77:19:57.68991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F99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0AA97FF">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542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34</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688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8村3-4组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C3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E3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E8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37:55:01.78124</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A0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77:20:02.06721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4C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1834EC3">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B8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53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8村3-4组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E2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850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97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8A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37:55:08.81218</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D6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77:20:05.25735</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C9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FCFE85F">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68C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36</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B5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8村1-2组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9A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AFC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71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37:55:57.50791</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13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77:19:54.58390</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FAE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76B6612">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F6B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19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8村6组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17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E8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76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37:56:07.25793</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65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77:19:56.77417</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DB4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FA26C6D">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49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07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8村5组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47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45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67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37:56:06.24710</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7F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77:19:57.44782</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61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7854D18">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56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39</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348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8村5组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0F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DB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B9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37:56:12.65421</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4F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77:20:00.42964</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DE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4543ED0">
        <w:tblPrEx>
          <w:tblCellMar>
            <w:top w:w="0" w:type="dxa"/>
            <w:left w:w="108" w:type="dxa"/>
            <w:bottom w:w="0" w:type="dxa"/>
            <w:right w:w="108" w:type="dxa"/>
          </w:tblCellMar>
        </w:tblPrEx>
        <w:trPr>
          <w:gridAfter w:val="13"/>
          <w:wAfter w:w="1251" w:type="dxa"/>
          <w:trHeight w:val="270" w:hRule="atLeast"/>
        </w:trPr>
        <w:tc>
          <w:tcPr>
            <w:tcW w:w="57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50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w:t>
            </w:r>
          </w:p>
        </w:tc>
        <w:tc>
          <w:tcPr>
            <w:tcW w:w="235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CE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9村2组</w:t>
            </w:r>
          </w:p>
        </w:tc>
        <w:tc>
          <w:tcPr>
            <w:tcW w:w="110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87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0E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87"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0D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37:54:53.06470</w:t>
            </w:r>
          </w:p>
        </w:tc>
        <w:tc>
          <w:tcPr>
            <w:tcW w:w="202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1D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77:18:52.48081</w:t>
            </w:r>
          </w:p>
        </w:tc>
        <w:tc>
          <w:tcPr>
            <w:tcW w:w="110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9E4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F2E554B">
        <w:tblPrEx>
          <w:tblCellMar>
            <w:top w:w="0" w:type="dxa"/>
            <w:left w:w="108" w:type="dxa"/>
            <w:bottom w:w="0" w:type="dxa"/>
            <w:right w:w="108" w:type="dxa"/>
          </w:tblCellMar>
        </w:tblPrEx>
        <w:trPr>
          <w:gridAfter w:val="9"/>
          <w:wAfter w:w="1121" w:type="dxa"/>
          <w:trHeight w:val="300" w:hRule="atLeast"/>
        </w:trPr>
        <w:tc>
          <w:tcPr>
            <w:tcW w:w="9946" w:type="dxa"/>
            <w:gridSpan w:val="9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E29B">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恰其库木水尺明细表</w:t>
            </w:r>
          </w:p>
        </w:tc>
      </w:tr>
      <w:tr w14:paraId="1B29137B">
        <w:tblPrEx>
          <w:tblCellMar>
            <w:top w:w="0" w:type="dxa"/>
            <w:left w:w="108" w:type="dxa"/>
            <w:bottom w:w="0" w:type="dxa"/>
            <w:right w:w="108" w:type="dxa"/>
          </w:tblCellMar>
        </w:tblPrEx>
        <w:trPr>
          <w:gridAfter w:val="9"/>
          <w:wAfter w:w="1121" w:type="dxa"/>
          <w:trHeight w:val="28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D65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BDD47">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C87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BE61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3A0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E3C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8C5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0BE6282B">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1A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CC46D4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1村2组2号渠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C0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F4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6A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38:09:05.35671</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2A4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77:27:57.22770</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23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AE2D8D8">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A6B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DEF11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1村1组1号渠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78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4E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36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38:09:03.30954</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FD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77:27:57.71677</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D5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D55A8B1">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08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DCC988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恰其库木4村1组斗渠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16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BEF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12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38:09:32.24409</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AA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77:27:13.22248</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DA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FAEF811">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E1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D4CE3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恰其库木萨依闸二斗渠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0FD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5200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4A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DB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38:09:30.19359</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9B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77:27:13.95023</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ED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841D95F">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16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8748D1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恰其库木2村4组斗渠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E8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84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6F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38:09:48.15139</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02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77:28:47.01766</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09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2F5E3C7">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A7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75EB4C8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4村2组斗渠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3808">
            <w:pPr>
              <w:widowControl/>
              <w:spacing w:after="0" w:line="240" w:lineRule="auto"/>
              <w:jc w:val="center"/>
              <w:rPr>
                <w:rFonts w:hint="eastAsia" w:ascii="宋体" w:hAnsi="宋体" w:eastAsia="宋体" w:cs="宋体"/>
                <w:color w:val="000000"/>
                <w:kern w:val="0"/>
                <w:sz w:val="20"/>
                <w:szCs w:val="20"/>
                <w14:ligatures w14:val="none"/>
              </w:rPr>
            </w:pP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5FD8">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356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38:09:55.76197</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C5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77:28:44.47275</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A6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857E20D">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16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AE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4村2组2号斗渠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9F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84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F4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38:10:51.61329</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84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77:28:33.83158</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34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11C519A">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D4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6B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6村2组2号渠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91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9B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13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38:12:15.39686</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FB2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77:28:26.97916</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60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4037EDF">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49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CBF6D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恰其库木2村1组斗渠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75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11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27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38:10:32.93187</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96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77:29:21.02035</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A9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3B29A06">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DE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6B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3村4组1号农渠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95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92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65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38:10:40.46460</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50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77:30:42.59812</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1BF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9DB1158">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B14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C87E4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恰其库木3村4组斗渠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89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1650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E7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B9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38:10:52.16653</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32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77:31:03.35135</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B3A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2616FF1">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10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D72D63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恰其库木3村3组斗渠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88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9A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D2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38:10:52.67666</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7F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77:31:02.22424</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C6C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C862C35">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5D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18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17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45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37E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38:11:03.87679</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52F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77:31:22.91781</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76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07CDF16">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16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50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3村2组斗渠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86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A7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0.9</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EB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38:10:40.82966</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A3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77:30:41.59818</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00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A628304">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ED2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84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3村3组1号农渠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ED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BB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7C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38:11:03.43959</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03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77:30:37.55896</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73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2FD0253">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0E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BA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2村2组2号农渠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BB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18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57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38:09:53.63498</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6D4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77:29:51.44549</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C5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B573137">
        <w:tblPrEx>
          <w:tblCellMar>
            <w:top w:w="0" w:type="dxa"/>
            <w:left w:w="108" w:type="dxa"/>
            <w:bottom w:w="0" w:type="dxa"/>
            <w:right w:w="108" w:type="dxa"/>
          </w:tblCellMar>
        </w:tblPrEx>
        <w:trPr>
          <w:gridAfter w:val="9"/>
          <w:wAfter w:w="1121" w:type="dxa"/>
          <w:trHeight w:val="270" w:hRule="atLeast"/>
        </w:trPr>
        <w:tc>
          <w:tcPr>
            <w:tcW w:w="60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E5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00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D5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2村4组3号农渠</w:t>
            </w:r>
          </w:p>
        </w:tc>
        <w:tc>
          <w:tcPr>
            <w:tcW w:w="1173"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22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0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2A9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222" w:type="dxa"/>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42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38:10:08.70356</w:t>
            </w:r>
          </w:p>
        </w:tc>
        <w:tc>
          <w:tcPr>
            <w:tcW w:w="215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FC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77:29:26.95141</w:t>
            </w:r>
          </w:p>
        </w:tc>
        <w:tc>
          <w:tcPr>
            <w:tcW w:w="117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EA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7302320">
        <w:tblPrEx>
          <w:tblCellMar>
            <w:top w:w="0" w:type="dxa"/>
            <w:left w:w="108" w:type="dxa"/>
            <w:bottom w:w="0" w:type="dxa"/>
            <w:right w:w="108" w:type="dxa"/>
          </w:tblCellMar>
        </w:tblPrEx>
        <w:trPr>
          <w:gridAfter w:val="6"/>
          <w:wAfter w:w="966" w:type="dxa"/>
          <w:trHeight w:val="300" w:hRule="atLeast"/>
        </w:trPr>
        <w:tc>
          <w:tcPr>
            <w:tcW w:w="10101" w:type="dxa"/>
            <w:gridSpan w:val="9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037A">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金果镇水尺明细表</w:t>
            </w:r>
          </w:p>
        </w:tc>
      </w:tr>
      <w:tr w14:paraId="77BA1F03">
        <w:tblPrEx>
          <w:tblCellMar>
            <w:top w:w="0" w:type="dxa"/>
            <w:left w:w="108" w:type="dxa"/>
            <w:bottom w:w="0" w:type="dxa"/>
            <w:right w:w="108" w:type="dxa"/>
          </w:tblCellMar>
        </w:tblPrEx>
        <w:trPr>
          <w:gridAfter w:val="6"/>
          <w:wAfter w:w="966" w:type="dxa"/>
          <w:trHeight w:val="280" w:hRule="atLeast"/>
        </w:trPr>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57A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3253" w:type="dxa"/>
            <w:gridSpan w:val="2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138A">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939"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DCF7">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54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4EF4">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172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20B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172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DC74">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48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EF2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高程</w:t>
            </w:r>
          </w:p>
        </w:tc>
        <w:tc>
          <w:tcPr>
            <w:tcW w:w="939"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3A0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53716941">
        <w:tblPrEx>
          <w:tblCellMar>
            <w:top w:w="0" w:type="dxa"/>
            <w:left w:w="108" w:type="dxa"/>
            <w:bottom w:w="0" w:type="dxa"/>
            <w:right w:w="108" w:type="dxa"/>
          </w:tblCellMar>
        </w:tblPrEx>
        <w:trPr>
          <w:gridAfter w:val="6"/>
          <w:wAfter w:w="966" w:type="dxa"/>
          <w:trHeight w:val="280" w:hRule="atLeast"/>
        </w:trPr>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A1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3253" w:type="dxa"/>
            <w:gridSpan w:val="2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5F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1村1组2组3组</w:t>
            </w:r>
          </w:p>
        </w:tc>
        <w:tc>
          <w:tcPr>
            <w:tcW w:w="939"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CD7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370</w:t>
            </w:r>
          </w:p>
        </w:tc>
        <w:tc>
          <w:tcPr>
            <w:tcW w:w="54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12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72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43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37°51'20.1892"</w:t>
            </w:r>
          </w:p>
        </w:tc>
        <w:tc>
          <w:tcPr>
            <w:tcW w:w="172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836F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77°24'16.8759"</w:t>
            </w:r>
          </w:p>
        </w:tc>
        <w:tc>
          <w:tcPr>
            <w:tcW w:w="48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A486">
            <w:pPr>
              <w:widowControl/>
              <w:spacing w:after="0" w:line="240" w:lineRule="auto"/>
              <w:jc w:val="center"/>
              <w:rPr>
                <w:rFonts w:hint="eastAsia" w:ascii="宋体" w:hAnsi="宋体" w:eastAsia="宋体" w:cs="宋体"/>
                <w:color w:val="000000"/>
                <w:kern w:val="0"/>
                <w:szCs w:val="22"/>
                <w14:ligatures w14:val="none"/>
              </w:rPr>
            </w:pPr>
          </w:p>
        </w:tc>
        <w:tc>
          <w:tcPr>
            <w:tcW w:w="939"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645A">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C5E54FE">
        <w:tblPrEx>
          <w:tblCellMar>
            <w:top w:w="0" w:type="dxa"/>
            <w:left w:w="108" w:type="dxa"/>
            <w:bottom w:w="0" w:type="dxa"/>
            <w:right w:w="108" w:type="dxa"/>
          </w:tblCellMar>
        </w:tblPrEx>
        <w:trPr>
          <w:gridAfter w:val="6"/>
          <w:wAfter w:w="966" w:type="dxa"/>
          <w:trHeight w:val="280" w:hRule="atLeast"/>
        </w:trPr>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FF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3253" w:type="dxa"/>
            <w:gridSpan w:val="2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7B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10村1组2组3组4组5组6组</w:t>
            </w:r>
          </w:p>
        </w:tc>
        <w:tc>
          <w:tcPr>
            <w:tcW w:w="939"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3C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4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09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72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EC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37°52'45.5529"</w:t>
            </w:r>
          </w:p>
        </w:tc>
        <w:tc>
          <w:tcPr>
            <w:tcW w:w="172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08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77°27'37.5590"</w:t>
            </w:r>
          </w:p>
        </w:tc>
        <w:tc>
          <w:tcPr>
            <w:tcW w:w="48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70DAD">
            <w:pPr>
              <w:widowControl/>
              <w:spacing w:after="0" w:line="240" w:lineRule="auto"/>
              <w:jc w:val="center"/>
              <w:rPr>
                <w:rFonts w:hint="eastAsia" w:ascii="宋体" w:hAnsi="宋体" w:eastAsia="宋体" w:cs="宋体"/>
                <w:color w:val="000000"/>
                <w:kern w:val="0"/>
                <w:szCs w:val="22"/>
                <w14:ligatures w14:val="none"/>
              </w:rPr>
            </w:pPr>
          </w:p>
        </w:tc>
        <w:tc>
          <w:tcPr>
            <w:tcW w:w="939"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27CA">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E0BCE70">
        <w:tblPrEx>
          <w:tblCellMar>
            <w:top w:w="0" w:type="dxa"/>
            <w:left w:w="108" w:type="dxa"/>
            <w:bottom w:w="0" w:type="dxa"/>
            <w:right w:w="108" w:type="dxa"/>
          </w:tblCellMar>
        </w:tblPrEx>
        <w:trPr>
          <w:gridAfter w:val="8"/>
          <w:wAfter w:w="1084" w:type="dxa"/>
          <w:trHeight w:val="300" w:hRule="atLeast"/>
        </w:trPr>
        <w:tc>
          <w:tcPr>
            <w:tcW w:w="9983" w:type="dxa"/>
            <w:gridSpan w:val="93"/>
            <w:tcBorders>
              <w:top w:val="single" w:color="000000" w:sz="4" w:space="0"/>
              <w:left w:val="single" w:color="000000" w:sz="4" w:space="0"/>
              <w:bottom w:val="single" w:color="000000" w:sz="4" w:space="0"/>
              <w:right w:val="nil"/>
            </w:tcBorders>
            <w:shd w:val="clear" w:color="auto" w:fill="auto"/>
            <w:noWrap/>
            <w:vAlign w:val="center"/>
          </w:tcPr>
          <w:p w14:paraId="56B3FA3F">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河园镇水尺明细表</w:t>
            </w:r>
          </w:p>
        </w:tc>
      </w:tr>
      <w:tr w14:paraId="17A923A7">
        <w:tblPrEx>
          <w:tblCellMar>
            <w:top w:w="0" w:type="dxa"/>
            <w:left w:w="108" w:type="dxa"/>
            <w:bottom w:w="0" w:type="dxa"/>
            <w:right w:w="108" w:type="dxa"/>
          </w:tblCellMar>
        </w:tblPrEx>
        <w:trPr>
          <w:gridAfter w:val="8"/>
          <w:wAfter w:w="1084" w:type="dxa"/>
          <w:trHeight w:val="28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C08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D60DD">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6DC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D7D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27AE">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9BF3">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CD8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598FF1EC">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28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1CB5CF">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12村3组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35EFE">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CE4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D9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37:51:51.91123</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9E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77:18:39.99129</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6D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55DC95C">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8F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0ED2C1">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12村4组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0B82B">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7F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2A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37:51:52.61925</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D0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77:19:01.45708</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A65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E776129">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7A2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025E10">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12</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号渠</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4DA8">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B8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97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37:52:01.26218</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82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77:19:09.37366</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12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93A0B15">
        <w:tblPrEx>
          <w:tblCellMar>
            <w:top w:w="0" w:type="dxa"/>
            <w:left w:w="108" w:type="dxa"/>
            <w:bottom w:w="0" w:type="dxa"/>
            <w:right w:w="108" w:type="dxa"/>
          </w:tblCellMar>
        </w:tblPrEx>
        <w:trPr>
          <w:gridAfter w:val="8"/>
          <w:wAfter w:w="1084" w:type="dxa"/>
          <w:trHeight w:val="28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FA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88B547">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16</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5</w:t>
            </w:r>
            <w:r>
              <w:rPr>
                <w:rFonts w:ascii="宋体" w:hAnsi="宋体" w:eastAsia="宋体" w:cs="Arial"/>
                <w:color w:val="000000"/>
                <w:kern w:val="0"/>
                <w:sz w:val="20"/>
                <w:szCs w:val="20"/>
                <w14:ligatures w14:val="none"/>
              </w:rPr>
              <w:t>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BECA">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44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DF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37°51'02.9506"</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05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77°18'20.6577"</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18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B9C5DE1">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28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136F6B">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6</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1DAF">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75A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B7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37:49:26.93554</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82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77:17:52.60086</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1D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A9FD212">
        <w:tblPrEx>
          <w:tblCellMar>
            <w:top w:w="0" w:type="dxa"/>
            <w:left w:w="108" w:type="dxa"/>
            <w:bottom w:w="0" w:type="dxa"/>
            <w:right w:w="108" w:type="dxa"/>
          </w:tblCellMar>
        </w:tblPrEx>
        <w:trPr>
          <w:gridAfter w:val="8"/>
          <w:wAfter w:w="1084" w:type="dxa"/>
          <w:trHeight w:val="255"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63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709203">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21</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DD11">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3D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382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37:48:35.02840</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09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77:15:54.03523</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85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7A78225">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87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3F75A3">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77849">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4C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011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37:48:29.97840</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514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77:16:20.44357</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42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0EC4C9C">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F74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5354097">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E7D1">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7B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3F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37:48:30.83079</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20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77:16:19.98273</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F5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A995B3B">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A8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3E0D2A">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2E8C">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89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0E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37:48:21.01888</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37A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77:16:14.42716</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28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7100A5B">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00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8C6CA0">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0F6C">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7F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10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37:48:20.97601</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DC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77:16:13.85431</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4F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2908F6E">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C3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5747872">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24B29">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F1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DC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37:48:10.32828</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2A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77:16:07.83510</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86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86050CC">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82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656855">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5D94">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5C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FE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37:48:09.67399</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F52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77:16:06.72720</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425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EF4B6A5">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09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088EB5">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5</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4D0E">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D8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1F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37:48:10.13466</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C7D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77:16:08.31365</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37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2BFC1C2">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0A2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EBD352">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6</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4533">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5D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48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37:48:09.44754</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262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77:16:08.95911</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B4A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F387FE7">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6F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C8EE85">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C4FC">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C9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7D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37:48:05.95493</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9B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77:16:05.91300</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9E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C767140">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02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78AAF6">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F395">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1010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478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4B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37:47:37.80670</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70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77:15:49.78931</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761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4EA43BD">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75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0CA8FF">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村</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FAD9">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46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663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37:47:32.85892</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AC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77:16:04.45148</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C71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251C6BF">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3E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8F8864">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村大路入口</w:t>
            </w: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4</w:t>
            </w:r>
            <w:r>
              <w:rPr>
                <w:rFonts w:ascii="宋体" w:hAnsi="宋体" w:eastAsia="宋体" w:cs="Arial"/>
                <w:color w:val="000000"/>
                <w:kern w:val="0"/>
                <w:sz w:val="20"/>
                <w:szCs w:val="20"/>
                <w14:ligatures w14:val="none"/>
              </w:rPr>
              <w:t>村渠</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4FB0">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BF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1C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37:47:27.59053</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2783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77:16:14.87699</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80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A79AB7D">
        <w:tblPrEx>
          <w:tblCellMar>
            <w:top w:w="0" w:type="dxa"/>
            <w:left w:w="108" w:type="dxa"/>
            <w:bottom w:w="0" w:type="dxa"/>
            <w:right w:w="108" w:type="dxa"/>
          </w:tblCellMar>
        </w:tblPrEx>
        <w:trPr>
          <w:gridAfter w:val="8"/>
          <w:wAfter w:w="1084" w:type="dxa"/>
          <w:trHeight w:val="28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F4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56807E">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）农渠</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E729">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13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A4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37°47'27.7335"</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94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77°16'25.4097"</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B1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23CDAEB">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0D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B78630">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71A27">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85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F6F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37:47:28.34669</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0E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77:16:16.88307</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A4A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D103004">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54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39A856">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号</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45EF">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91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CB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37:47:55.01578</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C3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77:16:36.80299</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26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57664D9">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D3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B84248">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号</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7DFC">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5A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328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37:47:54.79478</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0C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77:16:37.17510</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A4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FF4E8F6">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09A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32ADEE">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10</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250A">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55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D2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37:52:01.10075</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62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77:19:38.83474</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71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848F049">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64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8A0AFB">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10</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2</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D69E">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1A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A5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37:52:00.70822</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2A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77:19:37.55216</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C0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5C0CD2A">
        <w:tblPrEx>
          <w:tblCellMar>
            <w:top w:w="0" w:type="dxa"/>
            <w:left w:w="108" w:type="dxa"/>
            <w:bottom w:w="0" w:type="dxa"/>
            <w:right w:w="108" w:type="dxa"/>
          </w:tblCellMar>
        </w:tblPrEx>
        <w:trPr>
          <w:gridAfter w:val="8"/>
          <w:wAfter w:w="1084" w:type="dxa"/>
          <w:trHeight w:val="270" w:hRule="atLeast"/>
        </w:trPr>
        <w:tc>
          <w:tcPr>
            <w:tcW w:w="61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A5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F945F3">
            <w:pPr>
              <w:widowControl/>
              <w:spacing w:after="0" w:line="240" w:lineRule="auto"/>
              <w:jc w:val="center"/>
              <w:rPr>
                <w:rFonts w:hint="eastAsia" w:ascii="Arial" w:hAnsi="Arial" w:eastAsia="宋体" w:cs="Arial"/>
                <w:color w:val="000000"/>
                <w:kern w:val="0"/>
                <w:sz w:val="20"/>
                <w:szCs w:val="20"/>
                <w14:ligatures w14:val="none"/>
              </w:rPr>
            </w:pPr>
            <w:r>
              <w:rPr>
                <w:rFonts w:ascii="Arial" w:hAnsi="Arial" w:eastAsia="宋体" w:cs="Arial"/>
                <w:color w:val="000000"/>
                <w:kern w:val="0"/>
                <w:sz w:val="20"/>
                <w:szCs w:val="20"/>
                <w14:ligatures w14:val="none"/>
              </w:rPr>
              <w:t>10</w:t>
            </w:r>
            <w:r>
              <w:rPr>
                <w:rFonts w:ascii="宋体" w:hAnsi="宋体" w:eastAsia="宋体" w:cs="Arial"/>
                <w:color w:val="000000"/>
                <w:kern w:val="0"/>
                <w:sz w:val="20"/>
                <w:szCs w:val="20"/>
                <w14:ligatures w14:val="none"/>
              </w:rPr>
              <w:t>村</w:t>
            </w:r>
            <w:r>
              <w:rPr>
                <w:rFonts w:ascii="Arial" w:hAnsi="Arial" w:eastAsia="宋体" w:cs="Arial"/>
                <w:color w:val="000000"/>
                <w:kern w:val="0"/>
                <w:sz w:val="20"/>
                <w:szCs w:val="20"/>
                <w14:ligatures w14:val="none"/>
              </w:rPr>
              <w:t>1</w:t>
            </w:r>
            <w:r>
              <w:rPr>
                <w:rFonts w:ascii="宋体" w:hAnsi="宋体" w:eastAsia="宋体" w:cs="Arial"/>
                <w:color w:val="000000"/>
                <w:kern w:val="0"/>
                <w:sz w:val="20"/>
                <w:szCs w:val="20"/>
                <w14:ligatures w14:val="none"/>
              </w:rPr>
              <w:t>组（</w:t>
            </w:r>
            <w:r>
              <w:rPr>
                <w:rFonts w:ascii="Arial" w:hAnsi="Arial" w:eastAsia="宋体" w:cs="Arial"/>
                <w:color w:val="000000"/>
                <w:kern w:val="0"/>
                <w:sz w:val="20"/>
                <w:szCs w:val="20"/>
                <w14:ligatures w14:val="none"/>
              </w:rPr>
              <w:t>3</w:t>
            </w:r>
            <w:r>
              <w:rPr>
                <w:rFonts w:ascii="宋体" w:hAnsi="宋体" w:eastAsia="宋体" w:cs="Arial"/>
                <w:color w:val="000000"/>
                <w:kern w:val="0"/>
                <w:sz w:val="20"/>
                <w:szCs w:val="20"/>
                <w14:ligatures w14:val="none"/>
              </w:rPr>
              <w:t>）</w:t>
            </w:r>
          </w:p>
        </w:tc>
        <w:tc>
          <w:tcPr>
            <w:tcW w:w="1186"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E9DB">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6E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0"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6B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37:51:59.95820</w:t>
            </w:r>
          </w:p>
        </w:tc>
        <w:tc>
          <w:tcPr>
            <w:tcW w:w="2180"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32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77:19:39.54399</w:t>
            </w:r>
          </w:p>
        </w:tc>
        <w:tc>
          <w:tcPr>
            <w:tcW w:w="11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2F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9E77926">
        <w:tblPrEx>
          <w:tblCellMar>
            <w:top w:w="0" w:type="dxa"/>
            <w:left w:w="108" w:type="dxa"/>
            <w:bottom w:w="0" w:type="dxa"/>
            <w:right w:w="108" w:type="dxa"/>
          </w:tblCellMar>
        </w:tblPrEx>
        <w:trPr>
          <w:gridAfter w:val="7"/>
          <w:wAfter w:w="1077" w:type="dxa"/>
          <w:trHeight w:val="300" w:hRule="atLeast"/>
        </w:trPr>
        <w:tc>
          <w:tcPr>
            <w:tcW w:w="9990" w:type="dxa"/>
            <w:gridSpan w:val="94"/>
            <w:tcBorders>
              <w:top w:val="nil"/>
              <w:left w:val="single" w:color="000000" w:sz="4" w:space="0"/>
              <w:bottom w:val="single" w:color="000000" w:sz="4" w:space="0"/>
              <w:right w:val="nil"/>
            </w:tcBorders>
            <w:shd w:val="clear" w:color="auto" w:fill="auto"/>
            <w:noWrap/>
            <w:vAlign w:val="center"/>
          </w:tcPr>
          <w:p w14:paraId="77B9124A">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铁提乡水尺明细表</w:t>
            </w:r>
          </w:p>
        </w:tc>
      </w:tr>
      <w:tr w14:paraId="68AA6FC8">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867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084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35B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A92D">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67C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8F05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E6624">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5B559A73">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A10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77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2村3组1号</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B7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E3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AB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37°48'05.5557"</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AB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77°25'33.6108"</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0B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43B9470">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34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6A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2村3组2号</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B4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AB0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134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37°48'05.5571"</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6F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77°25'31.9524"</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62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740F5E2">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9B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01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2村、4组,6组 1号</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B1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6D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55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37°48'19.2864"</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C0F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77°25'33.5148"</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6C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9FFB181">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0E4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F1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2村4组</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D8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480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62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16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37°48'19.1660"</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FD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77°25'31.6442"</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DCB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31E6E1D">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3C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DB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2村7组</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A7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678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32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37°48'50.2190"</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60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77°25'34.0124"</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38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86D6AD4">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17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EA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2村5组 2号</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87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F0F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73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37°48'50.2170"</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74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77°25'32.0116"</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593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D571FC7">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97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92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2村、7组,3村 3,5组</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48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1300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2C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85D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37°49'06.4367"</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14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77°25'34.5191"</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54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ABD3ED1">
        <w:tblPrEx>
          <w:tblCellMar>
            <w:top w:w="0" w:type="dxa"/>
            <w:left w:w="108" w:type="dxa"/>
            <w:bottom w:w="0" w:type="dxa"/>
            <w:right w:w="108" w:type="dxa"/>
          </w:tblCellMar>
        </w:tblPrEx>
        <w:trPr>
          <w:gridAfter w:val="7"/>
          <w:wAfter w:w="1077" w:type="dxa"/>
          <w:trHeight w:val="280" w:hRule="atLeast"/>
        </w:trPr>
        <w:tc>
          <w:tcPr>
            <w:tcW w:w="5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BD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665"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6C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9村1组10村2组</w:t>
            </w:r>
          </w:p>
        </w:tc>
        <w:tc>
          <w:tcPr>
            <w:tcW w:w="109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B7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56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5C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0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C6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37:49:55.98022</w:t>
            </w:r>
          </w:p>
        </w:tc>
        <w:tc>
          <w:tcPr>
            <w:tcW w:w="200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AB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77:24:24.22199</w:t>
            </w:r>
          </w:p>
        </w:tc>
        <w:tc>
          <w:tcPr>
            <w:tcW w:w="109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7DF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F48AA48">
        <w:tblPrEx>
          <w:tblCellMar>
            <w:top w:w="0" w:type="dxa"/>
            <w:left w:w="108" w:type="dxa"/>
            <w:bottom w:w="0" w:type="dxa"/>
            <w:right w:w="108" w:type="dxa"/>
          </w:tblCellMar>
        </w:tblPrEx>
        <w:trPr>
          <w:gridAfter w:val="14"/>
          <w:wAfter w:w="1297" w:type="dxa"/>
          <w:trHeight w:val="300" w:hRule="atLeast"/>
        </w:trPr>
        <w:tc>
          <w:tcPr>
            <w:tcW w:w="9770" w:type="dxa"/>
            <w:gridSpan w:val="87"/>
            <w:tcBorders>
              <w:top w:val="single" w:color="000000" w:sz="4" w:space="0"/>
              <w:left w:val="single" w:color="000000" w:sz="4" w:space="0"/>
              <w:bottom w:val="single" w:color="000000" w:sz="4" w:space="0"/>
              <w:right w:val="nil"/>
            </w:tcBorders>
            <w:shd w:val="clear" w:color="auto" w:fill="auto"/>
            <w:noWrap/>
            <w:vAlign w:val="center"/>
          </w:tcPr>
          <w:p w14:paraId="52A1E973">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吐古其乡水尺明细表</w:t>
            </w:r>
          </w:p>
        </w:tc>
      </w:tr>
      <w:tr w14:paraId="76D9E212">
        <w:tblPrEx>
          <w:tblCellMar>
            <w:top w:w="0" w:type="dxa"/>
            <w:left w:w="108" w:type="dxa"/>
            <w:bottom w:w="0" w:type="dxa"/>
            <w:right w:w="108" w:type="dxa"/>
          </w:tblCellMar>
        </w:tblPrEx>
        <w:trPr>
          <w:trHeight w:val="280" w:hRule="atLeast"/>
        </w:trPr>
        <w:tc>
          <w:tcPr>
            <w:tcW w:w="71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673A">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0FD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384"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8BC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71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0B00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595"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05A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54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C013">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3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18F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091715E3">
        <w:tblPrEx>
          <w:tblCellMar>
            <w:top w:w="0" w:type="dxa"/>
            <w:left w:w="108" w:type="dxa"/>
            <w:bottom w:w="0" w:type="dxa"/>
            <w:right w:w="108" w:type="dxa"/>
          </w:tblCellMar>
        </w:tblPrEx>
        <w:trPr>
          <w:trHeight w:val="280" w:hRule="atLeast"/>
        </w:trPr>
        <w:tc>
          <w:tcPr>
            <w:tcW w:w="71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53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7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DC2B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3村3组4组</w:t>
            </w:r>
          </w:p>
        </w:tc>
        <w:tc>
          <w:tcPr>
            <w:tcW w:w="1384"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BC9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385</w:t>
            </w:r>
          </w:p>
        </w:tc>
        <w:tc>
          <w:tcPr>
            <w:tcW w:w="71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926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595"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088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37:54:26.21518</w:t>
            </w:r>
          </w:p>
        </w:tc>
        <w:tc>
          <w:tcPr>
            <w:tcW w:w="254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B6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77:26:17.36803</w:t>
            </w:r>
          </w:p>
        </w:tc>
        <w:tc>
          <w:tcPr>
            <w:tcW w:w="1387" w:type="dxa"/>
            <w:gridSpan w:val="15"/>
            <w:tcBorders>
              <w:top w:val="single" w:color="000000" w:sz="4" w:space="0"/>
              <w:left w:val="single" w:color="000000" w:sz="4" w:space="0"/>
              <w:bottom w:val="nil"/>
              <w:right w:val="single" w:color="000000" w:sz="4" w:space="0"/>
            </w:tcBorders>
            <w:shd w:val="clear" w:color="auto" w:fill="auto"/>
            <w:noWrap/>
            <w:vAlign w:val="center"/>
          </w:tcPr>
          <w:p w14:paraId="2B9B5E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538AE55">
        <w:tblPrEx>
          <w:tblCellMar>
            <w:top w:w="0" w:type="dxa"/>
            <w:left w:w="108" w:type="dxa"/>
            <w:bottom w:w="0" w:type="dxa"/>
            <w:right w:w="108" w:type="dxa"/>
          </w:tblCellMar>
        </w:tblPrEx>
        <w:trPr>
          <w:trHeight w:val="280" w:hRule="atLeast"/>
        </w:trPr>
        <w:tc>
          <w:tcPr>
            <w:tcW w:w="71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06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17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1C1B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3村2组</w:t>
            </w:r>
          </w:p>
        </w:tc>
        <w:tc>
          <w:tcPr>
            <w:tcW w:w="1384"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91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260</w:t>
            </w:r>
          </w:p>
        </w:tc>
        <w:tc>
          <w:tcPr>
            <w:tcW w:w="71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DA7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595"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2BA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37°54'21.8037"</w:t>
            </w:r>
          </w:p>
        </w:tc>
        <w:tc>
          <w:tcPr>
            <w:tcW w:w="254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CA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77°26'09.2399"</w:t>
            </w:r>
          </w:p>
        </w:tc>
        <w:tc>
          <w:tcPr>
            <w:tcW w:w="13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8F5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16DED54">
        <w:tblPrEx>
          <w:tblCellMar>
            <w:top w:w="0" w:type="dxa"/>
            <w:left w:w="108" w:type="dxa"/>
            <w:bottom w:w="0" w:type="dxa"/>
            <w:right w:w="108" w:type="dxa"/>
          </w:tblCellMar>
        </w:tblPrEx>
        <w:trPr>
          <w:trHeight w:val="280" w:hRule="atLeast"/>
        </w:trPr>
        <w:tc>
          <w:tcPr>
            <w:tcW w:w="71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99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89CD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2村1组</w:t>
            </w:r>
          </w:p>
        </w:tc>
        <w:tc>
          <w:tcPr>
            <w:tcW w:w="1384"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2BE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71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E9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595"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57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37°53'53.1405"</w:t>
            </w:r>
          </w:p>
        </w:tc>
        <w:tc>
          <w:tcPr>
            <w:tcW w:w="254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5F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77°26'03.9291"</w:t>
            </w:r>
          </w:p>
        </w:tc>
        <w:tc>
          <w:tcPr>
            <w:tcW w:w="13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CF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782C858">
        <w:tblPrEx>
          <w:tblCellMar>
            <w:top w:w="0" w:type="dxa"/>
            <w:left w:w="108" w:type="dxa"/>
            <w:bottom w:w="0" w:type="dxa"/>
            <w:right w:w="108" w:type="dxa"/>
          </w:tblCellMar>
        </w:tblPrEx>
        <w:trPr>
          <w:trHeight w:val="280" w:hRule="atLeast"/>
        </w:trPr>
        <w:tc>
          <w:tcPr>
            <w:tcW w:w="71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18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0D6B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7村3组</w:t>
            </w:r>
          </w:p>
        </w:tc>
        <w:tc>
          <w:tcPr>
            <w:tcW w:w="1384"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40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71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3A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595"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8E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37°57'03.3173"</w:t>
            </w:r>
          </w:p>
        </w:tc>
        <w:tc>
          <w:tcPr>
            <w:tcW w:w="254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2B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77°28'46.5016"</w:t>
            </w:r>
          </w:p>
        </w:tc>
        <w:tc>
          <w:tcPr>
            <w:tcW w:w="13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BBE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7EB59F5">
        <w:tblPrEx>
          <w:tblCellMar>
            <w:top w:w="0" w:type="dxa"/>
            <w:left w:w="108" w:type="dxa"/>
            <w:bottom w:w="0" w:type="dxa"/>
            <w:right w:w="108" w:type="dxa"/>
          </w:tblCellMar>
        </w:tblPrEx>
        <w:trPr>
          <w:trHeight w:val="280" w:hRule="atLeast"/>
        </w:trPr>
        <w:tc>
          <w:tcPr>
            <w:tcW w:w="71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1F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4B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4村1组</w:t>
            </w:r>
          </w:p>
        </w:tc>
        <w:tc>
          <w:tcPr>
            <w:tcW w:w="1384"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BA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71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32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595" w:type="dxa"/>
            <w:gridSpan w:val="2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F6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37:54:52.08946</w:t>
            </w:r>
          </w:p>
        </w:tc>
        <w:tc>
          <w:tcPr>
            <w:tcW w:w="254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F0C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77:26:53.31791</w:t>
            </w:r>
          </w:p>
        </w:tc>
        <w:tc>
          <w:tcPr>
            <w:tcW w:w="13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DA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FFC6941">
        <w:tblPrEx>
          <w:tblCellMar>
            <w:top w:w="0" w:type="dxa"/>
            <w:left w:w="108" w:type="dxa"/>
            <w:bottom w:w="0" w:type="dxa"/>
            <w:right w:w="108" w:type="dxa"/>
          </w:tblCellMar>
        </w:tblPrEx>
        <w:trPr>
          <w:gridAfter w:val="1"/>
          <w:wAfter w:w="78" w:type="dxa"/>
          <w:trHeight w:val="300" w:hRule="atLeast"/>
        </w:trPr>
        <w:tc>
          <w:tcPr>
            <w:tcW w:w="10989" w:type="dxa"/>
            <w:gridSpan w:val="100"/>
            <w:tcBorders>
              <w:top w:val="single" w:color="000000" w:sz="4" w:space="0"/>
              <w:left w:val="single" w:color="000000" w:sz="4" w:space="0"/>
              <w:bottom w:val="single" w:color="000000" w:sz="4" w:space="0"/>
              <w:right w:val="nil"/>
            </w:tcBorders>
            <w:shd w:val="clear" w:color="auto" w:fill="auto"/>
            <w:noWrap/>
            <w:vAlign w:val="center"/>
          </w:tcPr>
          <w:p w14:paraId="098D7B4A">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乌吉热克乡水尺明细表</w:t>
            </w:r>
          </w:p>
        </w:tc>
      </w:tr>
      <w:tr w14:paraId="584AFB6B">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001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483D">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3BE8">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EDF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9CAE">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96C3">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95C4">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7CB01CA4">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FC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6067718">
            <w:pPr>
              <w:widowControl/>
              <w:spacing w:after="0" w:line="240" w:lineRule="auto"/>
              <w:jc w:val="center"/>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t>10村1、4组渠</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EF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A0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5D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38:03:15.44950</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AB9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77:22:19.04350</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53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2050B86">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45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1C1BF6D">
            <w:pPr>
              <w:widowControl/>
              <w:spacing w:after="0" w:line="240" w:lineRule="auto"/>
              <w:jc w:val="center"/>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t>10村3组2号渠</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6E7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99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F1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38:03:32.78858</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F5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77:22:12.00151</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3E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129D772">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9D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FF7C177">
            <w:pPr>
              <w:widowControl/>
              <w:spacing w:after="0" w:line="240" w:lineRule="auto"/>
              <w:jc w:val="center"/>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t>10村3组3号渠</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71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AD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BF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38:03:33.33690</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27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77:22:12.30729</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DD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95D58B2">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DD6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B542C78">
            <w:pPr>
              <w:widowControl/>
              <w:spacing w:after="0" w:line="240" w:lineRule="auto"/>
              <w:jc w:val="center"/>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t>10村4组渠</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D2D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026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D4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38:03:08.68791</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11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77:22:01.13115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39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E7CC616">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3F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40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10村4组2号渠</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4F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96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0.15</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FED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38:03:22.95093</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CEB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77:21:50.83885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14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45E229">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81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A7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C1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08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6E3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38:02:44.36894</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9D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77:22:36.74755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BB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3E6111D">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84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50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17村5组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B6F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9D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34A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38°02'19.9054"</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B3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77°22'36.7200"</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AB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E498217">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22E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64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443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C2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BF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38°02'15.5845"</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BE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77°23'05.0704"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DB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11D5AE4">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03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B0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17村1组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7C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11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53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38°02'02.2274"</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EB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77°22'58.8459"</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87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306C7FA">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86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57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17村2组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028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EAD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A86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38°02'01.9542"</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DE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77°22'59.5225"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20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4635E039">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B1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9862B11">
            <w:pPr>
              <w:widowControl/>
              <w:spacing w:after="0" w:line="240" w:lineRule="auto"/>
              <w:jc w:val="center"/>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t>17村2.3组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2C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510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55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84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38°02'02.0004"</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04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77°23'00.1314"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B4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F058436">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36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A7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17村3组2号型</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13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60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65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38°01'46.7262"</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7E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77°22'53.9934"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3B9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DD4E70C">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4BE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56595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17村3组2号型</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AA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23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83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38°01'46.2852"</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25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77°22'54.0707"</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4F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A6578AD">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3F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B12AE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11、10、16村渠</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29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3F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B7D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38:02:20.30925</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8D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77:21:50.10735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E25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5AE28AC">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48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3AF28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11H1、2组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2D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DBC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C7D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38:02:47.93454</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A1D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77:20:34.75531</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56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768A94C">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40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75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11村2组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3B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2F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FFA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38:02:45.45155</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BEA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77:21:12.23712</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A0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7D2461B">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8B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D0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11村3组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C4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30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E2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38:02:44.99679</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9F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77:21:14.22178</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E9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40B3CFA">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818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9E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12村7组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9CF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98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33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38:02:28.82130</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30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77:20:42.29844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3E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A836ED3">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C5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20D22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12村、5、6、7组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B03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81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3B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38:01:41.83376</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BA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77:19:55.82928</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15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4C66857">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AB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FD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12村1组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9C9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8C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9B58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38:01:14.68851</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5B1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77:20:05.23828</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B3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720BC4F">
        <w:tblPrEx>
          <w:tblCellMar>
            <w:top w:w="0" w:type="dxa"/>
            <w:left w:w="108" w:type="dxa"/>
            <w:bottom w:w="0" w:type="dxa"/>
            <w:right w:w="108" w:type="dxa"/>
          </w:tblCellMar>
        </w:tblPrEx>
        <w:trPr>
          <w:gridAfter w:val="1"/>
          <w:wAfter w:w="78" w:type="dxa"/>
          <w:trHeight w:val="30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E5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6B2D3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15村2、3、4组、11村、12村架</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6A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7D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4D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38:01:15.38489</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F5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77:21:32.36514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A29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5AD0E9E">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94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EF2F0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15村2.3组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8C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D2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AF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38:01:14.82441</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43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77:21:32.17946</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E9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96B5368">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BE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C6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C39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01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EF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38:01:34.80809</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F7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77:21:16.46918</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74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20AED2">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A3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B7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16村3组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513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81C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E6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38°01'25.7883"</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C7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77°22'06.1725"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2B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04436C6">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DD5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C8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16村1组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99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82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53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38°01'25.7883"</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E2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77°22'06.1725"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EB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AFF48ED">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97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66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34FA">
            <w:pPr>
              <w:widowControl/>
              <w:spacing w:after="0" w:line="240" w:lineRule="auto"/>
              <w:jc w:val="center"/>
              <w:rPr>
                <w:rFonts w:hint="eastAsia" w:ascii="宋体" w:hAnsi="宋体" w:eastAsia="宋体" w:cs="宋体"/>
                <w:color w:val="000000"/>
                <w:kern w:val="0"/>
                <w:szCs w:val="22"/>
                <w14:ligatures w14:val="none"/>
              </w:rPr>
            </w:pP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8A65">
            <w:pPr>
              <w:widowControl/>
              <w:spacing w:after="0" w:line="240" w:lineRule="auto"/>
              <w:jc w:val="center"/>
              <w:rPr>
                <w:rFonts w:ascii="Times New Roman" w:hAnsi="Times New Roman" w:eastAsia="Times New Roman" w:cs="Times New Roman"/>
                <w:kern w:val="0"/>
                <w:sz w:val="20"/>
                <w:szCs w:val="20"/>
                <w14:ligatures w14:val="none"/>
              </w:rPr>
            </w:pP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12A9">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38:00:43.90020</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DF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77:21:18.28631</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A6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3B7657F">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C6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35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15F5">
            <w:pPr>
              <w:widowControl/>
              <w:spacing w:after="0" w:line="240" w:lineRule="auto"/>
              <w:jc w:val="center"/>
              <w:rPr>
                <w:rFonts w:hint="eastAsia" w:ascii="宋体" w:hAnsi="宋体" w:eastAsia="宋体" w:cs="宋体"/>
                <w:color w:val="000000"/>
                <w:kern w:val="0"/>
                <w:szCs w:val="22"/>
                <w14:ligatures w14:val="none"/>
              </w:rPr>
            </w:pP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CC8F">
            <w:pPr>
              <w:widowControl/>
              <w:spacing w:after="0" w:line="240" w:lineRule="auto"/>
              <w:jc w:val="center"/>
              <w:rPr>
                <w:rFonts w:ascii="Times New Roman" w:hAnsi="Times New Roman" w:eastAsia="Times New Roman" w:cs="Times New Roman"/>
                <w:kern w:val="0"/>
                <w:sz w:val="20"/>
                <w:szCs w:val="20"/>
                <w14:ligatures w14:val="none"/>
              </w:rPr>
            </w:pP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D844">
            <w:pPr>
              <w:widowControl/>
              <w:spacing w:after="0" w:line="240" w:lineRule="auto"/>
              <w:jc w:val="center"/>
              <w:rPr>
                <w:rFonts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38°00'44.2427"</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3C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77°21'29.6471"</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C51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D0FAFE9">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003F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2E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14村3组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75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ED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E0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38:00:16.11851</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9B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77:21:27.58294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36A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0CE447D">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BC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8E87D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14村3、4组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35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02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49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38:00:14.93720</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59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77:21:27.05917</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55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2E4132A">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18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86AF6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14H2组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81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ED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91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38:00:14.67873</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E5C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77:21:29.23486</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13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1CB71B3">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D5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C9517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2村4、5组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07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86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D9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38°00'18.8028"</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60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77°22'55.7304"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01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1261F93">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820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9D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2村2组1号</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0C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74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A76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37°59'53.5816"</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08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77°22'59.3540"</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51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58DB4103">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37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B52CB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2H2组2号</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50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08D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F6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37°59'54.5486"</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BB9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77°23'00.3495"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1E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184635C">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F1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34</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BB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2村1组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E9D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1D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DC8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37°59'35.7734"</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4C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77°23'00.6196"</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FFA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40D21835">
        <w:tblPrEx>
          <w:tblCellMar>
            <w:top w:w="0" w:type="dxa"/>
            <w:left w:w="108" w:type="dxa"/>
            <w:bottom w:w="0" w:type="dxa"/>
            <w:right w:w="108" w:type="dxa"/>
          </w:tblCellMar>
        </w:tblPrEx>
        <w:trPr>
          <w:gridAfter w:val="1"/>
          <w:wAfter w:w="78" w:type="dxa"/>
          <w:trHeight w:val="28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CA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48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E5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66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F92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38°00'05.1579"</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A6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77°22'49.6115"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FDB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41B7E617">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97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36</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C3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15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21B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A5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38:01:00.56078</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96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77:22:36.37477</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F0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A7AE816">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B8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56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1村2组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91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05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282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38:00:59.06734</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E0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77:22:35.86965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B9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A85C51E">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C3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73B97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1村3、5组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43F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AE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9C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38:00:59.52897</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7E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77:22:38.90010</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79F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E57273F">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AA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39</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D5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1村1组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C7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3C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8E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38:00:18.84581</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55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77:22:42.92349</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23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B6C5889">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38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BB4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3村3组1号</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F8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88D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6B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37:57:53.95312</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5C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77:23:17.14436</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58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5332D8A">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794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41</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37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3村3组2号</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9D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05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00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37:57:53.59266</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95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77:23:17.62907</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71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63D1F2C">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73E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42</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A1AEE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3村4、5组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16E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1100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08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E1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37:58:22.52167</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8B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77:23:49.74413</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68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F61ED42">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C2C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43</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21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3村5组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64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630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D1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E2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37:58:45.13821</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95F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77:23:59.46830</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B1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28ED0EE">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92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44</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B83A3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3村5、6组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D7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1FD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0FB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37:58:52.48042</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C1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77:24:05.89369</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9E8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D1FE315">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2B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36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3村6组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2A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64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A70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37:58:57.65308</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08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77:24:12.54982</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EB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BFBB0F5">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57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46</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CF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4村2组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99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460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14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14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37:59:46.57293</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B6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77:24:15.84560</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29C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7B7903F">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1D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47</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F758F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4村2、3、4组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19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2880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BE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47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38:00:17.23348</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AC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77:24:17.69824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30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583C96F">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90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48</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5E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4村3组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DE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31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9D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38:00:15.85167</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14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77:24:13.99644</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BFC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9EE5ED8">
        <w:tblPrEx>
          <w:tblCellMar>
            <w:top w:w="0" w:type="dxa"/>
            <w:left w:w="108" w:type="dxa"/>
            <w:bottom w:w="0" w:type="dxa"/>
            <w:right w:w="108" w:type="dxa"/>
          </w:tblCellMar>
        </w:tblPrEx>
        <w:trPr>
          <w:gridAfter w:val="1"/>
          <w:wAfter w:w="78" w:type="dxa"/>
          <w:trHeight w:val="270" w:hRule="atLeast"/>
        </w:trPr>
        <w:tc>
          <w:tcPr>
            <w:tcW w:w="60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35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49</w:t>
            </w:r>
          </w:p>
        </w:tc>
        <w:tc>
          <w:tcPr>
            <w:tcW w:w="3053"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2F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8村3组</w:t>
            </w:r>
          </w:p>
        </w:tc>
        <w:tc>
          <w:tcPr>
            <w:tcW w:w="1175" w:type="dxa"/>
            <w:gridSpan w:val="2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B3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510</w:t>
            </w:r>
          </w:p>
        </w:tc>
        <w:tc>
          <w:tcPr>
            <w:tcW w:w="6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C9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6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3E7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38:02:31.07691</w:t>
            </w:r>
          </w:p>
        </w:tc>
        <w:tc>
          <w:tcPr>
            <w:tcW w:w="216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9C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77:24:10.93305</w:t>
            </w:r>
          </w:p>
        </w:tc>
        <w:tc>
          <w:tcPr>
            <w:tcW w:w="117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CB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251E0F3">
        <w:tblPrEx>
          <w:tblCellMar>
            <w:top w:w="0" w:type="dxa"/>
            <w:left w:w="108" w:type="dxa"/>
            <w:bottom w:w="0" w:type="dxa"/>
            <w:right w:w="108" w:type="dxa"/>
          </w:tblCellMar>
        </w:tblPrEx>
        <w:trPr>
          <w:gridAfter w:val="16"/>
          <w:wAfter w:w="1517" w:type="dxa"/>
          <w:trHeight w:val="300" w:hRule="atLeast"/>
        </w:trPr>
        <w:tc>
          <w:tcPr>
            <w:tcW w:w="9550" w:type="dxa"/>
            <w:gridSpan w:val="85"/>
            <w:tcBorders>
              <w:top w:val="nil"/>
              <w:left w:val="single" w:color="000000" w:sz="4" w:space="0"/>
              <w:bottom w:val="single" w:color="000000" w:sz="4" w:space="0"/>
              <w:right w:val="nil"/>
            </w:tcBorders>
            <w:shd w:val="clear" w:color="auto" w:fill="auto"/>
            <w:noWrap/>
            <w:vAlign w:val="center"/>
          </w:tcPr>
          <w:p w14:paraId="7329D687">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乌夏巴什镇水尺明细表</w:t>
            </w:r>
          </w:p>
        </w:tc>
      </w:tr>
      <w:tr w14:paraId="7352E3BA">
        <w:tblPrEx>
          <w:tblCellMar>
            <w:top w:w="0" w:type="dxa"/>
            <w:left w:w="108" w:type="dxa"/>
            <w:bottom w:w="0" w:type="dxa"/>
            <w:right w:w="108" w:type="dxa"/>
          </w:tblCellMar>
        </w:tblPrEx>
        <w:trPr>
          <w:gridAfter w:val="16"/>
          <w:wAfter w:w="1517" w:type="dxa"/>
          <w:trHeight w:val="28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8B9B">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1F0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2FF4">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A95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C0541">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196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A47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35E9ACC9">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C7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149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1村1组斗渠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CDD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664</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10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09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37:28:03.67839</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C9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77:21:23.47905</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AA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9DC1AA7">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A8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149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08D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4442</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02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5E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37:28:05.04608</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8E0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77:21:22.71887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2C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E171665">
        <w:tblPrEx>
          <w:tblCellMar>
            <w:top w:w="0" w:type="dxa"/>
            <w:left w:w="108" w:type="dxa"/>
            <w:bottom w:w="0" w:type="dxa"/>
            <w:right w:w="108" w:type="dxa"/>
          </w:tblCellMar>
        </w:tblPrEx>
        <w:trPr>
          <w:gridAfter w:val="16"/>
          <w:wAfter w:w="1517" w:type="dxa"/>
          <w:trHeight w:val="28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82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DA3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3村4组斗渠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D1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FE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32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37°27'29.2796"</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BB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77°21'37.0047"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7F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84D2FF3">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2F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1A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2村2组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7D5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28E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EB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37:27:14.63045</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AA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77:21:29.41107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3E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605EFD4">
        <w:tblPrEx>
          <w:tblCellMar>
            <w:top w:w="0" w:type="dxa"/>
            <w:left w:w="108" w:type="dxa"/>
            <w:bottom w:w="0" w:type="dxa"/>
            <w:right w:w="108" w:type="dxa"/>
          </w:tblCellMar>
        </w:tblPrEx>
        <w:trPr>
          <w:gridAfter w:val="16"/>
          <w:wAfter w:w="1517" w:type="dxa"/>
          <w:trHeight w:val="28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20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A30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3村1组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2C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4D60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4F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37°26'41.4801"</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BC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77°21'41.7721"</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0F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228AB23">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EE4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74DD">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5村2.4组斗渠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F67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63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85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37:26:42.45375</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4B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77:21:32.63624</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46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089AC90">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4E6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EAA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15村1-2组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AF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837</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17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559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37:23:38.21595</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AA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77:25:49.33573</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86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D15579A">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03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128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17村3组斗渠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CF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00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0C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37:24:22.09380</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C2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77:26:16.07457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073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BC85969">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AF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C5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17村3组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834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580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1B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4A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37:24:26.16114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7A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77:26:25.70899</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41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E17290F">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DE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3B8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17村2组斗渠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AC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74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47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37:24:40.89562</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23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77:26:25.34634</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24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32BDD69">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08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6A7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17村1组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540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26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E2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37:24:48.65925</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83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77:26:25.16416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2F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2B126B6">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B5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EE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18村1组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3A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63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C3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37:25:07.02861</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031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77:26:25.00539</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474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5ACE4D3">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AC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42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18村4组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81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C65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F1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37:25:26.22366</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E6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77:26:24.92427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66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E76E2D2">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2C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E6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18村3组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25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680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C0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37:25:26.18974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0CA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77:26:21.96653</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67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9671ABB">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BB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70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14村2组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E49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2580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8C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A6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37:25:19.72072</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A7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77:25:33.77567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4A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B3BCE6A">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89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47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13村1组斗渠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B10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622</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E9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95C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37:25:36.42788</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F7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77:25:32.82682</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2E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8D5FA5C">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4E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9C8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13村2组1号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C3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61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7CC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37:25:57.23102</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01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77:25:27.31253</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29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912263F">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A2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60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13村2组2号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EA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84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5B6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37:25:57.52057</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00A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77:25:23.88794</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1AF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75E514D">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0A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C8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13村3组1号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BE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D3CD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EB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37:26:17.55523</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AE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77:25:19.50895</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24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DCFC148">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A2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23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13村3组2号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BA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21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7AD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37:26:17.09826</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3EF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77:25:18.61982</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DD8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AC5F8BF">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66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3103B">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11村1组斗渠1号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A9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9C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5B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37:27:32.04360</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02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77:24:55.90128</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17A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F402F10">
        <w:tblPrEx>
          <w:tblCellMar>
            <w:top w:w="0" w:type="dxa"/>
            <w:left w:w="108" w:type="dxa"/>
            <w:bottom w:w="0" w:type="dxa"/>
            <w:right w:w="108" w:type="dxa"/>
          </w:tblCellMar>
        </w:tblPrEx>
        <w:trPr>
          <w:gridAfter w:val="16"/>
          <w:wAfter w:w="1517" w:type="dxa"/>
          <w:trHeight w:val="28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8A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BC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11村1组2号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AC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910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E8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8F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37°27'49.9931"</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D0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77°25'05.8644"</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5E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237AC993">
        <w:tblPrEx>
          <w:tblCellMar>
            <w:top w:w="0" w:type="dxa"/>
            <w:left w:w="108" w:type="dxa"/>
            <w:bottom w:w="0" w:type="dxa"/>
            <w:right w:w="108" w:type="dxa"/>
          </w:tblCellMar>
        </w:tblPrEx>
        <w:trPr>
          <w:gridAfter w:val="16"/>
          <w:wAfter w:w="1517" w:type="dxa"/>
          <w:trHeight w:val="28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B13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EA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11村3组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E2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4A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25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37°28'42.3389"</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22F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77°24'59.5762"</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71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3AE269C4">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0E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CE0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10村2组斗渠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4F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28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840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37:29:06.23394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4E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77:23:54.02697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AB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AA301BF">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D4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6B4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10村3组斗渠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E4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F2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C09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37:29:05.44408</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B2E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77:23:54.98297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88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D234E20">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46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764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10村2组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1A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44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7E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37:29:05.61474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BC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77:23:52.74948</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E4D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C90A432">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03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C8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10村4组斗渠1号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88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790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23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3C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37:28:58.68759</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4A3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77:23:54.34177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14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183AF28">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46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FE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6E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674</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0A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D5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37:28:55.25670</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22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77:23:52.83842</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29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E94983F">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7DB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C9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10村4组2号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208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69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DB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37:28:41.76673</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652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77:23:54.42566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A1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D57AE94">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9C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A12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21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980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AA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83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37:28:42.06187</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7C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77:23:52.93444</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52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B0B48CD">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8B3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C3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10村1组2号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761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27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38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37:28:17.83147</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FA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77:23:51.47859</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87B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F215D3">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A5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08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10村1组3号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7ED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13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62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37:27:52.45850</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5B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77:23:55.00306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0F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C0C4B7A">
        <w:tblPrEx>
          <w:tblCellMar>
            <w:top w:w="0" w:type="dxa"/>
            <w:left w:w="108" w:type="dxa"/>
            <w:bottom w:w="0" w:type="dxa"/>
            <w:right w:w="108" w:type="dxa"/>
          </w:tblCellMar>
        </w:tblPrEx>
        <w:trPr>
          <w:gridAfter w:val="16"/>
          <w:wAfter w:w="1517" w:type="dxa"/>
          <w:trHeight w:val="28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61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9ED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9村5组1号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96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895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0F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37°27'52.4966"</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B0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77°24'06.1240"</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DA4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42446D4">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79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34</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2E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9村5组斗渠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6A7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3352</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9BF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0B0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37:27:07.31746</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DF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77:23:58.14941</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99A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2D578B6">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F2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78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9村4组斗渠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24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30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28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37:26:52.89900</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1A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77:23:59.15134</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1A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B7CBBF9">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A6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36</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DB3D">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9村1、2、3村斗渠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C5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DAC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AC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37:26:13.33084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A4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77:24:00.45936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46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7B0857A">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0E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ED1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8村2组斗渠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1F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594</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F5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1C7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37:25:56.24900</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B78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77:24:02.14437</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14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D40007F">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34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11C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8村3组斗渠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61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704</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1E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D9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37:25:44.90722</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F9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77:24:01.19496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C4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793A37B">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57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39</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215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8村3组2号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EA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DC7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760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37:25:45.66025</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F2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77:24:02.25376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8F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14AE3AF">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91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BC6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8村5组斗渠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4C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676</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A7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40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37:25:31.06362</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7C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77:24:01.17778</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5F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5FB6B97">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412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41</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CDE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8村6组1号斗渠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75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528</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72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7B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37:25:05.30000</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88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77:24:00.71185</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91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2DCBD14">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03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42</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602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8村6组</w:t>
            </w:r>
            <w:r>
              <w:rPr>
                <w:rFonts w:ascii="宋体" w:hAnsi="宋体" w:eastAsia="宋体" w:cs="宋体"/>
                <w:color w:val="FF0000"/>
                <w:kern w:val="0"/>
                <w:sz w:val="20"/>
                <w:szCs w:val="20"/>
                <w14:ligatures w14:val="none"/>
              </w:rPr>
              <w:t>2</w:t>
            </w:r>
            <w:r>
              <w:rPr>
                <w:rFonts w:ascii="宋体" w:hAnsi="宋体" w:eastAsia="宋体" w:cs="宋体"/>
                <w:color w:val="000000"/>
                <w:kern w:val="0"/>
                <w:sz w:val="20"/>
                <w:szCs w:val="20"/>
                <w14:ligatures w14:val="none"/>
              </w:rPr>
              <w:t>号</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F8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18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4AD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37:25:05.33552</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B4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77:24:03.68000</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E0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E70A5BA">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50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43</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F4E42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8村1、4组斗渠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E3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09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99F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37:25:17.77464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B30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77:23:22.79388</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8E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059B9B8">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5A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44</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B2FA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7村4、5组斗渠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46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739</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33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E4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37:25:16.16744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A3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77:23:12.25625</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EC8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A89DBE1">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C7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59EA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7村4组斗渠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11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53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D9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37:25:15.78849</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AE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77:23:09.94311</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F1F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E7BC3A3">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36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46</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F321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7村3组斗渠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BA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7C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78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37:25:24.24803</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886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77:22:32.79996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31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B06C105">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FE5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47</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9055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7村3组斗渠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06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4E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EA5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37:25:24.12864</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2C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77:22:31.24370</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58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80CA572">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8A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48</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6B97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7村2组斗渠</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B6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BE4F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84F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37:25:35.52755</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EB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77:21:40.06686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25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9EE4113">
        <w:tblPrEx>
          <w:tblCellMar>
            <w:top w:w="0" w:type="dxa"/>
            <w:left w:w="108" w:type="dxa"/>
            <w:bottom w:w="0" w:type="dxa"/>
            <w:right w:w="108" w:type="dxa"/>
          </w:tblCellMar>
        </w:tblPrEx>
        <w:trPr>
          <w:gridAfter w:val="16"/>
          <w:wAfter w:w="1517" w:type="dxa"/>
          <w:trHeight w:val="270" w:hRule="atLeast"/>
        </w:trPr>
        <w:tc>
          <w:tcPr>
            <w:tcW w:w="5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9A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49</w:t>
            </w:r>
          </w:p>
        </w:tc>
        <w:tc>
          <w:tcPr>
            <w:tcW w:w="2209"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337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16村1组</w:t>
            </w:r>
          </w:p>
        </w:tc>
        <w:tc>
          <w:tcPr>
            <w:tcW w:w="1094"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82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56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3F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01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5B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37:25:57.06756</w:t>
            </w:r>
          </w:p>
        </w:tc>
        <w:tc>
          <w:tcPr>
            <w:tcW w:w="201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33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77:24:36.01746</w:t>
            </w:r>
          </w:p>
        </w:tc>
        <w:tc>
          <w:tcPr>
            <w:tcW w:w="109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D48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B4F7B00">
        <w:tblPrEx>
          <w:tblCellMar>
            <w:top w:w="0" w:type="dxa"/>
            <w:left w:w="108" w:type="dxa"/>
            <w:bottom w:w="0" w:type="dxa"/>
            <w:right w:w="108" w:type="dxa"/>
          </w:tblCellMar>
        </w:tblPrEx>
        <w:trPr>
          <w:gridAfter w:val="10"/>
          <w:wAfter w:w="1167" w:type="dxa"/>
          <w:trHeight w:val="300" w:hRule="atLeast"/>
        </w:trPr>
        <w:tc>
          <w:tcPr>
            <w:tcW w:w="9900" w:type="dxa"/>
            <w:gridSpan w:val="91"/>
            <w:tcBorders>
              <w:top w:val="nil"/>
              <w:left w:val="single" w:color="000000" w:sz="4" w:space="0"/>
              <w:bottom w:val="single" w:color="000000" w:sz="4" w:space="0"/>
              <w:right w:val="nil"/>
            </w:tcBorders>
            <w:shd w:val="clear" w:color="auto" w:fill="auto"/>
            <w:noWrap/>
            <w:vAlign w:val="center"/>
          </w:tcPr>
          <w:p w14:paraId="43D26E15">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夏合甫乡水尺明细表</w:t>
            </w:r>
          </w:p>
        </w:tc>
      </w:tr>
      <w:tr w14:paraId="7B41CAA3">
        <w:tblPrEx>
          <w:tblCellMar>
            <w:top w:w="0" w:type="dxa"/>
            <w:left w:w="108" w:type="dxa"/>
            <w:bottom w:w="0" w:type="dxa"/>
            <w:right w:w="108" w:type="dxa"/>
          </w:tblCellMar>
        </w:tblPrEx>
        <w:trPr>
          <w:gridAfter w:val="10"/>
          <w:wAfter w:w="1167"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ACF1">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0101">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EA16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E39D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48D1">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4F1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770B">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566B9AFF">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A7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5746C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5村2组17村1组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6B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570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3A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0D2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37:57:55.54571</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2F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77:16:04.10794</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04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64EF290">
        <w:tblPrEx>
          <w:tblCellMar>
            <w:top w:w="0" w:type="dxa"/>
            <w:left w:w="108" w:type="dxa"/>
            <w:bottom w:w="0" w:type="dxa"/>
            <w:right w:w="108" w:type="dxa"/>
          </w:tblCellMar>
        </w:tblPrEx>
        <w:trPr>
          <w:gridAfter w:val="10"/>
          <w:wAfter w:w="1167"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DC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16C457">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17村1组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60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2B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C1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37°57'31.5444"</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6D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77°16'13.3517"</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C8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82CC410">
        <w:tblPrEx>
          <w:tblCellMar>
            <w:top w:w="0" w:type="dxa"/>
            <w:left w:w="108" w:type="dxa"/>
            <w:bottom w:w="0" w:type="dxa"/>
            <w:right w:w="108" w:type="dxa"/>
          </w:tblCellMar>
        </w:tblPrEx>
        <w:trPr>
          <w:gridAfter w:val="10"/>
          <w:wAfter w:w="1167"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2E6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65FA0D">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2村4、5组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CA6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F5E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97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37°55'23.3104"</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2A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77°16'19.8615"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65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4D297F84">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D8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5776C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2村2、3组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9D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94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15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37:54:54.03542</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2F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77:16:06.20867</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3E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FB81520">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9E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8DB8D8">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4村4组1号</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23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606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EE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37:58:10.46301</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1F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77:16:42.76413</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F3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3B0560B">
        <w:tblPrEx>
          <w:tblCellMar>
            <w:top w:w="0" w:type="dxa"/>
            <w:left w:w="108" w:type="dxa"/>
            <w:bottom w:w="0" w:type="dxa"/>
            <w:right w:w="108" w:type="dxa"/>
          </w:tblCellMar>
        </w:tblPrEx>
        <w:trPr>
          <w:gridAfter w:val="10"/>
          <w:wAfter w:w="1167"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7D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F3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01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8E7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37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37°58'09.7286"</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57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77°16'53.4955"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92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FD4D0E5">
        <w:tblPrEx>
          <w:tblCellMar>
            <w:top w:w="0" w:type="dxa"/>
            <w:left w:w="108" w:type="dxa"/>
            <w:bottom w:w="0" w:type="dxa"/>
            <w:right w:w="108" w:type="dxa"/>
          </w:tblCellMar>
        </w:tblPrEx>
        <w:trPr>
          <w:gridAfter w:val="10"/>
          <w:wAfter w:w="1167"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386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FA00AA">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4村4组3号</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20F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22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F7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37°58'19.3161"</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4E9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77°16'52.3115"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F9C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767206A">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32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438E7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5村3、6组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F1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78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9E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37:59:26.70850</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25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77:16:12.86590</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F7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6638372">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D7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AB61B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5村3组2号</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C70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55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E9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37:59:25.86868</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CC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77:15:54.98383</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68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B80113F">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C7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04AC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1村6组、4村1组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A2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CB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F0E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37:57:05.88559</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9DB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77:16:32.49876</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72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1FC79F7">
        <w:tblPrEx>
          <w:tblCellMar>
            <w:top w:w="0" w:type="dxa"/>
            <w:left w:w="108" w:type="dxa"/>
            <w:bottom w:w="0" w:type="dxa"/>
            <w:right w:w="108" w:type="dxa"/>
          </w:tblCellMar>
        </w:tblPrEx>
        <w:trPr>
          <w:gridAfter w:val="10"/>
          <w:wAfter w:w="1167"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47F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0E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14村6组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1A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830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51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29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37°54'56.8878"</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63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77°17'34.0368"</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12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76B1EA1">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B1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9B359">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14村3、4、5组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7AD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06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91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37:56:09.67648</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61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77:17:55.51955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24C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45A24EF">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2D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A90BA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其吾支渠末端</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03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12360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C6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1D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37:56:58.16225</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5A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77:18:27.33644</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C4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287BFB7">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C4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71F35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16村1组3组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1C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EF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77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37:57:25.49604</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C3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77:18:07.38960</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48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84F63AD">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7D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81A9B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16村2组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3E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73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D5F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37:57:27.00112</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EE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77:18:09.19310</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FE9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7534034">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19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B2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16村3组4组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3D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5AD2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37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37:57:27.58176</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62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77:18:08.54514</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373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79414F7">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9A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F4E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16村3组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AA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9D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93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37:57:46.36743</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BE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77:18:08.33657</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37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4E73505">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6CE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75694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16村4组1号</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8F2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32E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188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37:58:08.64476</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222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77:18:08.19807</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B7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75C10FB">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84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6F15E3">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16村4组2号</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52D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D1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A7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37:58:10.53774</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6F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77:18:07.57875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60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072918B">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E0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4543A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12村2组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D3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410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A8A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11D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37:59:12.41919</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CB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77:17:58.50574</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93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351E8EC">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AB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CAEBB6">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12村3组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1AD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15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E1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37:59:12.18423</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BDA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77:17:57.87752</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59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0584CDC">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5C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606DC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12村2、4、5组2号</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31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4CD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47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37:59:21.57398</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D13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77:17:58.61537</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00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68575A0">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A6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4AD912">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10村3组9村1、2、3组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00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6F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0D0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37:59:33.97155</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3A4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77:18:45.83297</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B7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F2E7E29">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4B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94D7E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9村2、3组11村3组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8F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730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7C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CB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38:00:23.69833</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3E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77:18:26.65918</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4C2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EFD49F5">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AB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400B5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9村3组7村2组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7EF0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D3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D8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38:00:25.19395</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8C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77:18:24.54354</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0D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1358A56">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47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32F27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11村3组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B0E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91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563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37:59:44.93985</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85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77:19:32.89755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BD8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D4C8759">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35F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35ACCC">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11村2组1号渠</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ACF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2B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FE7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37:59:42.78973</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7539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77:19:32.89565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9B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A8BC00E">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CD7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5BA0D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11村2组2号渠</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54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64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B0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37:59:43.15965</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76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77:19:34.55393</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56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D82D5C1">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B6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81FB91">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10村2、3组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36E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E1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F6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37:59:32.91185</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1B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77:18:49.98575</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71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A80FCD6">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DF8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527E04">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13村1、2组、10村1组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7C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37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0C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37:58:43.79055</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153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77:19:07.60519</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AF0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3D67BA5">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55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877B9F">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9村10村渠</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DB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5700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804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563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37:58:44.22377</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A0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77:19:06.36398</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32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17A6266">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9C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10932E">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13村1-5组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B11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2200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51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393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37:57:56.36128</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92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77:18:51.17270</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F5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44E36CD">
        <w:tblPrEx>
          <w:tblCellMar>
            <w:top w:w="0" w:type="dxa"/>
            <w:left w:w="108" w:type="dxa"/>
            <w:bottom w:w="0" w:type="dxa"/>
            <w:right w:w="108" w:type="dxa"/>
          </w:tblCellMar>
        </w:tblPrEx>
        <w:trPr>
          <w:gridAfter w:val="10"/>
          <w:wAfter w:w="1167"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4F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w:t>
            </w:r>
          </w:p>
        </w:tc>
        <w:tc>
          <w:tcPr>
            <w:tcW w:w="1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64B15">
            <w:pPr>
              <w:widowControl/>
              <w:spacing w:after="0" w:line="240" w:lineRule="auto"/>
              <w:jc w:val="center"/>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t>14村2、3组</w:t>
            </w:r>
          </w:p>
        </w:tc>
        <w:tc>
          <w:tcPr>
            <w:tcW w:w="1197"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E3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821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200" w:type="dxa"/>
            <w:gridSpan w:val="2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3F7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37:57:45.58279</w:t>
            </w:r>
          </w:p>
        </w:tc>
        <w:tc>
          <w:tcPr>
            <w:tcW w:w="220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1B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77:18:47.38707</w:t>
            </w:r>
          </w:p>
        </w:tc>
        <w:tc>
          <w:tcPr>
            <w:tcW w:w="1197"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4AF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8CA08C0">
        <w:tblPrEx>
          <w:tblCellMar>
            <w:top w:w="0" w:type="dxa"/>
            <w:left w:w="108" w:type="dxa"/>
            <w:bottom w:w="0" w:type="dxa"/>
            <w:right w:w="108" w:type="dxa"/>
          </w:tblCellMar>
        </w:tblPrEx>
        <w:trPr>
          <w:gridAfter w:val="17"/>
          <w:wAfter w:w="1527" w:type="dxa"/>
          <w:trHeight w:val="300" w:hRule="atLeast"/>
        </w:trPr>
        <w:tc>
          <w:tcPr>
            <w:tcW w:w="9540" w:type="dxa"/>
            <w:gridSpan w:val="84"/>
            <w:tcBorders>
              <w:top w:val="single" w:color="000000" w:sz="4" w:space="0"/>
              <w:left w:val="single" w:color="000000" w:sz="4" w:space="0"/>
              <w:bottom w:val="single" w:color="000000" w:sz="4" w:space="0"/>
              <w:right w:val="nil"/>
            </w:tcBorders>
            <w:shd w:val="clear" w:color="auto" w:fill="auto"/>
            <w:noWrap/>
            <w:vAlign w:val="center"/>
          </w:tcPr>
          <w:p w14:paraId="28C5A8E8">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依力克其乡水尺明细表</w:t>
            </w:r>
          </w:p>
        </w:tc>
      </w:tr>
      <w:tr w14:paraId="516EC53A">
        <w:tblPrEx>
          <w:tblCellMar>
            <w:top w:w="0" w:type="dxa"/>
            <w:left w:w="108" w:type="dxa"/>
            <w:bottom w:w="0" w:type="dxa"/>
            <w:right w:w="108" w:type="dxa"/>
          </w:tblCellMar>
        </w:tblPrEx>
        <w:trPr>
          <w:gridAfter w:val="17"/>
          <w:wAfter w:w="1527" w:type="dxa"/>
          <w:trHeight w:val="28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B4B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426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B73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3413">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DBF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E7F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8F46">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3DC5F4AA">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3B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0A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2村5组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82F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575.8</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F1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75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37:52:19.56616</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82C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77:15:05.53130</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21E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568B6B0">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39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20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28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6C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41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37:52:20.50389</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EB4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77:15:05.67979</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CF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45DDF4D">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D3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DD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2村8号</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7B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888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8D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37:52:37.88522</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3F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77:15:01.31934</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5D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4A971BA">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3D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08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2村9号</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08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8E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FD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37:52:45.13816</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EA6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77:15:00.70225</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418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C4F0EFE">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22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A5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3村3号斗渠</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1D1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24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1B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37:52:46.33026</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2F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77:14:59.47572</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B4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B6CB791">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50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08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3村6号斗渠</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9D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E4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853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37:53:12.21637</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88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77:14:54.28322</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FF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A0C27AD">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6A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7D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3村7号斗渠</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FD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A3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0D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37:53:11.83421</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506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77:14:52.34790</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BD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F3BB5DD">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F329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2E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5村4组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59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478</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FB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EB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37:54:06.08642</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840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77:15:26.03159</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DB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D763D3C">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751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25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5村1组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92E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A1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F0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37:54:05.69455</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E1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77:15:25.14178</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99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FDC3912">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F87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FD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6村1组4组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12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160.9</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2ED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46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37:54:31.83308</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26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77:15:26.11900</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5B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2BB1BC3">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714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D92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E7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245.7</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57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51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37:54:50.55232</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E3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77:15:25.35404</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B0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759E806">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F5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3F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6村2组3组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77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278.2</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8D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F78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37:55:08.37421</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2B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77:15:25.28876</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A9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F856C1E">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39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8D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D6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194.4</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04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74B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37:55:08.39393</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9E9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77:15:27.71953</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D3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DB4AB7E">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3EC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94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6村2组3组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AA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139.5</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C91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CF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37:55:24.08515</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307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77:15:28.69086</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BE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66A4CB7">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17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E44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90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70.9</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AE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48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37:55:28.01600</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66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77:15:26.30459</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D54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C6BDADB">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320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BE9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7村1组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6476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225.8</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82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3D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37:54:11.85173</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7A1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77:14:49.76609</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F7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5196872">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36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DA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7村5组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45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162.5</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7B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1C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37:55:26.12026</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FC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77:15:02.58946</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DA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93E28E2">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C1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7A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12村1组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C1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267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169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37:58:13.76465</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50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77:14:37.10587</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94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A1C4F18">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CA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74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12村2组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B3E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C9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50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37:58:13.05032</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EE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77:14:35.90616</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3DB8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845D4D3">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19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72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12村2，3组1号</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BD7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91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1C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37:58:40.39010</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94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77:14:45.15796</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B7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0B2EB7A">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E6F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EE64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16村3组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1B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37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B98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37:53:46.52374</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54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77:09:50.84849</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81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8DBD16C">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092E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FD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13村3组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5E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279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5FF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37:57:29.91849</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A8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77:12:45.30262</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685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7249F93">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373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2A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13村2组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AFE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64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F2B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37:57:29.23944</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049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77:12:46.36530</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C8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84A3100">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E12B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98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13村4组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8D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C0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CC7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37:56:59.97856</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F1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77:12:52.63119</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F2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9BEC6CA">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0C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758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13村1组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14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A3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A4C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37:56:58.77972</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0B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77:12:55.36794</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DC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840AA95">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4A3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FD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12村2，3组2号</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B1A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12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40A0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37:58:59.59071</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3F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77:14:48.37922</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80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AF6ACB1">
        <w:tblPrEx>
          <w:tblCellMar>
            <w:top w:w="0" w:type="dxa"/>
            <w:left w:w="108" w:type="dxa"/>
            <w:bottom w:w="0" w:type="dxa"/>
            <w:right w:w="108" w:type="dxa"/>
          </w:tblCellMar>
        </w:tblPrEx>
        <w:trPr>
          <w:gridAfter w:val="17"/>
          <w:wAfter w:w="1527" w:type="dxa"/>
          <w:trHeight w:val="270" w:hRule="atLeast"/>
        </w:trPr>
        <w:tc>
          <w:tcPr>
            <w:tcW w:w="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C853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230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CD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11村1组10村1组</w:t>
            </w:r>
          </w:p>
        </w:tc>
        <w:tc>
          <w:tcPr>
            <w:tcW w:w="107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D99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55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29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198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FD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37:57:46.20749</w:t>
            </w:r>
          </w:p>
        </w:tc>
        <w:tc>
          <w:tcPr>
            <w:tcW w:w="1982"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59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77:14:53.41516</w:t>
            </w:r>
          </w:p>
        </w:tc>
        <w:tc>
          <w:tcPr>
            <w:tcW w:w="107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CC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3CC6EFC">
        <w:tblPrEx>
          <w:tblCellMar>
            <w:top w:w="0" w:type="dxa"/>
            <w:left w:w="108" w:type="dxa"/>
            <w:bottom w:w="0" w:type="dxa"/>
            <w:right w:w="108" w:type="dxa"/>
          </w:tblCellMar>
        </w:tblPrEx>
        <w:trPr>
          <w:gridAfter w:val="5"/>
          <w:wAfter w:w="804" w:type="dxa"/>
          <w:trHeight w:val="300" w:hRule="atLeast"/>
        </w:trPr>
        <w:tc>
          <w:tcPr>
            <w:tcW w:w="10263" w:type="dxa"/>
            <w:gridSpan w:val="96"/>
            <w:tcBorders>
              <w:top w:val="single" w:color="000000" w:sz="4" w:space="0"/>
              <w:left w:val="single" w:color="000000" w:sz="4" w:space="0"/>
              <w:bottom w:val="single" w:color="000000" w:sz="4" w:space="0"/>
              <w:right w:val="nil"/>
            </w:tcBorders>
            <w:shd w:val="clear" w:color="auto" w:fill="auto"/>
            <w:noWrap/>
            <w:vAlign w:val="center"/>
          </w:tcPr>
          <w:p w14:paraId="5C894C81">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宗朗乡水尺明细表</w:t>
            </w:r>
          </w:p>
        </w:tc>
      </w:tr>
      <w:tr w14:paraId="0E20E6D6">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EC30">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1D1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F3AD">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995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186D">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2BF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390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6623D2ED">
        <w:tblPrEx>
          <w:tblCellMar>
            <w:top w:w="0" w:type="dxa"/>
            <w:left w:w="108" w:type="dxa"/>
            <w:bottom w:w="0" w:type="dxa"/>
            <w:right w:w="108" w:type="dxa"/>
          </w:tblCellMar>
        </w:tblPrEx>
        <w:trPr>
          <w:gridAfter w:val="5"/>
          <w:wAfter w:w="804" w:type="dxa"/>
          <w:trHeight w:val="30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A6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692D6D">
            <w:pPr>
              <w:widowControl/>
              <w:spacing w:after="0" w:line="240" w:lineRule="auto"/>
              <w:jc w:val="center"/>
              <w:rPr>
                <w:rFonts w:hint="eastAsia" w:ascii="宋体" w:hAnsi="宋体" w:eastAsia="宋体" w:cs="宋体"/>
                <w:color w:val="000000"/>
                <w:kern w:val="0"/>
                <w:sz w:val="24"/>
                <w14:ligatures w14:val="none"/>
              </w:rPr>
            </w:pPr>
            <w:r>
              <w:rPr>
                <w:rFonts w:hint="eastAsia" w:ascii="宋体" w:hAnsi="宋体" w:eastAsia="宋体" w:cs="宋体"/>
                <w:color w:val="000000"/>
                <w:kern w:val="0"/>
                <w:sz w:val="24"/>
                <w14:ligatures w14:val="none"/>
              </w:rPr>
              <w:t>2村6组斗渠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E8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DB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4D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37:35:45.72857</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7D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77:27:05.58742</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85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2DC3888">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C0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B0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2村6组2号</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BE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A6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AE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37:35:46.64551</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F1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77:27:03.43775</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0A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7A7CD57">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79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633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2村5组斗渠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F2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A4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C5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37:35:28.71221</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9E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77:27:04.26340</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1E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C34A520">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07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CA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2村5组农渠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33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82B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A9A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37:35:29.25770</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5B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77:27:03.59958</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0F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6F969C3">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69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8F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2村3组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60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06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EE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37:35:17.34872</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407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77:27:03.36001</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62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305236A">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15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98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2村3、4组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34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DC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E93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37°35'17.2480"</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4C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77°27'14.4813"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4BF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4DCBCCC">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21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C59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2村4、5组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FE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10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0EB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37:35:16.33191</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B58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77:27:04.06266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08F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F5D112A">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94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6C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39A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890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BDC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1AF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37:34:28.97401</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E5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77:26:59.05946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507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E5A542">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1E43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DDB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2B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970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2D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0D7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37:34:29.47929</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DCD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77:26:59.78843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36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1F09C53">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48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64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2村支渠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F3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F3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94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37:34:28.59683</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B6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77:27:01.66133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2E2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9FDF593">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389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11</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15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3村6组斗渠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13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7D0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AB2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37:34:11.77878</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CE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77:27:05.29916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25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5836FDE">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9E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F7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3村5组斗渠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58F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A50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69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37:33:49.18987</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A5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77:27:10.70348</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EA9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F9C996D">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5B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13</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C98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3村4组6组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C3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53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CBE3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37:33:50.07885</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1E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77:27:05.28092</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DC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CA05EF7">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96A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94F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F7F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E4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838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37:33:13.69395</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7A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77:27:13.23609</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9A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4ECD482">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B3F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994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3村3组5组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AC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31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F054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37:33:14.06261</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6D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77:27:13.29096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4E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AF792F7">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42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16</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112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3村3组4组6组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92C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1400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E15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C2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37:33:13.69535</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5FA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77:27:09.68926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F6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9263D9E">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12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5FA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3村3组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6ED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85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98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37:33:14.61411</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28D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77:27:10.70074</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5731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29220EE">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D0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18</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8C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3村2组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F9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F65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9D1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37:32:37.88188</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7D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77:27:14.75199</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B3B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03E3E0D">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F1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19</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671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3村2组斗渠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B4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37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A98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37:32:38.03466</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0E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77:27:17.21310</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A9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2F116DE">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874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07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3村萨干斗渠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429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1B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4F9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37:32:09.36279</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931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77:27:22.44304</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5BA6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B01080D">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ABF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21</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AE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B5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1200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FE0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E3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37:32:09.83966</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AE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77:27:26.21314</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F5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987E836">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DC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22</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27D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3村库热尼买提</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608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3B2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B9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37:31:23.82833</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76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77:27:37.49895</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4C4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CCADB5C">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33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23</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34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5E9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71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64F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37:31:24.48758</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84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77:27:39.41803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E5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16D74D3">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022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DA3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A3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EA7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9BA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37:31:48.06747</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59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77:27:50.71487</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3A3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CE0B77E">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F4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FAE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C3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C1D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0.6</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7C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37:32:19.96505</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59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77:28:05.15417</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251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67E55F0">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49D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26</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8A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4村2组斗渠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68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E6C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58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37:33:02.22543</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5CA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77:28:14.30513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22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03385E1">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AE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27</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05A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4村2组斗渠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C56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93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68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37:33:03.01009</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F4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77:28:13.73864</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BB8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2B693E9">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4B5F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497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4村3组1号</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33AF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F9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0.4</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004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37:33:15.30902</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712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77:28:14.97972</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462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BBF7E1B">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D4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29</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D5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4村2组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8175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280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6F2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4AA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37:33:13.92942</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5513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77:28:15.74993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5B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287743C">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994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5B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4村3组2号</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1C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8895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0.2</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1C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37:33:14.35978</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54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77:28:12.36669</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CC17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28315A0">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98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75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4村3组斗渠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EA9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4FED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83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37:33:25.19620</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14F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77:28:14.18386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E5E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289FAA3">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F4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B81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4村3组斗渠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D2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395</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86B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70D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37:33:24.95027</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2E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77:28:18.92947</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77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FAC11E8">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C8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33</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DB8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4村4组斗渠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38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2FA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F3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37:33:38.86195</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02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77:28:17.60676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975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A8057B6">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67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34</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1C8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4村4组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296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5B3E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A1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37°33'36.2704"</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6042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77°28'28.9462"</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F6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6548FE10">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9F0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81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4村4组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90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669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66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37:33:44.19997</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E2E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77:28:19.35048</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A76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E637392">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5F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36</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3D2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4村4组斗渠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C59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FF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B3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37:33:45.23826</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D6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77:28:19.15993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AE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BE0B950">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0BC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3D0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4村5组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3A9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530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39D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0.8</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484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37:33:56.72391</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F17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77:28:27.33519</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D25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BDF9AAC">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CB6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38</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82B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4村6组斗渠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905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CC6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83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37:34:17.42412</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1A2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77:28:32.49791</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284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9F9C6A3">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ED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39</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6D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2村4组斗渠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97E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5C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0.7</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366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37:34:44.97854</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456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77:28:05.71983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191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920247C">
        <w:tblPrEx>
          <w:tblCellMar>
            <w:top w:w="0" w:type="dxa"/>
            <w:left w:w="108" w:type="dxa"/>
            <w:bottom w:w="0" w:type="dxa"/>
            <w:right w:w="108" w:type="dxa"/>
          </w:tblCellMar>
        </w:tblPrEx>
        <w:trPr>
          <w:gridAfter w:val="5"/>
          <w:wAfter w:w="804" w:type="dxa"/>
          <w:trHeight w:val="56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AF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DF31F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5村5组艾木杜拉</w:t>
            </w:r>
            <w:r>
              <w:rPr>
                <w:rFonts w:hint="eastAsia" w:ascii="微软雅黑" w:hAnsi="微软雅黑" w:eastAsia="微软雅黑" w:cs="微软雅黑"/>
                <w:color w:val="000000"/>
                <w:kern w:val="0"/>
                <w:szCs w:val="22"/>
                <w14:ligatures w14:val="none"/>
              </w:rPr>
              <w:t>▪</w:t>
            </w:r>
            <w:r>
              <w:rPr>
                <w:rFonts w:hint="eastAsia" w:ascii="宋体" w:hAnsi="宋体" w:eastAsia="宋体" w:cs="宋体"/>
                <w:color w:val="000000"/>
                <w:kern w:val="0"/>
                <w:szCs w:val="22"/>
                <w14:ligatures w14:val="none"/>
              </w:rPr>
              <w:t>卡吾孜9号农渠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81D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240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05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D04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37:31:01.75928</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9FB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77:27:08.44919</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9ED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157BE72">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3716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41</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57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5村6组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2565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570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7E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8871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37:30:32.05429</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13A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77:27:14.46302</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E21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3323914">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5F2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42</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78F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5村5组斗渠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140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4C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CD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37:30:31.69760</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C10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77:27:11.30963</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5EA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4B2AED6B">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89AF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43</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04A9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5村3组斗渠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7FAD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331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45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37:30:06.91123</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51E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77:27:02.73632</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51C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619DFB8">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A3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44</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08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5村2组斗渠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EDE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92E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A12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37:29:43.43903</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CEA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77:26:51.83705</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FF1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214F2C06">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F3C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45</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E1C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5村2组斗渠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91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11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B3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37:29:49.68845</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452D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77:26:32.65230</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84C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E627823">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761F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46</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AE7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CBE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17B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9F3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37:28:33.24200</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4AA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77:26:12.02442</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04A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83B32A1">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0E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47</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CA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6村1组斗渠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31C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200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0D3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7B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37:28:32.57273</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CC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77:26:28.90901</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0FB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00E946F5">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1A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48</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139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6村1组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8B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368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FA1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37:28:47.04474</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06A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77:26:33.35534</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029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65BE67EB">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805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49</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03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6村4组斗渠</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48EE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170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EF8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677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37:28:46.55116</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92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77:26:34.78268</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680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3327318D">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F3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0F9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B67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550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B1A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1D37">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37:28:59.81762</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79C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77:26:36.05484</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025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15E0D69">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1A9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51</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875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6村4组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21E3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430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157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F84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37:29:01.85292</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6DE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77:26:39.33947</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476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378B31B">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14C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52</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B05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6村4组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2C4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310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61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0.3</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29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37:29:20.27713</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AC9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77:26:44.77681</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47D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D7D4480">
        <w:tblPrEx>
          <w:tblCellMar>
            <w:top w:w="0" w:type="dxa"/>
            <w:left w:w="108" w:type="dxa"/>
            <w:bottom w:w="0" w:type="dxa"/>
            <w:right w:w="108" w:type="dxa"/>
          </w:tblCellMar>
        </w:tblPrEx>
        <w:trPr>
          <w:gridAfter w:val="5"/>
          <w:wAfter w:w="804" w:type="dxa"/>
          <w:trHeight w:val="28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044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53</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03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6村2组3组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B2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320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02C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9B5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37°29'20.5867"</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834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77°26'53.9026"</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F8B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96FABF8">
        <w:tblPrEx>
          <w:tblCellMar>
            <w:top w:w="0" w:type="dxa"/>
            <w:left w:w="108" w:type="dxa"/>
            <w:bottom w:w="0" w:type="dxa"/>
            <w:right w:w="108" w:type="dxa"/>
          </w:tblCellMar>
        </w:tblPrEx>
        <w:trPr>
          <w:gridAfter w:val="5"/>
          <w:wAfter w:w="804" w:type="dxa"/>
          <w:trHeight w:val="270" w:hRule="atLeast"/>
        </w:trPr>
        <w:tc>
          <w:tcPr>
            <w:tcW w:w="61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628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54</w:t>
            </w:r>
          </w:p>
        </w:tc>
        <w:tc>
          <w:tcPr>
            <w:tcW w:w="229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FF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6村3组</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2E56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420</w:t>
            </w:r>
          </w:p>
        </w:tc>
        <w:tc>
          <w:tcPr>
            <w:tcW w:w="61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32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2181" w:type="dxa"/>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6A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37:29:21.41812</w:t>
            </w:r>
          </w:p>
        </w:tc>
        <w:tc>
          <w:tcPr>
            <w:tcW w:w="2181"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1DC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77:26:43.35849</w:t>
            </w:r>
          </w:p>
        </w:tc>
        <w:tc>
          <w:tcPr>
            <w:tcW w:w="1187"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A50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72434BCB">
        <w:tblPrEx>
          <w:tblCellMar>
            <w:top w:w="0" w:type="dxa"/>
            <w:left w:w="108" w:type="dxa"/>
            <w:bottom w:w="0" w:type="dxa"/>
            <w:right w:w="108" w:type="dxa"/>
          </w:tblCellMar>
        </w:tblPrEx>
        <w:trPr>
          <w:gridAfter w:val="21"/>
          <w:wAfter w:w="2047" w:type="dxa"/>
          <w:trHeight w:val="300" w:hRule="atLeast"/>
        </w:trPr>
        <w:tc>
          <w:tcPr>
            <w:tcW w:w="9020" w:type="dxa"/>
            <w:gridSpan w:val="80"/>
            <w:tcBorders>
              <w:top w:val="single" w:color="000000" w:sz="4" w:space="0"/>
              <w:left w:val="single" w:color="000000" w:sz="4" w:space="0"/>
              <w:bottom w:val="single" w:color="000000" w:sz="4" w:space="0"/>
              <w:right w:val="nil"/>
            </w:tcBorders>
            <w:shd w:val="clear" w:color="auto" w:fill="auto"/>
            <w:noWrap/>
            <w:vAlign w:val="center"/>
          </w:tcPr>
          <w:p w14:paraId="07979DC2">
            <w:pPr>
              <w:widowControl/>
              <w:spacing w:after="0" w:line="240" w:lineRule="auto"/>
              <w:jc w:val="center"/>
              <w:rPr>
                <w:rFonts w:ascii="宋体" w:hAnsi="宋体" w:eastAsia="宋体" w:cs="宋体"/>
                <w:b/>
                <w:bCs/>
                <w:color w:val="000000"/>
                <w:kern w:val="0"/>
                <w:sz w:val="24"/>
                <w14:ligatures w14:val="none"/>
              </w:rPr>
            </w:pPr>
            <w:r>
              <w:rPr>
                <w:rFonts w:hint="eastAsia" w:ascii="宋体" w:hAnsi="宋体" w:eastAsia="宋体" w:cs="宋体"/>
                <w:b/>
                <w:bCs/>
                <w:color w:val="000000"/>
                <w:kern w:val="0"/>
                <w:sz w:val="24"/>
                <w14:ligatures w14:val="none"/>
              </w:rPr>
              <w:t>阿克塔什镇水尺明细表</w:t>
            </w:r>
          </w:p>
        </w:tc>
      </w:tr>
      <w:tr w14:paraId="52BC6A09">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571FF">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序号</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5E95">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名称</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508C">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灌溉面积</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3632">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流量</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C0D93">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纬度</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BFEE">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经度</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1FF9">
            <w:pPr>
              <w:widowControl/>
              <w:spacing w:after="0" w:line="240" w:lineRule="auto"/>
              <w:jc w:val="center"/>
              <w:rPr>
                <w:rFonts w:hint="eastAsia" w:ascii="宋体" w:hAnsi="宋体" w:eastAsia="宋体" w:cs="宋体"/>
                <w:b/>
                <w:bCs/>
                <w:color w:val="000000"/>
                <w:kern w:val="0"/>
                <w:szCs w:val="22"/>
                <w14:ligatures w14:val="none"/>
              </w:rPr>
            </w:pPr>
            <w:r>
              <w:rPr>
                <w:rFonts w:hint="eastAsia" w:ascii="宋体" w:hAnsi="宋体" w:eastAsia="宋体" w:cs="宋体"/>
                <w:b/>
                <w:bCs/>
                <w:color w:val="000000"/>
                <w:kern w:val="0"/>
                <w:szCs w:val="22"/>
                <w14:ligatures w14:val="none"/>
              </w:rPr>
              <w:t>断面形式</w:t>
            </w:r>
          </w:p>
        </w:tc>
      </w:tr>
      <w:tr w14:paraId="28542152">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AE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593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阿克塔什农村1号</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898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65A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BF2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37:55:37.76702</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853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77:31:04.76836</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EF51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DCBDEC9">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F87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405A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7村2组</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164E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5C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0.5</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226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37°55'28.6915"</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BA2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77°33'38.7148"</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9FC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788A2124">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D8B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951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农场2号</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C99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4000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7B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2A9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37:55:27.62979</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75A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77:34:18.06655</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F7D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1DCC50BB">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DE9F">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4</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E619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农场3号</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E38E">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985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697D">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37:55:29.12575</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960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77:34:16.59338</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32C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r w14:paraId="5CD55455">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080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F95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5村1组</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EA3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5000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2E6A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AC52">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37°53'50.4561"</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80F5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77°34'18.1078"</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C88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FB5A719">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88C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6</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175D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5村3组1号</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F84A">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3000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782B">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D5E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37°53'50.9352"</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C2B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77°34'18.8498"</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D94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11409E77">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588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590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5村3组2号</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7E5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2500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6EC4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E066">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37°53'50.2427"</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0698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77°34'18.2716"</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0A10">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矩形</w:t>
            </w:r>
          </w:p>
        </w:tc>
      </w:tr>
      <w:tr w14:paraId="09838420">
        <w:tblPrEx>
          <w:tblCellMar>
            <w:top w:w="0" w:type="dxa"/>
            <w:left w:w="108" w:type="dxa"/>
            <w:bottom w:w="0" w:type="dxa"/>
            <w:right w:w="108" w:type="dxa"/>
          </w:tblCellMar>
        </w:tblPrEx>
        <w:trPr>
          <w:gridAfter w:val="21"/>
          <w:wAfter w:w="2047" w:type="dxa"/>
          <w:trHeight w:val="280" w:hRule="atLeast"/>
        </w:trPr>
        <w:tc>
          <w:tcPr>
            <w:tcW w:w="53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EF61">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w:t>
            </w:r>
          </w:p>
        </w:tc>
        <w:tc>
          <w:tcPr>
            <w:tcW w:w="20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B2B5">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阿克塔什渠</w:t>
            </w:r>
          </w:p>
        </w:tc>
        <w:tc>
          <w:tcPr>
            <w:tcW w:w="1041"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4918">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8000</w:t>
            </w:r>
          </w:p>
        </w:tc>
        <w:tc>
          <w:tcPr>
            <w:tcW w:w="537"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F500C">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1.5</w:t>
            </w:r>
          </w:p>
        </w:tc>
        <w:tc>
          <w:tcPr>
            <w:tcW w:w="1913"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7EC3">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37:56:31.34981</w:t>
            </w:r>
          </w:p>
        </w:tc>
        <w:tc>
          <w:tcPr>
            <w:tcW w:w="1913"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B609">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77:29:40.19960</w:t>
            </w:r>
          </w:p>
        </w:tc>
        <w:tc>
          <w:tcPr>
            <w:tcW w:w="104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6A064">
            <w:pPr>
              <w:widowControl/>
              <w:spacing w:after="0" w:line="240" w:lineRule="auto"/>
              <w:jc w:val="center"/>
              <w:rPr>
                <w:rFonts w:hint="eastAsia" w:ascii="宋体" w:hAnsi="宋体" w:eastAsia="宋体" w:cs="宋体"/>
                <w:color w:val="000000"/>
                <w:kern w:val="0"/>
                <w:szCs w:val="22"/>
                <w14:ligatures w14:val="none"/>
              </w:rPr>
            </w:pPr>
            <w:r>
              <w:rPr>
                <w:rFonts w:hint="eastAsia" w:ascii="宋体" w:hAnsi="宋体" w:eastAsia="宋体" w:cs="宋体"/>
                <w:color w:val="000000"/>
                <w:kern w:val="0"/>
                <w:szCs w:val="22"/>
                <w14:ligatures w14:val="none"/>
              </w:rPr>
              <w:t>梯形</w:t>
            </w:r>
          </w:p>
        </w:tc>
      </w:tr>
    </w:tbl>
    <w:p w14:paraId="0D8E59DF">
      <w:pPr>
        <w:spacing w:line="480" w:lineRule="auto"/>
        <w:rPr>
          <w:rFonts w:ascii="宋体" w:hAnsi="宋体" w:eastAsia="宋体"/>
          <w:sz w:val="24"/>
        </w:rPr>
      </w:pPr>
    </w:p>
    <w:p w14:paraId="03A2B2C1">
      <w:pPr>
        <w:spacing w:line="480" w:lineRule="auto"/>
        <w:rPr>
          <w:rFonts w:ascii="宋体" w:hAnsi="宋体" w:eastAsia="宋体"/>
          <w:sz w:val="24"/>
        </w:rPr>
      </w:pPr>
    </w:p>
    <w:p w14:paraId="4207C0B6">
      <w:pPr>
        <w:spacing w:line="480" w:lineRule="auto"/>
        <w:rPr>
          <w:rFonts w:ascii="宋体" w:hAnsi="宋体" w:eastAsia="宋体"/>
          <w:sz w:val="24"/>
        </w:rPr>
      </w:pPr>
    </w:p>
    <w:p w14:paraId="09ED653E">
      <w:pPr>
        <w:spacing w:line="480" w:lineRule="auto"/>
        <w:rPr>
          <w:rFonts w:ascii="宋体" w:hAnsi="宋体" w:eastAsia="宋体"/>
          <w:sz w:val="24"/>
        </w:rPr>
      </w:pPr>
    </w:p>
    <w:p w14:paraId="58601102">
      <w:pPr>
        <w:spacing w:line="480" w:lineRule="auto"/>
        <w:rPr>
          <w:rFonts w:ascii="宋体" w:hAnsi="宋体" w:eastAsia="宋体"/>
          <w:sz w:val="24"/>
        </w:rPr>
      </w:pPr>
    </w:p>
    <w:p w14:paraId="0A28D52C">
      <w:pPr>
        <w:spacing w:line="480" w:lineRule="auto"/>
        <w:rPr>
          <w:rFonts w:ascii="宋体" w:hAnsi="宋体" w:eastAsia="宋体"/>
          <w:sz w:val="24"/>
        </w:rPr>
        <w:sectPr>
          <w:pgSz w:w="16838" w:h="11906" w:orient="landscape"/>
          <w:pgMar w:top="1800" w:right="1440" w:bottom="1800" w:left="1440" w:header="851" w:footer="992" w:gutter="0"/>
          <w:cols w:space="425" w:num="1"/>
          <w:docGrid w:type="lines" w:linePitch="312" w:charSpace="0"/>
        </w:sectPr>
      </w:pPr>
      <w:bookmarkStart w:id="66" w:name="_GoBack"/>
      <w:bookmarkEnd w:id="66"/>
    </w:p>
    <w:p w14:paraId="413ED322">
      <w:pPr>
        <w:pStyle w:val="2"/>
        <w:jc w:val="center"/>
      </w:pPr>
      <w:bookmarkStart w:id="46" w:name="_Toc179900122"/>
      <w:r>
        <w:rPr>
          <w:rFonts w:hint="eastAsia"/>
        </w:rPr>
        <w:t>5.施工组织设计</w:t>
      </w:r>
      <w:bookmarkEnd w:id="46"/>
    </w:p>
    <w:p w14:paraId="69FFB1A3">
      <w:pPr>
        <w:pStyle w:val="3"/>
        <w:rPr>
          <w:sz w:val="24"/>
          <w:szCs w:val="24"/>
        </w:rPr>
      </w:pPr>
      <w:bookmarkStart w:id="47" w:name="_Toc179900123"/>
      <w:r>
        <w:rPr>
          <w:rFonts w:hint="eastAsia"/>
          <w:sz w:val="24"/>
          <w:szCs w:val="24"/>
        </w:rPr>
        <w:t>5</w:t>
      </w:r>
      <w:r>
        <w:rPr>
          <w:sz w:val="24"/>
          <w:szCs w:val="24"/>
        </w:rPr>
        <w:t xml:space="preserve">.1 </w:t>
      </w:r>
      <w:r>
        <w:rPr>
          <w:rFonts w:hint="eastAsia"/>
          <w:sz w:val="24"/>
          <w:szCs w:val="24"/>
        </w:rPr>
        <w:t>施工条件</w:t>
      </w:r>
      <w:bookmarkEnd w:id="47"/>
      <w:r>
        <w:rPr>
          <w:rFonts w:hint="eastAsia"/>
          <w:sz w:val="24"/>
          <w:szCs w:val="24"/>
        </w:rPr>
        <w:t xml:space="preserve"> </w:t>
      </w:r>
    </w:p>
    <w:p w14:paraId="1E424C48">
      <w:pPr>
        <w:pStyle w:val="4"/>
        <w:rPr>
          <w:sz w:val="24"/>
          <w:szCs w:val="24"/>
        </w:rPr>
      </w:pPr>
      <w:bookmarkStart w:id="48" w:name="_Toc179900124"/>
      <w:r>
        <w:rPr>
          <w:rFonts w:hint="eastAsia"/>
          <w:sz w:val="24"/>
          <w:szCs w:val="24"/>
        </w:rPr>
        <w:t>5</w:t>
      </w:r>
      <w:r>
        <w:rPr>
          <w:sz w:val="24"/>
          <w:szCs w:val="24"/>
        </w:rPr>
        <w:t xml:space="preserve">.1.1 </w:t>
      </w:r>
      <w:r>
        <w:rPr>
          <w:rFonts w:hint="eastAsia"/>
          <w:sz w:val="24"/>
          <w:szCs w:val="24"/>
        </w:rPr>
        <w:t>自然条件</w:t>
      </w:r>
      <w:bookmarkEnd w:id="48"/>
      <w:r>
        <w:rPr>
          <w:rFonts w:hint="eastAsia"/>
          <w:sz w:val="24"/>
          <w:szCs w:val="24"/>
        </w:rPr>
        <w:t xml:space="preserve"> </w:t>
      </w:r>
    </w:p>
    <w:p w14:paraId="58631C7A">
      <w:pPr>
        <w:spacing w:line="480" w:lineRule="auto"/>
        <w:rPr>
          <w:rFonts w:ascii="宋体" w:hAnsi="宋体" w:eastAsia="宋体"/>
          <w:sz w:val="24"/>
        </w:rPr>
      </w:pPr>
      <w:r>
        <w:rPr>
          <w:rFonts w:hint="eastAsia" w:ascii="宋体" w:hAnsi="宋体" w:eastAsia="宋体"/>
          <w:sz w:val="24"/>
        </w:rPr>
        <w:t xml:space="preserve">叶城县地处欧亚大陆腹地，为典型的暖温带大陆性极端干旱性气候。总体表现为：气候温和、四季分明、光照充足、积温高、热量丰富、降水稀少、蒸发量大、空气干燥、日较差大、无霜期长。春季升温快；夏季长而炎热、酷热期短；秋季降温迅速；冬季低温期长。本区地处库山河下游，分布有低山丘陵区、山前戈壁区、冲积平原和沙漠区。有风沙灾害，以西北风为主，春秋两季多大风和沙尘暴天气。项目区位于叶城县克孜勒乡，克孜勒乡无气象观测资料，但灌区靠近叶城县城，县城设有气象观测站，因此本工程设计选用叶城县气象站观测资料作为参考设计资料。 </w:t>
      </w:r>
    </w:p>
    <w:p w14:paraId="68E96F16">
      <w:pPr>
        <w:spacing w:line="480" w:lineRule="auto"/>
        <w:rPr>
          <w:rFonts w:ascii="宋体" w:hAnsi="宋体" w:eastAsia="宋体"/>
          <w:sz w:val="24"/>
        </w:rPr>
      </w:pPr>
      <w:r>
        <w:rPr>
          <w:rFonts w:hint="eastAsia" w:ascii="宋体" w:hAnsi="宋体" w:eastAsia="宋体"/>
          <w:sz w:val="24"/>
        </w:rPr>
        <w:t xml:space="preserve">叶城县气象站多年平均气温 </w:t>
      </w:r>
      <w:r>
        <w:rPr>
          <w:rFonts w:ascii="宋体" w:hAnsi="宋体" w:eastAsia="宋体"/>
          <w:sz w:val="24"/>
        </w:rPr>
        <w:t>11.4</w:t>
      </w:r>
      <w:r>
        <w:rPr>
          <w:rFonts w:hint="eastAsia" w:ascii="宋体" w:hAnsi="宋体" w:eastAsia="宋体"/>
          <w:sz w:val="24"/>
        </w:rPr>
        <w:t xml:space="preserve">℃，其地区分布是从平原向山区逐渐降低，西部和西北部近山区，年平均气温比县城低 </w:t>
      </w:r>
      <w:r>
        <w:rPr>
          <w:rFonts w:ascii="宋体" w:hAnsi="宋体" w:eastAsia="宋体"/>
          <w:sz w:val="24"/>
        </w:rPr>
        <w:t>0.6</w:t>
      </w:r>
      <w:r>
        <w:rPr>
          <w:rFonts w:hint="eastAsia" w:ascii="宋体" w:hAnsi="宋体" w:eastAsia="宋体"/>
          <w:sz w:val="24"/>
        </w:rPr>
        <w:t xml:space="preserve">℃左右。其他地区与县城差异不大。年平均日较差为 </w:t>
      </w:r>
      <w:r>
        <w:rPr>
          <w:rFonts w:ascii="宋体" w:hAnsi="宋体" w:eastAsia="宋体"/>
          <w:sz w:val="24"/>
        </w:rPr>
        <w:t>13.9</w:t>
      </w:r>
      <w:r>
        <w:rPr>
          <w:rFonts w:hint="eastAsia" w:ascii="宋体" w:hAnsi="宋体" w:eastAsia="宋体"/>
          <w:sz w:val="24"/>
        </w:rPr>
        <w:t xml:space="preserve">℃，秋季日较差最大为 </w:t>
      </w:r>
      <w:r>
        <w:rPr>
          <w:rFonts w:ascii="宋体" w:hAnsi="宋体" w:eastAsia="宋体"/>
          <w:sz w:val="24"/>
        </w:rPr>
        <w:t>25.4</w:t>
      </w:r>
      <w:r>
        <w:rPr>
          <w:rFonts w:hint="eastAsia" w:ascii="宋体" w:hAnsi="宋体" w:eastAsia="宋体"/>
          <w:sz w:val="24"/>
        </w:rPr>
        <w:t>℃，冬季日较差最小。工程区冻土为季节性冻土，最大冻深</w:t>
      </w:r>
      <w:r>
        <w:rPr>
          <w:rFonts w:ascii="宋体" w:hAnsi="宋体" w:eastAsia="宋体"/>
          <w:sz w:val="24"/>
        </w:rPr>
        <w:t>1m</w:t>
      </w:r>
      <w:r>
        <w:rPr>
          <w:rFonts w:hint="eastAsia" w:ascii="宋体" w:hAnsi="宋体" w:eastAsia="宋体"/>
          <w:sz w:val="24"/>
        </w:rPr>
        <w:t xml:space="preserve">。平原区平均在 </w:t>
      </w:r>
      <w:r>
        <w:rPr>
          <w:rFonts w:ascii="宋体" w:hAnsi="宋体" w:eastAsia="宋体"/>
          <w:sz w:val="24"/>
        </w:rPr>
        <w:t xml:space="preserve">10 </w:t>
      </w:r>
      <w:r>
        <w:rPr>
          <w:rFonts w:hint="eastAsia" w:ascii="宋体" w:hAnsi="宋体" w:eastAsia="宋体"/>
          <w:sz w:val="24"/>
        </w:rPr>
        <w:t xml:space="preserve">月 </w:t>
      </w:r>
      <w:r>
        <w:rPr>
          <w:rFonts w:ascii="宋体" w:hAnsi="宋体" w:eastAsia="宋体"/>
          <w:sz w:val="24"/>
        </w:rPr>
        <w:t xml:space="preserve">20 </w:t>
      </w:r>
      <w:r>
        <w:rPr>
          <w:rFonts w:hint="eastAsia" w:ascii="宋体" w:hAnsi="宋体" w:eastAsia="宋体"/>
          <w:sz w:val="24"/>
        </w:rPr>
        <w:t xml:space="preserve">日出现初霜，最早出现在 </w:t>
      </w:r>
      <w:r>
        <w:rPr>
          <w:rFonts w:ascii="宋体" w:hAnsi="宋体" w:eastAsia="宋体"/>
          <w:sz w:val="24"/>
        </w:rPr>
        <w:t xml:space="preserve">10 </w:t>
      </w:r>
      <w:r>
        <w:rPr>
          <w:rFonts w:hint="eastAsia" w:ascii="宋体" w:hAnsi="宋体" w:eastAsia="宋体"/>
          <w:sz w:val="24"/>
        </w:rPr>
        <w:t xml:space="preserve">月 </w:t>
      </w:r>
      <w:r>
        <w:rPr>
          <w:rFonts w:ascii="宋体" w:hAnsi="宋体" w:eastAsia="宋体"/>
          <w:sz w:val="24"/>
        </w:rPr>
        <w:t xml:space="preserve">4 </w:t>
      </w:r>
      <w:r>
        <w:rPr>
          <w:rFonts w:hint="eastAsia" w:ascii="宋体" w:hAnsi="宋体" w:eastAsia="宋体"/>
          <w:sz w:val="24"/>
        </w:rPr>
        <w:t xml:space="preserve">日，最晚出现在 </w:t>
      </w:r>
      <w:r>
        <w:rPr>
          <w:rFonts w:ascii="宋体" w:hAnsi="宋体" w:eastAsia="宋体"/>
          <w:sz w:val="24"/>
        </w:rPr>
        <w:t xml:space="preserve">11 </w:t>
      </w:r>
      <w:r>
        <w:rPr>
          <w:rFonts w:hint="eastAsia" w:ascii="宋体" w:hAnsi="宋体" w:eastAsia="宋体"/>
          <w:sz w:val="24"/>
        </w:rPr>
        <w:t xml:space="preserve">月 </w:t>
      </w:r>
      <w:r>
        <w:rPr>
          <w:rFonts w:ascii="宋体" w:hAnsi="宋体" w:eastAsia="宋体"/>
          <w:sz w:val="24"/>
        </w:rPr>
        <w:t xml:space="preserve">2 </w:t>
      </w:r>
      <w:r>
        <w:rPr>
          <w:rFonts w:hint="eastAsia" w:ascii="宋体" w:hAnsi="宋体" w:eastAsia="宋体"/>
          <w:sz w:val="24"/>
        </w:rPr>
        <w:t xml:space="preserve">日。霜期终日平均在 </w:t>
      </w:r>
      <w:r>
        <w:rPr>
          <w:rFonts w:ascii="宋体" w:hAnsi="宋体" w:eastAsia="宋体"/>
          <w:sz w:val="24"/>
        </w:rPr>
        <w:t xml:space="preserve">3 </w:t>
      </w:r>
      <w:r>
        <w:rPr>
          <w:rFonts w:hint="eastAsia" w:ascii="宋体" w:hAnsi="宋体" w:eastAsia="宋体"/>
          <w:sz w:val="24"/>
        </w:rPr>
        <w:t xml:space="preserve">月 </w:t>
      </w:r>
      <w:r>
        <w:rPr>
          <w:rFonts w:ascii="宋体" w:hAnsi="宋体" w:eastAsia="宋体"/>
          <w:sz w:val="24"/>
        </w:rPr>
        <w:t xml:space="preserve">19 </w:t>
      </w:r>
      <w:r>
        <w:rPr>
          <w:rFonts w:hint="eastAsia" w:ascii="宋体" w:hAnsi="宋体" w:eastAsia="宋体"/>
          <w:sz w:val="24"/>
        </w:rPr>
        <w:t xml:space="preserve">日，最早为 </w:t>
      </w:r>
      <w:r>
        <w:rPr>
          <w:rFonts w:ascii="宋体" w:hAnsi="宋体" w:eastAsia="宋体"/>
          <w:sz w:val="24"/>
        </w:rPr>
        <w:t xml:space="preserve">2 </w:t>
      </w:r>
      <w:r>
        <w:rPr>
          <w:rFonts w:hint="eastAsia" w:ascii="宋体" w:hAnsi="宋体" w:eastAsia="宋体"/>
          <w:sz w:val="24"/>
        </w:rPr>
        <w:t xml:space="preserve">月 </w:t>
      </w:r>
      <w:r>
        <w:rPr>
          <w:rFonts w:ascii="宋体" w:hAnsi="宋体" w:eastAsia="宋体"/>
          <w:sz w:val="24"/>
        </w:rPr>
        <w:t xml:space="preserve">24 </w:t>
      </w:r>
      <w:r>
        <w:rPr>
          <w:rFonts w:hint="eastAsia" w:ascii="宋体" w:hAnsi="宋体" w:eastAsia="宋体"/>
          <w:sz w:val="24"/>
        </w:rPr>
        <w:t xml:space="preserve">日，最晚为 </w:t>
      </w:r>
      <w:r>
        <w:rPr>
          <w:rFonts w:ascii="宋体" w:hAnsi="宋体" w:eastAsia="宋体"/>
          <w:sz w:val="24"/>
        </w:rPr>
        <w:t xml:space="preserve">5 </w:t>
      </w:r>
      <w:r>
        <w:rPr>
          <w:rFonts w:hint="eastAsia" w:ascii="宋体" w:hAnsi="宋体" w:eastAsia="宋体"/>
          <w:sz w:val="24"/>
        </w:rPr>
        <w:t xml:space="preserve">月 </w:t>
      </w:r>
      <w:r>
        <w:rPr>
          <w:rFonts w:ascii="宋体" w:hAnsi="宋体" w:eastAsia="宋体"/>
          <w:sz w:val="24"/>
        </w:rPr>
        <w:t xml:space="preserve">8 </w:t>
      </w:r>
      <w:r>
        <w:rPr>
          <w:rFonts w:hint="eastAsia" w:ascii="宋体" w:hAnsi="宋体" w:eastAsia="宋体"/>
          <w:sz w:val="24"/>
        </w:rPr>
        <w:t xml:space="preserve">日。平均无霜期 </w:t>
      </w:r>
      <w:r>
        <w:rPr>
          <w:rFonts w:ascii="宋体" w:hAnsi="宋体" w:eastAsia="宋体"/>
          <w:sz w:val="24"/>
        </w:rPr>
        <w:t xml:space="preserve">223 </w:t>
      </w:r>
      <w:r>
        <w:rPr>
          <w:rFonts w:hint="eastAsia" w:ascii="宋体" w:hAnsi="宋体" w:eastAsia="宋体"/>
          <w:sz w:val="24"/>
        </w:rPr>
        <w:t xml:space="preserve">天，最长年份是 </w:t>
      </w:r>
      <w:r>
        <w:rPr>
          <w:rFonts w:ascii="宋体" w:hAnsi="宋体" w:eastAsia="宋体"/>
          <w:sz w:val="24"/>
        </w:rPr>
        <w:t xml:space="preserve">1977 </w:t>
      </w:r>
      <w:r>
        <w:rPr>
          <w:rFonts w:hint="eastAsia" w:ascii="宋体" w:hAnsi="宋体" w:eastAsia="宋体"/>
          <w:sz w:val="24"/>
        </w:rPr>
        <w:t xml:space="preserve">年达 </w:t>
      </w:r>
      <w:r>
        <w:rPr>
          <w:rFonts w:ascii="宋体" w:hAnsi="宋体" w:eastAsia="宋体"/>
          <w:sz w:val="24"/>
        </w:rPr>
        <w:t xml:space="preserve">246 </w:t>
      </w:r>
      <w:r>
        <w:rPr>
          <w:rFonts w:hint="eastAsia" w:ascii="宋体" w:hAnsi="宋体" w:eastAsia="宋体"/>
          <w:sz w:val="24"/>
        </w:rPr>
        <w:t xml:space="preserve">天，最短年份是 </w:t>
      </w:r>
      <w:r>
        <w:rPr>
          <w:rFonts w:ascii="宋体" w:hAnsi="宋体" w:eastAsia="宋体"/>
          <w:sz w:val="24"/>
        </w:rPr>
        <w:t xml:space="preserve">1975 </w:t>
      </w:r>
      <w:r>
        <w:rPr>
          <w:rFonts w:hint="eastAsia" w:ascii="宋体" w:hAnsi="宋体" w:eastAsia="宋体"/>
          <w:sz w:val="24"/>
        </w:rPr>
        <w:t xml:space="preserve">年仅 </w:t>
      </w:r>
      <w:r>
        <w:rPr>
          <w:rFonts w:ascii="宋体" w:hAnsi="宋体" w:eastAsia="宋体"/>
          <w:sz w:val="24"/>
        </w:rPr>
        <w:t xml:space="preserve">160 </w:t>
      </w:r>
      <w:r>
        <w:rPr>
          <w:rFonts w:hint="eastAsia" w:ascii="宋体" w:hAnsi="宋体" w:eastAsia="宋体"/>
          <w:sz w:val="24"/>
        </w:rPr>
        <w:t>天。叶城县自然降水量少、时空分布不均匀、山区及山前冲积扇一带多、平原地区少。年际变化大、季节变化明显。多年平均降水量</w:t>
      </w:r>
      <w:r>
        <w:rPr>
          <w:rFonts w:ascii="宋体" w:hAnsi="宋体" w:eastAsia="宋体"/>
          <w:sz w:val="24"/>
        </w:rPr>
        <w:t>63.5mm</w:t>
      </w:r>
      <w:r>
        <w:rPr>
          <w:rFonts w:hint="eastAsia" w:ascii="宋体" w:hAnsi="宋体" w:eastAsia="宋体"/>
          <w:sz w:val="24"/>
        </w:rPr>
        <w:t>，最大年降水量为</w:t>
      </w:r>
      <w:r>
        <w:rPr>
          <w:rFonts w:ascii="宋体" w:hAnsi="宋体" w:eastAsia="宋体"/>
          <w:sz w:val="24"/>
        </w:rPr>
        <w:t>1996</w:t>
      </w:r>
      <w:r>
        <w:rPr>
          <w:rFonts w:hint="eastAsia" w:ascii="宋体" w:hAnsi="宋体" w:eastAsia="宋体"/>
          <w:sz w:val="24"/>
        </w:rPr>
        <w:t>年的</w:t>
      </w:r>
      <w:r>
        <w:rPr>
          <w:rFonts w:ascii="宋体" w:hAnsi="宋体" w:eastAsia="宋体"/>
          <w:sz w:val="24"/>
        </w:rPr>
        <w:t>187.3mm</w:t>
      </w:r>
      <w:r>
        <w:rPr>
          <w:rFonts w:hint="eastAsia" w:ascii="宋体" w:hAnsi="宋体" w:eastAsia="宋体"/>
          <w:sz w:val="24"/>
        </w:rPr>
        <w:t>，最小年降水量为</w:t>
      </w:r>
      <w:r>
        <w:rPr>
          <w:rFonts w:ascii="宋体" w:hAnsi="宋体" w:eastAsia="宋体"/>
          <w:sz w:val="24"/>
        </w:rPr>
        <w:t>1985</w:t>
      </w:r>
      <w:r>
        <w:rPr>
          <w:rFonts w:hint="eastAsia" w:ascii="宋体" w:hAnsi="宋体" w:eastAsia="宋体"/>
          <w:sz w:val="24"/>
        </w:rPr>
        <w:t>年的</w:t>
      </w:r>
      <w:r>
        <w:rPr>
          <w:rFonts w:ascii="宋体" w:hAnsi="宋体" w:eastAsia="宋体"/>
          <w:sz w:val="24"/>
        </w:rPr>
        <w:t>18.4mm</w:t>
      </w:r>
      <w:r>
        <w:rPr>
          <w:rFonts w:hint="eastAsia" w:ascii="宋体" w:hAnsi="宋体" w:eastAsia="宋体"/>
          <w:sz w:val="24"/>
        </w:rPr>
        <w:t>。从多年平均降水量情况看，</w:t>
      </w:r>
      <w:r>
        <w:rPr>
          <w:rFonts w:ascii="宋体" w:hAnsi="宋体" w:eastAsia="宋体"/>
          <w:sz w:val="24"/>
        </w:rPr>
        <w:t>5</w:t>
      </w:r>
      <w:r>
        <w:rPr>
          <w:rFonts w:hint="eastAsia" w:ascii="宋体" w:hAnsi="宋体" w:eastAsia="宋体"/>
          <w:sz w:val="24"/>
        </w:rPr>
        <w:t xml:space="preserve">月份为最大降水月，月降水量为 </w:t>
      </w:r>
      <w:r>
        <w:rPr>
          <w:rFonts w:ascii="宋体" w:hAnsi="宋体" w:eastAsia="宋体"/>
          <w:sz w:val="24"/>
        </w:rPr>
        <w:t>9.7mm</w:t>
      </w:r>
      <w:r>
        <w:rPr>
          <w:rFonts w:hint="eastAsia" w:ascii="宋体" w:hAnsi="宋体" w:eastAsia="宋体"/>
          <w:sz w:val="24"/>
        </w:rPr>
        <w:t>。</w:t>
      </w:r>
      <w:r>
        <w:rPr>
          <w:rFonts w:ascii="宋体" w:hAnsi="宋体" w:eastAsia="宋体"/>
          <w:sz w:val="24"/>
        </w:rPr>
        <w:t xml:space="preserve">11 </w:t>
      </w:r>
      <w:r>
        <w:rPr>
          <w:rFonts w:hint="eastAsia" w:ascii="宋体" w:hAnsi="宋体" w:eastAsia="宋体"/>
          <w:sz w:val="24"/>
        </w:rPr>
        <w:t xml:space="preserve">月份为最小降水月，月降水量为 </w:t>
      </w:r>
      <w:r>
        <w:rPr>
          <w:rFonts w:ascii="宋体" w:hAnsi="宋体" w:eastAsia="宋体"/>
          <w:sz w:val="24"/>
        </w:rPr>
        <w:t>1.4mm</w:t>
      </w:r>
      <w:r>
        <w:rPr>
          <w:rFonts w:hint="eastAsia" w:ascii="宋体" w:hAnsi="宋体" w:eastAsia="宋体"/>
          <w:sz w:val="24"/>
        </w:rPr>
        <w:t>，</w:t>
      </w:r>
      <w:r>
        <w:rPr>
          <w:rFonts w:ascii="宋体" w:hAnsi="宋体" w:eastAsia="宋体"/>
          <w:sz w:val="24"/>
        </w:rPr>
        <w:t>5</w:t>
      </w:r>
      <w:r>
        <w:rPr>
          <w:rFonts w:hint="eastAsia" w:ascii="宋体" w:hAnsi="宋体" w:eastAsia="宋体"/>
          <w:sz w:val="24"/>
        </w:rPr>
        <w:t>～</w:t>
      </w:r>
      <w:r>
        <w:rPr>
          <w:rFonts w:ascii="宋体" w:hAnsi="宋体" w:eastAsia="宋体"/>
          <w:sz w:val="24"/>
        </w:rPr>
        <w:t>9</w:t>
      </w:r>
      <w:r>
        <w:rPr>
          <w:rFonts w:hint="eastAsia" w:ascii="宋体" w:hAnsi="宋体" w:eastAsia="宋体"/>
          <w:sz w:val="24"/>
        </w:rPr>
        <w:t xml:space="preserve">月总降水量为 </w:t>
      </w:r>
      <w:r>
        <w:rPr>
          <w:rFonts w:ascii="宋体" w:hAnsi="宋体" w:eastAsia="宋体"/>
          <w:sz w:val="24"/>
        </w:rPr>
        <w:t>40.7mm</w:t>
      </w:r>
      <w:r>
        <w:rPr>
          <w:rFonts w:hint="eastAsia" w:ascii="宋体" w:hAnsi="宋体" w:eastAsia="宋体"/>
          <w:sz w:val="24"/>
        </w:rPr>
        <w:t xml:space="preserve">，约占年降水量的 </w:t>
      </w:r>
      <w:r>
        <w:rPr>
          <w:rFonts w:ascii="宋体" w:hAnsi="宋体" w:eastAsia="宋体"/>
          <w:sz w:val="24"/>
        </w:rPr>
        <w:t>64</w:t>
      </w:r>
      <w:r>
        <w:rPr>
          <w:rFonts w:hint="eastAsia" w:ascii="宋体" w:hAnsi="宋体" w:eastAsia="宋体"/>
          <w:sz w:val="24"/>
        </w:rPr>
        <w:t xml:space="preserve">％。 </w:t>
      </w:r>
    </w:p>
    <w:p w14:paraId="014AC261">
      <w:pPr>
        <w:pStyle w:val="4"/>
        <w:rPr>
          <w:sz w:val="24"/>
          <w:szCs w:val="24"/>
        </w:rPr>
      </w:pPr>
      <w:bookmarkStart w:id="49" w:name="_Toc179900125"/>
      <w:r>
        <w:rPr>
          <w:rFonts w:hint="eastAsia"/>
          <w:sz w:val="24"/>
          <w:szCs w:val="24"/>
        </w:rPr>
        <w:t>5</w:t>
      </w:r>
      <w:r>
        <w:rPr>
          <w:sz w:val="24"/>
          <w:szCs w:val="24"/>
        </w:rPr>
        <w:t xml:space="preserve">.1.2 </w:t>
      </w:r>
      <w:r>
        <w:rPr>
          <w:rFonts w:hint="eastAsia"/>
          <w:sz w:val="24"/>
          <w:szCs w:val="24"/>
        </w:rPr>
        <w:t>交通运输条件</w:t>
      </w:r>
      <w:bookmarkEnd w:id="49"/>
      <w:r>
        <w:rPr>
          <w:rFonts w:hint="eastAsia"/>
          <w:sz w:val="24"/>
          <w:szCs w:val="24"/>
        </w:rPr>
        <w:t xml:space="preserve"> </w:t>
      </w:r>
    </w:p>
    <w:p w14:paraId="7D206A0F">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）对外交通 </w:t>
      </w:r>
    </w:p>
    <w:p w14:paraId="749A71F7">
      <w:pPr>
        <w:spacing w:line="480" w:lineRule="auto"/>
        <w:rPr>
          <w:rFonts w:ascii="宋体" w:hAnsi="宋体" w:eastAsia="宋体"/>
          <w:sz w:val="24"/>
        </w:rPr>
      </w:pPr>
      <w:r>
        <w:rPr>
          <w:rFonts w:hint="eastAsia" w:ascii="宋体" w:hAnsi="宋体" w:eastAsia="宋体"/>
          <w:sz w:val="24"/>
        </w:rPr>
        <w:t xml:space="preserve">项目区对外交通便利，乡道横穿项目区，乡村道路与县、省道相连，公路网络发达，项目区主干道为柏油路面，宽度 </w:t>
      </w:r>
      <w:r>
        <w:rPr>
          <w:rFonts w:ascii="宋体" w:hAnsi="宋体" w:eastAsia="宋体"/>
          <w:sz w:val="24"/>
        </w:rPr>
        <w:t>12m</w:t>
      </w:r>
      <w:r>
        <w:rPr>
          <w:rFonts w:hint="eastAsia" w:ascii="宋体" w:hAnsi="宋体" w:eastAsia="宋体"/>
          <w:sz w:val="24"/>
        </w:rPr>
        <w:t xml:space="preserve">，现状使用情况较好。 </w:t>
      </w:r>
    </w:p>
    <w:p w14:paraId="179DAFA0">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）场内交通 </w:t>
      </w:r>
    </w:p>
    <w:p w14:paraId="7D89AFC5">
      <w:pPr>
        <w:spacing w:line="480" w:lineRule="auto"/>
        <w:rPr>
          <w:rFonts w:ascii="宋体" w:hAnsi="宋体" w:eastAsia="宋体"/>
          <w:sz w:val="24"/>
        </w:rPr>
      </w:pPr>
      <w:r>
        <w:rPr>
          <w:rFonts w:hint="eastAsia" w:ascii="宋体" w:hAnsi="宋体" w:eastAsia="宋体"/>
          <w:sz w:val="24"/>
        </w:rPr>
        <w:t xml:space="preserve">工程施工时场内运输可利用简便土路，并用推土机对路两侧平整后，即可作为施工道路。 </w:t>
      </w:r>
    </w:p>
    <w:p w14:paraId="3F46AB89">
      <w:pPr>
        <w:pStyle w:val="4"/>
        <w:rPr>
          <w:sz w:val="24"/>
          <w:szCs w:val="24"/>
        </w:rPr>
      </w:pPr>
      <w:bookmarkStart w:id="50" w:name="_Toc179900126"/>
      <w:r>
        <w:rPr>
          <w:rFonts w:hint="eastAsia"/>
          <w:sz w:val="24"/>
          <w:szCs w:val="24"/>
        </w:rPr>
        <w:t>5</w:t>
      </w:r>
      <w:r>
        <w:rPr>
          <w:sz w:val="24"/>
          <w:szCs w:val="24"/>
        </w:rPr>
        <w:t xml:space="preserve">.1.3 </w:t>
      </w:r>
      <w:r>
        <w:rPr>
          <w:rFonts w:hint="eastAsia"/>
          <w:sz w:val="24"/>
          <w:szCs w:val="24"/>
        </w:rPr>
        <w:t>施工水、电条件</w:t>
      </w:r>
      <w:bookmarkEnd w:id="50"/>
      <w:r>
        <w:rPr>
          <w:rFonts w:hint="eastAsia"/>
          <w:sz w:val="24"/>
          <w:szCs w:val="24"/>
        </w:rPr>
        <w:t xml:space="preserve"> </w:t>
      </w:r>
    </w:p>
    <w:p w14:paraId="0980CC4F">
      <w:pPr>
        <w:spacing w:line="480" w:lineRule="auto"/>
        <w:rPr>
          <w:rFonts w:ascii="宋体" w:hAnsi="宋体" w:eastAsia="宋体"/>
          <w:sz w:val="24"/>
        </w:rPr>
      </w:pPr>
      <w:r>
        <w:rPr>
          <w:rFonts w:hint="eastAsia" w:ascii="宋体" w:hAnsi="宋体" w:eastAsia="宋体"/>
          <w:sz w:val="24"/>
        </w:rPr>
        <w:t xml:space="preserve">项目区有电网覆盖，施工动力用电可从附近电网架设或自备柴油发电机供给，自发电约占 </w:t>
      </w:r>
      <w:r>
        <w:rPr>
          <w:rFonts w:ascii="宋体" w:hAnsi="宋体" w:eastAsia="宋体"/>
          <w:sz w:val="24"/>
        </w:rPr>
        <w:t>70</w:t>
      </w:r>
      <w:r>
        <w:rPr>
          <w:rFonts w:hint="eastAsia" w:ascii="宋体" w:hAnsi="宋体" w:eastAsia="宋体"/>
          <w:sz w:val="24"/>
        </w:rPr>
        <w:t xml:space="preserve">％。施工用水需从附近引水渠抽取解决，渠道停水期间，施工单位生活用水及施工用水用罐车就近拉运解决。 </w:t>
      </w:r>
    </w:p>
    <w:p w14:paraId="286225B9">
      <w:pPr>
        <w:pStyle w:val="4"/>
        <w:rPr>
          <w:sz w:val="24"/>
          <w:szCs w:val="24"/>
        </w:rPr>
      </w:pPr>
      <w:bookmarkStart w:id="51" w:name="_Toc179900127"/>
      <w:r>
        <w:rPr>
          <w:rFonts w:hint="eastAsia"/>
          <w:sz w:val="24"/>
          <w:szCs w:val="24"/>
        </w:rPr>
        <w:t>5</w:t>
      </w:r>
      <w:r>
        <w:rPr>
          <w:sz w:val="24"/>
          <w:szCs w:val="24"/>
        </w:rPr>
        <w:t xml:space="preserve">.1.4 </w:t>
      </w:r>
      <w:r>
        <w:rPr>
          <w:rFonts w:hint="eastAsia"/>
          <w:sz w:val="24"/>
          <w:szCs w:val="24"/>
        </w:rPr>
        <w:t>施工场地</w:t>
      </w:r>
      <w:bookmarkEnd w:id="51"/>
      <w:r>
        <w:rPr>
          <w:rFonts w:hint="eastAsia"/>
          <w:sz w:val="24"/>
          <w:szCs w:val="24"/>
        </w:rPr>
        <w:t xml:space="preserve"> </w:t>
      </w:r>
    </w:p>
    <w:p w14:paraId="0FC64854">
      <w:pPr>
        <w:spacing w:line="480" w:lineRule="auto"/>
        <w:rPr>
          <w:rFonts w:ascii="宋体" w:hAnsi="宋体" w:eastAsia="宋体"/>
          <w:sz w:val="24"/>
        </w:rPr>
      </w:pPr>
      <w:r>
        <w:rPr>
          <w:rFonts w:hint="eastAsia" w:ascii="宋体" w:hAnsi="宋体" w:eastAsia="宋体"/>
          <w:sz w:val="24"/>
        </w:rPr>
        <w:t xml:space="preserve">本工程施工场地位于乡内城区，地势平坦、开阔，项目区周边均有柏油道路，道路旁有居民点，部分地段因渠、林、路密相连，施工场地狭小。工程建设村组为单元，独立布置施工设施及施工场地。 </w:t>
      </w:r>
    </w:p>
    <w:p w14:paraId="50FD6048">
      <w:pPr>
        <w:pStyle w:val="4"/>
        <w:rPr>
          <w:sz w:val="24"/>
          <w:szCs w:val="24"/>
        </w:rPr>
      </w:pPr>
      <w:bookmarkStart w:id="52" w:name="_Toc179900128"/>
      <w:r>
        <w:rPr>
          <w:rFonts w:hint="eastAsia"/>
          <w:sz w:val="24"/>
          <w:szCs w:val="24"/>
        </w:rPr>
        <w:t>5</w:t>
      </w:r>
      <w:r>
        <w:rPr>
          <w:sz w:val="24"/>
          <w:szCs w:val="24"/>
        </w:rPr>
        <w:t xml:space="preserve">.1.5 </w:t>
      </w:r>
      <w:r>
        <w:rPr>
          <w:rFonts w:hint="eastAsia"/>
          <w:sz w:val="24"/>
          <w:szCs w:val="24"/>
        </w:rPr>
        <w:t>工程施工特点</w:t>
      </w:r>
      <w:bookmarkEnd w:id="52"/>
      <w:r>
        <w:rPr>
          <w:rFonts w:hint="eastAsia"/>
          <w:sz w:val="24"/>
          <w:szCs w:val="24"/>
        </w:rPr>
        <w:t xml:space="preserve"> </w:t>
      </w:r>
    </w:p>
    <w:p w14:paraId="3723B8F1">
      <w:pPr>
        <w:spacing w:line="480" w:lineRule="auto"/>
        <w:rPr>
          <w:rFonts w:ascii="宋体" w:hAnsi="宋体" w:eastAsia="宋体"/>
          <w:sz w:val="24"/>
        </w:rPr>
      </w:pPr>
      <w:r>
        <w:rPr>
          <w:rFonts w:hint="eastAsia" w:ascii="宋体" w:hAnsi="宋体" w:eastAsia="宋体"/>
          <w:sz w:val="24"/>
        </w:rPr>
        <w:t xml:space="preserve">工程施工期间必须保证农业生产正常灌溉，不能因施工影响农业生产，工程施工应尽量避开农业灌溉期。 </w:t>
      </w:r>
    </w:p>
    <w:p w14:paraId="04F8CF15">
      <w:pPr>
        <w:pStyle w:val="4"/>
        <w:rPr>
          <w:sz w:val="24"/>
          <w:szCs w:val="24"/>
        </w:rPr>
      </w:pPr>
      <w:bookmarkStart w:id="53" w:name="_Toc179900129"/>
      <w:r>
        <w:rPr>
          <w:rFonts w:hint="eastAsia"/>
          <w:sz w:val="24"/>
          <w:szCs w:val="24"/>
        </w:rPr>
        <w:t>5</w:t>
      </w:r>
      <w:r>
        <w:rPr>
          <w:sz w:val="24"/>
          <w:szCs w:val="24"/>
        </w:rPr>
        <w:t xml:space="preserve">.1.6 </w:t>
      </w:r>
      <w:r>
        <w:rPr>
          <w:rFonts w:hint="eastAsia"/>
          <w:sz w:val="24"/>
          <w:szCs w:val="24"/>
        </w:rPr>
        <w:t>主要建筑材料供应</w:t>
      </w:r>
      <w:bookmarkEnd w:id="53"/>
      <w:r>
        <w:rPr>
          <w:rFonts w:hint="eastAsia"/>
          <w:sz w:val="24"/>
          <w:szCs w:val="24"/>
        </w:rPr>
        <w:t xml:space="preserve"> </w:t>
      </w:r>
    </w:p>
    <w:p w14:paraId="29E79536">
      <w:pPr>
        <w:spacing w:line="480" w:lineRule="auto"/>
        <w:rPr>
          <w:rFonts w:ascii="宋体" w:hAnsi="宋体" w:eastAsia="宋体"/>
          <w:sz w:val="24"/>
        </w:rPr>
      </w:pPr>
      <w:r>
        <w:rPr>
          <w:rFonts w:hint="eastAsia" w:ascii="宋体" w:hAnsi="宋体" w:eastAsia="宋体"/>
          <w:sz w:val="24"/>
        </w:rPr>
        <w:t>本工程主要工程量以水尺采购为主。材料需外购。水尺：成平水尺从县城购买，平均运距</w:t>
      </w:r>
      <w:r>
        <w:rPr>
          <w:rFonts w:ascii="宋体" w:hAnsi="宋体" w:eastAsia="宋体"/>
          <w:sz w:val="24"/>
        </w:rPr>
        <w:t>13km</w:t>
      </w:r>
      <w:r>
        <w:rPr>
          <w:rFonts w:hint="eastAsia" w:ascii="宋体" w:hAnsi="宋体" w:eastAsia="宋体"/>
          <w:sz w:val="24"/>
        </w:rPr>
        <w:t xml:space="preserve">。 </w:t>
      </w:r>
    </w:p>
    <w:p w14:paraId="0CA7F124">
      <w:pPr>
        <w:spacing w:line="480" w:lineRule="auto"/>
        <w:rPr>
          <w:rFonts w:ascii="宋体" w:hAnsi="宋体" w:eastAsia="宋体"/>
          <w:sz w:val="24"/>
        </w:rPr>
      </w:pPr>
      <w:r>
        <w:rPr>
          <w:rFonts w:hint="eastAsia" w:ascii="宋体" w:hAnsi="宋体" w:eastAsia="宋体"/>
          <w:sz w:val="24"/>
        </w:rPr>
        <w:t xml:space="preserve">工程区已实现移动通信全覆盖，可满足施工通讯的要求。 </w:t>
      </w:r>
    </w:p>
    <w:p w14:paraId="75702B55">
      <w:pPr>
        <w:pStyle w:val="4"/>
        <w:rPr>
          <w:sz w:val="24"/>
          <w:szCs w:val="24"/>
        </w:rPr>
      </w:pPr>
      <w:bookmarkStart w:id="54" w:name="_Toc179900130"/>
      <w:r>
        <w:rPr>
          <w:rFonts w:hint="eastAsia"/>
          <w:sz w:val="24"/>
          <w:szCs w:val="24"/>
        </w:rPr>
        <w:t>5</w:t>
      </w:r>
      <w:r>
        <w:rPr>
          <w:sz w:val="24"/>
          <w:szCs w:val="24"/>
        </w:rPr>
        <w:t xml:space="preserve">.1.7 </w:t>
      </w:r>
      <w:r>
        <w:rPr>
          <w:rFonts w:hint="eastAsia"/>
          <w:sz w:val="24"/>
          <w:szCs w:val="24"/>
        </w:rPr>
        <w:t>施工导流</w:t>
      </w:r>
      <w:bookmarkEnd w:id="54"/>
      <w:r>
        <w:rPr>
          <w:rFonts w:hint="eastAsia"/>
          <w:sz w:val="24"/>
          <w:szCs w:val="24"/>
        </w:rPr>
        <w:t xml:space="preserve"> </w:t>
      </w:r>
    </w:p>
    <w:p w14:paraId="4F6DA6F9">
      <w:pPr>
        <w:spacing w:line="480" w:lineRule="auto"/>
        <w:rPr>
          <w:rFonts w:ascii="宋体" w:hAnsi="宋体" w:eastAsia="宋体"/>
          <w:sz w:val="24"/>
        </w:rPr>
      </w:pPr>
      <w:r>
        <w:rPr>
          <w:rFonts w:hint="eastAsia" w:ascii="宋体" w:hAnsi="宋体" w:eastAsia="宋体"/>
          <w:sz w:val="24"/>
        </w:rPr>
        <w:t xml:space="preserve">本项目不存在施工导流问题。 </w:t>
      </w:r>
    </w:p>
    <w:p w14:paraId="02357B38">
      <w:pPr>
        <w:pStyle w:val="4"/>
        <w:rPr>
          <w:sz w:val="24"/>
          <w:szCs w:val="24"/>
        </w:rPr>
      </w:pPr>
      <w:bookmarkStart w:id="55" w:name="_Toc179900131"/>
      <w:r>
        <w:rPr>
          <w:rFonts w:hint="eastAsia"/>
          <w:sz w:val="24"/>
          <w:szCs w:val="24"/>
        </w:rPr>
        <w:t>5</w:t>
      </w:r>
      <w:r>
        <w:rPr>
          <w:sz w:val="24"/>
          <w:szCs w:val="24"/>
        </w:rPr>
        <w:t xml:space="preserve">.1.8 </w:t>
      </w:r>
      <w:r>
        <w:rPr>
          <w:rFonts w:hint="eastAsia"/>
          <w:sz w:val="24"/>
          <w:szCs w:val="24"/>
        </w:rPr>
        <w:t>施工排水</w:t>
      </w:r>
      <w:bookmarkEnd w:id="55"/>
      <w:r>
        <w:rPr>
          <w:rFonts w:hint="eastAsia"/>
          <w:sz w:val="24"/>
          <w:szCs w:val="24"/>
        </w:rPr>
        <w:t xml:space="preserve"> </w:t>
      </w:r>
    </w:p>
    <w:p w14:paraId="66DB27F6">
      <w:pPr>
        <w:spacing w:line="480" w:lineRule="auto"/>
        <w:rPr>
          <w:rFonts w:ascii="宋体" w:hAnsi="宋体" w:eastAsia="宋体"/>
          <w:sz w:val="24"/>
        </w:rPr>
      </w:pPr>
      <w:r>
        <w:rPr>
          <w:rFonts w:hint="eastAsia" w:ascii="宋体" w:hAnsi="宋体" w:eastAsia="宋体"/>
          <w:sz w:val="24"/>
        </w:rPr>
        <w:t xml:space="preserve">本次工程施工期间不影响渠道放水。 </w:t>
      </w:r>
    </w:p>
    <w:p w14:paraId="5D680B2E">
      <w:pPr>
        <w:pStyle w:val="3"/>
        <w:rPr>
          <w:sz w:val="24"/>
          <w:szCs w:val="24"/>
        </w:rPr>
      </w:pPr>
      <w:bookmarkStart w:id="56" w:name="_Toc179900132"/>
      <w:r>
        <w:rPr>
          <w:rFonts w:hint="eastAsia"/>
          <w:sz w:val="24"/>
          <w:szCs w:val="24"/>
        </w:rPr>
        <w:t>5</w:t>
      </w:r>
      <w:r>
        <w:rPr>
          <w:sz w:val="24"/>
          <w:szCs w:val="24"/>
        </w:rPr>
        <w:t xml:space="preserve">.2 </w:t>
      </w:r>
      <w:r>
        <w:rPr>
          <w:rFonts w:hint="eastAsia"/>
          <w:sz w:val="24"/>
          <w:szCs w:val="24"/>
        </w:rPr>
        <w:t>施工总布置</w:t>
      </w:r>
      <w:bookmarkEnd w:id="56"/>
      <w:r>
        <w:rPr>
          <w:rFonts w:hint="eastAsia"/>
          <w:sz w:val="24"/>
          <w:szCs w:val="24"/>
        </w:rPr>
        <w:t xml:space="preserve"> </w:t>
      </w:r>
    </w:p>
    <w:p w14:paraId="3393D6BF">
      <w:pPr>
        <w:pStyle w:val="4"/>
        <w:rPr>
          <w:sz w:val="24"/>
          <w:szCs w:val="24"/>
        </w:rPr>
      </w:pPr>
      <w:bookmarkStart w:id="57" w:name="_Toc179900133"/>
      <w:r>
        <w:rPr>
          <w:rFonts w:hint="eastAsia"/>
          <w:sz w:val="24"/>
          <w:szCs w:val="24"/>
        </w:rPr>
        <w:t>5</w:t>
      </w:r>
      <w:r>
        <w:rPr>
          <w:sz w:val="24"/>
          <w:szCs w:val="24"/>
        </w:rPr>
        <w:t xml:space="preserve">.2.1 </w:t>
      </w:r>
      <w:r>
        <w:rPr>
          <w:rFonts w:hint="eastAsia"/>
          <w:sz w:val="24"/>
          <w:szCs w:val="24"/>
        </w:rPr>
        <w:t>施工总布置原则</w:t>
      </w:r>
      <w:bookmarkEnd w:id="57"/>
      <w:r>
        <w:rPr>
          <w:rFonts w:hint="eastAsia"/>
          <w:sz w:val="24"/>
          <w:szCs w:val="24"/>
        </w:rPr>
        <w:t xml:space="preserve"> </w:t>
      </w:r>
    </w:p>
    <w:p w14:paraId="1FF360D4">
      <w:pPr>
        <w:spacing w:line="480" w:lineRule="auto"/>
        <w:rPr>
          <w:rFonts w:ascii="宋体" w:hAnsi="宋体" w:eastAsia="宋体"/>
          <w:sz w:val="24"/>
        </w:rPr>
      </w:pPr>
      <w:r>
        <w:rPr>
          <w:rFonts w:hint="eastAsia" w:ascii="宋体" w:hAnsi="宋体" w:eastAsia="宋体"/>
          <w:sz w:val="24"/>
        </w:rPr>
        <w:t xml:space="preserve">施工总体布置主要解决施工期间所需要的各种施工设施在施工地区的空间组织问题，以期在施工进度规定的期限内，完成整个工程的建设任务。根据本项目的施工特点和施工条件，确定施工总体布置的主要工作包括交通布置、施工生产生活区布置、水电线路布置。 </w:t>
      </w:r>
    </w:p>
    <w:p w14:paraId="5B219C5A">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、施工道路布置：项目区位于乡道旁，不再新建施工道路。 </w:t>
      </w:r>
    </w:p>
    <w:p w14:paraId="4DD8343E">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施工生产、生活区布置项目区施工生产、生活区布置主要包括生产性临时设施布置和行政、生活临时建筑两个方面。生产性临时设施布置包括工地临时仓库和加工厂（站），其布置的位置和结构形式由使用年限和当地条件而定，根据本项目特点，确定生产性临时设施布置在居民点附近，结构形式由当地现有条件而定。行政、生活临时建筑应尽量利用施工现场及其附近的原有房屋，或提前修建可利用的永久性工程为施工生产服务，不足部分再修建临时房屋。 </w:t>
      </w:r>
    </w:p>
    <w:p w14:paraId="4E01E04D">
      <w:pPr>
        <w:spacing w:line="480" w:lineRule="auto"/>
        <w:rPr>
          <w:rFonts w:ascii="宋体" w:hAnsi="宋体" w:eastAsia="宋体"/>
          <w:sz w:val="24"/>
        </w:rPr>
      </w:pPr>
      <w:r>
        <w:rPr>
          <w:rFonts w:ascii="宋体" w:hAnsi="宋体" w:eastAsia="宋体"/>
          <w:sz w:val="24"/>
        </w:rPr>
        <w:t>3</w:t>
      </w:r>
      <w:r>
        <w:rPr>
          <w:rFonts w:hint="eastAsia" w:ascii="宋体" w:hAnsi="宋体" w:eastAsia="宋体"/>
          <w:sz w:val="24"/>
        </w:rPr>
        <w:t xml:space="preserve">、水电线路施工生产用水及施工生活用水利用当地现有的给水管网，布置时以确保线路最短为原则。施工临时供电（动力用电和生活用电），采用柴油发电机发电。 </w:t>
      </w:r>
    </w:p>
    <w:p w14:paraId="243DD3C5">
      <w:pPr>
        <w:pStyle w:val="4"/>
        <w:rPr>
          <w:sz w:val="24"/>
          <w:szCs w:val="24"/>
        </w:rPr>
      </w:pPr>
      <w:bookmarkStart w:id="58" w:name="_Toc179900134"/>
      <w:r>
        <w:rPr>
          <w:rFonts w:hint="eastAsia"/>
          <w:sz w:val="24"/>
          <w:szCs w:val="24"/>
        </w:rPr>
        <w:t>5</w:t>
      </w:r>
      <w:r>
        <w:rPr>
          <w:sz w:val="24"/>
          <w:szCs w:val="24"/>
        </w:rPr>
        <w:t xml:space="preserve">.2.2 </w:t>
      </w:r>
      <w:r>
        <w:rPr>
          <w:rFonts w:hint="eastAsia"/>
          <w:sz w:val="24"/>
          <w:szCs w:val="24"/>
        </w:rPr>
        <w:t>施工总体布置</w:t>
      </w:r>
      <w:bookmarkEnd w:id="58"/>
      <w:r>
        <w:rPr>
          <w:rFonts w:hint="eastAsia"/>
          <w:sz w:val="24"/>
          <w:szCs w:val="24"/>
        </w:rPr>
        <w:t xml:space="preserve"> </w:t>
      </w:r>
    </w:p>
    <w:p w14:paraId="2301A1D6">
      <w:pPr>
        <w:spacing w:line="480" w:lineRule="auto"/>
        <w:rPr>
          <w:rFonts w:ascii="宋体" w:hAnsi="宋体" w:eastAsia="宋体"/>
          <w:sz w:val="24"/>
        </w:rPr>
      </w:pPr>
      <w:r>
        <w:rPr>
          <w:rFonts w:hint="eastAsia" w:ascii="宋体" w:hAnsi="宋体" w:eastAsia="宋体"/>
          <w:sz w:val="24"/>
        </w:rPr>
        <w:t xml:space="preserve">本工程规模较小，施工站点较少，施工战线相对较短，因此尽量简化施工设施，小范围集中布置生产生活设施，水、电采用分段集中布置方式。 </w:t>
      </w:r>
    </w:p>
    <w:p w14:paraId="3DCAFAF3">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、机械修配及综合加工系统工程距叶城县较近，工程所需进行大修的一些机械设备可考虑在叶城县进行，工地只考虑进行机械设备的小型维修和保养工作。 </w:t>
      </w:r>
    </w:p>
    <w:p w14:paraId="3C7E5957">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、水电通信及照明 </w:t>
      </w:r>
    </w:p>
    <w:p w14:paraId="22C5F427">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）供水系统 </w:t>
      </w:r>
    </w:p>
    <w:p w14:paraId="21D3C9D8">
      <w:pPr>
        <w:spacing w:line="480" w:lineRule="auto"/>
        <w:rPr>
          <w:rFonts w:ascii="宋体" w:hAnsi="宋体" w:eastAsia="宋体"/>
          <w:sz w:val="24"/>
        </w:rPr>
      </w:pPr>
      <w:r>
        <w:rPr>
          <w:rFonts w:hint="eastAsia" w:ascii="宋体" w:hAnsi="宋体" w:eastAsia="宋体"/>
          <w:sz w:val="24"/>
        </w:rPr>
        <w:t xml:space="preserve">施工用水从周边渠道中拉运，运距 </w:t>
      </w:r>
      <w:r>
        <w:rPr>
          <w:rFonts w:ascii="宋体" w:hAnsi="宋体" w:eastAsia="宋体"/>
          <w:sz w:val="24"/>
        </w:rPr>
        <w:t>0.3km</w:t>
      </w:r>
      <w:r>
        <w:rPr>
          <w:rFonts w:hint="eastAsia" w:ascii="宋体" w:hAnsi="宋体" w:eastAsia="宋体"/>
          <w:sz w:val="24"/>
        </w:rPr>
        <w:t xml:space="preserve">。生活用水从附近村组拉运饮用水，无条件情况下将渠道水经过必要的消毒处理后解决。 </w:t>
      </w:r>
    </w:p>
    <w:p w14:paraId="22133B42">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）施工用电系统 </w:t>
      </w:r>
    </w:p>
    <w:p w14:paraId="12A273D0">
      <w:pPr>
        <w:spacing w:line="480" w:lineRule="auto"/>
        <w:rPr>
          <w:rFonts w:ascii="宋体" w:hAnsi="宋体" w:eastAsia="宋体"/>
          <w:sz w:val="24"/>
        </w:rPr>
      </w:pPr>
      <w:r>
        <w:rPr>
          <w:rFonts w:hint="eastAsia" w:ascii="宋体" w:hAnsi="宋体" w:eastAsia="宋体"/>
          <w:sz w:val="24"/>
        </w:rPr>
        <w:t>自发电约占</w:t>
      </w:r>
      <w:r>
        <w:rPr>
          <w:rFonts w:ascii="宋体" w:hAnsi="宋体" w:eastAsia="宋体"/>
          <w:sz w:val="24"/>
        </w:rPr>
        <w:t>70</w:t>
      </w:r>
      <w:r>
        <w:rPr>
          <w:rFonts w:hint="eastAsia" w:ascii="宋体" w:hAnsi="宋体" w:eastAsia="宋体"/>
          <w:sz w:val="24"/>
        </w:rPr>
        <w:t xml:space="preserve">％。 </w:t>
      </w:r>
    </w:p>
    <w:p w14:paraId="0F76CC3E">
      <w:pPr>
        <w:spacing w:line="480" w:lineRule="auto"/>
        <w:rPr>
          <w:rFonts w:ascii="宋体" w:hAnsi="宋体" w:eastAsia="宋体"/>
          <w:sz w:val="24"/>
        </w:rPr>
      </w:pPr>
      <w:r>
        <w:rPr>
          <w:rFonts w:ascii="宋体" w:hAnsi="宋体" w:eastAsia="宋体"/>
          <w:sz w:val="24"/>
        </w:rPr>
        <w:t>3</w:t>
      </w:r>
      <w:r>
        <w:rPr>
          <w:rFonts w:hint="eastAsia" w:ascii="宋体" w:hAnsi="宋体" w:eastAsia="宋体"/>
          <w:sz w:val="24"/>
        </w:rPr>
        <w:t xml:space="preserve">）对外通讯方式 </w:t>
      </w:r>
    </w:p>
    <w:p w14:paraId="6B9E5B06">
      <w:pPr>
        <w:spacing w:line="480" w:lineRule="auto"/>
        <w:rPr>
          <w:rFonts w:ascii="宋体" w:hAnsi="宋体" w:eastAsia="宋体"/>
          <w:sz w:val="24"/>
        </w:rPr>
      </w:pPr>
      <w:r>
        <w:rPr>
          <w:rFonts w:hint="eastAsia" w:ascii="宋体" w:hAnsi="宋体" w:eastAsia="宋体"/>
          <w:sz w:val="24"/>
        </w:rPr>
        <w:t xml:space="preserve">工程区基本被中国移动和联通无线通讯网络所覆盖，现有无线网络信号质量较好，能胜任工程对通讯的要求，因此该工程采用无线通讯。 </w:t>
      </w:r>
    </w:p>
    <w:p w14:paraId="17EE5B67">
      <w:pPr>
        <w:spacing w:line="480" w:lineRule="auto"/>
        <w:rPr>
          <w:rFonts w:ascii="宋体" w:hAnsi="宋体" w:eastAsia="宋体"/>
          <w:sz w:val="24"/>
        </w:rPr>
      </w:pPr>
      <w:r>
        <w:rPr>
          <w:rFonts w:ascii="宋体" w:hAnsi="宋体" w:eastAsia="宋体"/>
          <w:sz w:val="24"/>
        </w:rPr>
        <w:t>4</w:t>
      </w:r>
      <w:r>
        <w:rPr>
          <w:rFonts w:hint="eastAsia" w:ascii="宋体" w:hAnsi="宋体" w:eastAsia="宋体"/>
          <w:sz w:val="24"/>
        </w:rPr>
        <w:t xml:space="preserve">）工地照明系统 </w:t>
      </w:r>
    </w:p>
    <w:p w14:paraId="65A9D74A">
      <w:pPr>
        <w:spacing w:line="480" w:lineRule="auto"/>
        <w:rPr>
          <w:rFonts w:ascii="宋体" w:hAnsi="宋体" w:eastAsia="宋体"/>
          <w:sz w:val="24"/>
        </w:rPr>
      </w:pPr>
      <w:r>
        <w:rPr>
          <w:rFonts w:hint="eastAsia" w:ascii="宋体" w:hAnsi="宋体" w:eastAsia="宋体"/>
          <w:sz w:val="24"/>
        </w:rPr>
        <w:t xml:space="preserve">施工照明按常规设置，同时在夜间施工现场设置照明灯。 </w:t>
      </w:r>
    </w:p>
    <w:p w14:paraId="67B60ADD">
      <w:pPr>
        <w:pStyle w:val="4"/>
        <w:rPr>
          <w:sz w:val="24"/>
          <w:szCs w:val="24"/>
        </w:rPr>
      </w:pPr>
      <w:bookmarkStart w:id="59" w:name="_Toc179900135"/>
      <w:r>
        <w:rPr>
          <w:rFonts w:hint="eastAsia"/>
          <w:sz w:val="24"/>
          <w:szCs w:val="24"/>
        </w:rPr>
        <w:t>5</w:t>
      </w:r>
      <w:r>
        <w:rPr>
          <w:sz w:val="24"/>
          <w:szCs w:val="24"/>
        </w:rPr>
        <w:t xml:space="preserve">.2.3 </w:t>
      </w:r>
      <w:r>
        <w:rPr>
          <w:rFonts w:hint="eastAsia"/>
          <w:sz w:val="24"/>
          <w:szCs w:val="24"/>
        </w:rPr>
        <w:t>施工部署</w:t>
      </w:r>
      <w:bookmarkEnd w:id="59"/>
      <w:r>
        <w:rPr>
          <w:rFonts w:hint="eastAsia"/>
          <w:sz w:val="24"/>
          <w:szCs w:val="24"/>
        </w:rPr>
        <w:t xml:space="preserve"> </w:t>
      </w:r>
    </w:p>
    <w:p w14:paraId="2A9A5CAE">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、工程施工组织和管理： </w:t>
      </w:r>
    </w:p>
    <w:p w14:paraId="205E3AFB">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）施工组织机构：建立核心的项目施工管理组织机构，分设各相应职能部门，各负其责，协调作战。 </w:t>
      </w:r>
    </w:p>
    <w:p w14:paraId="1A4FC18D">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施工管理：制定各职能部门的管理制度，严格组织实施。建立“以技术为先导，以管理为手段”的施工管理体系，合理组织工序穿插，工种、专业配合，抓好工程技术、质量、安全生产、文明施工等各方面的工作，确保工程达到建设单位提出的质量、工期。确保按投标文件要求工期完成该工程。采取分段昼夜结合的办法组织施工。 </w:t>
      </w:r>
    </w:p>
    <w:p w14:paraId="0848BEA5">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、施工工序 </w:t>
      </w:r>
    </w:p>
    <w:p w14:paraId="259E5610">
      <w:pPr>
        <w:spacing w:line="480" w:lineRule="auto"/>
        <w:rPr>
          <w:rFonts w:ascii="宋体" w:hAnsi="宋体" w:eastAsia="宋体"/>
          <w:sz w:val="24"/>
        </w:rPr>
      </w:pPr>
      <w:r>
        <w:rPr>
          <w:rFonts w:hint="eastAsia" w:ascii="宋体" w:hAnsi="宋体" w:eastAsia="宋体"/>
          <w:sz w:val="24"/>
        </w:rPr>
        <w:t xml:space="preserve">工程开工－－竣工清理及验收。按项目区情况在建筑物内侧设置施工场地（指挥中心、物料堆放、临时工棚等），为便于材料、设备的管理，主要外购材料设备根据进度要求直接运送到施工现场，以节省二次搬运的费用。 </w:t>
      </w:r>
    </w:p>
    <w:p w14:paraId="3FA03EFC">
      <w:pPr>
        <w:pStyle w:val="3"/>
        <w:rPr>
          <w:sz w:val="24"/>
          <w:szCs w:val="24"/>
        </w:rPr>
      </w:pPr>
      <w:bookmarkStart w:id="60" w:name="_Toc179900136"/>
      <w:r>
        <w:rPr>
          <w:rFonts w:hint="eastAsia"/>
          <w:sz w:val="24"/>
          <w:szCs w:val="24"/>
        </w:rPr>
        <w:t>5</w:t>
      </w:r>
      <w:r>
        <w:rPr>
          <w:sz w:val="24"/>
          <w:szCs w:val="24"/>
        </w:rPr>
        <w:t xml:space="preserve">.3 </w:t>
      </w:r>
      <w:r>
        <w:rPr>
          <w:rFonts w:hint="eastAsia"/>
          <w:sz w:val="24"/>
          <w:szCs w:val="24"/>
        </w:rPr>
        <w:t>施工方法与要求</w:t>
      </w:r>
      <w:bookmarkEnd w:id="60"/>
      <w:r>
        <w:rPr>
          <w:rFonts w:hint="eastAsia"/>
          <w:sz w:val="24"/>
          <w:szCs w:val="24"/>
        </w:rPr>
        <w:t xml:space="preserve"> </w:t>
      </w:r>
    </w:p>
    <w:p w14:paraId="2346F438">
      <w:pPr>
        <w:pStyle w:val="4"/>
        <w:rPr>
          <w:sz w:val="24"/>
          <w:szCs w:val="24"/>
        </w:rPr>
      </w:pPr>
      <w:bookmarkStart w:id="61" w:name="_Toc179900137"/>
      <w:r>
        <w:rPr>
          <w:rFonts w:hint="eastAsia"/>
          <w:sz w:val="24"/>
          <w:szCs w:val="24"/>
        </w:rPr>
        <w:t>5</w:t>
      </w:r>
      <w:r>
        <w:rPr>
          <w:sz w:val="24"/>
          <w:szCs w:val="24"/>
        </w:rPr>
        <w:t xml:space="preserve">.3.1 </w:t>
      </w:r>
      <w:r>
        <w:rPr>
          <w:rFonts w:hint="eastAsia"/>
          <w:sz w:val="24"/>
          <w:szCs w:val="24"/>
        </w:rPr>
        <w:t>施工要求</w:t>
      </w:r>
      <w:bookmarkEnd w:id="61"/>
      <w:r>
        <w:rPr>
          <w:rFonts w:hint="eastAsia"/>
          <w:sz w:val="24"/>
          <w:szCs w:val="24"/>
        </w:rPr>
        <w:t xml:space="preserve"> </w:t>
      </w:r>
    </w:p>
    <w:p w14:paraId="2720EF51">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、本工程施工必须严格按照现行的规范要求执行。 </w:t>
      </w:r>
    </w:p>
    <w:p w14:paraId="5488241F">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、施工过程中，必须进行全程监理和分阶段验收。 </w:t>
      </w:r>
    </w:p>
    <w:p w14:paraId="5550029A">
      <w:pPr>
        <w:spacing w:line="480" w:lineRule="auto"/>
        <w:rPr>
          <w:rFonts w:ascii="宋体" w:hAnsi="宋体" w:eastAsia="宋体"/>
          <w:sz w:val="24"/>
        </w:rPr>
      </w:pPr>
      <w:r>
        <w:rPr>
          <w:rFonts w:ascii="宋体" w:hAnsi="宋体" w:eastAsia="宋体"/>
          <w:sz w:val="24"/>
        </w:rPr>
        <w:t>3</w:t>
      </w:r>
      <w:r>
        <w:rPr>
          <w:rFonts w:hint="eastAsia" w:ascii="宋体" w:hAnsi="宋体" w:eastAsia="宋体"/>
          <w:sz w:val="24"/>
        </w:rPr>
        <w:t xml:space="preserve">、施工布置应符合国家关于环保、消防、卫生等规定。 </w:t>
      </w:r>
    </w:p>
    <w:p w14:paraId="5A52077B">
      <w:pPr>
        <w:spacing w:line="480" w:lineRule="auto"/>
        <w:rPr>
          <w:rFonts w:ascii="宋体" w:hAnsi="宋体" w:eastAsia="宋体"/>
          <w:sz w:val="24"/>
        </w:rPr>
      </w:pPr>
      <w:r>
        <w:rPr>
          <w:rFonts w:ascii="宋体" w:hAnsi="宋体" w:eastAsia="宋体"/>
          <w:sz w:val="24"/>
        </w:rPr>
        <w:t>4</w:t>
      </w:r>
      <w:r>
        <w:rPr>
          <w:rFonts w:hint="eastAsia" w:ascii="宋体" w:hAnsi="宋体" w:eastAsia="宋体"/>
          <w:sz w:val="24"/>
        </w:rPr>
        <w:t xml:space="preserve">、工程施工布置尽量减少临时设施，并结合永久设施布置。 </w:t>
      </w:r>
    </w:p>
    <w:p w14:paraId="10F5E36F">
      <w:pPr>
        <w:spacing w:line="480" w:lineRule="auto"/>
        <w:rPr>
          <w:rFonts w:ascii="宋体" w:hAnsi="宋体" w:eastAsia="宋体"/>
          <w:sz w:val="24"/>
        </w:rPr>
      </w:pPr>
      <w:r>
        <w:rPr>
          <w:rFonts w:ascii="宋体" w:hAnsi="宋体" w:eastAsia="宋体"/>
          <w:sz w:val="24"/>
        </w:rPr>
        <w:t>5</w:t>
      </w:r>
      <w:r>
        <w:rPr>
          <w:rFonts w:hint="eastAsia" w:ascii="宋体" w:hAnsi="宋体" w:eastAsia="宋体"/>
          <w:sz w:val="24"/>
        </w:rPr>
        <w:t xml:space="preserve">、施工临时生产、生活设施的简易活动房屋、工棚应设在路、林边。 </w:t>
      </w:r>
    </w:p>
    <w:p w14:paraId="00057307">
      <w:pPr>
        <w:spacing w:line="480" w:lineRule="auto"/>
        <w:rPr>
          <w:rFonts w:ascii="宋体" w:hAnsi="宋体" w:eastAsia="宋体"/>
          <w:sz w:val="24"/>
        </w:rPr>
      </w:pPr>
      <w:r>
        <w:rPr>
          <w:rFonts w:ascii="宋体" w:hAnsi="宋体" w:eastAsia="宋体"/>
          <w:sz w:val="24"/>
        </w:rPr>
        <w:t>6</w:t>
      </w:r>
      <w:r>
        <w:rPr>
          <w:rFonts w:hint="eastAsia" w:ascii="宋体" w:hAnsi="宋体" w:eastAsia="宋体"/>
          <w:sz w:val="24"/>
        </w:rPr>
        <w:t xml:space="preserve">、施工现场的临时材料堆积点、生活点，在施工结束后，必须清理干净。 </w:t>
      </w:r>
    </w:p>
    <w:p w14:paraId="3AF33D3D">
      <w:pPr>
        <w:spacing w:line="480" w:lineRule="auto"/>
        <w:rPr>
          <w:rFonts w:ascii="宋体" w:hAnsi="宋体" w:eastAsia="宋体"/>
          <w:sz w:val="24"/>
        </w:rPr>
      </w:pPr>
      <w:r>
        <w:rPr>
          <w:rFonts w:ascii="宋体" w:hAnsi="宋体" w:eastAsia="宋体"/>
          <w:sz w:val="24"/>
        </w:rPr>
        <w:t>7</w:t>
      </w:r>
      <w:r>
        <w:rPr>
          <w:rFonts w:hint="eastAsia" w:ascii="宋体" w:hAnsi="宋体" w:eastAsia="宋体"/>
          <w:sz w:val="24"/>
        </w:rPr>
        <w:t xml:space="preserve">、施工道路利用现有道路。 </w:t>
      </w:r>
    </w:p>
    <w:p w14:paraId="2FDCEACB">
      <w:pPr>
        <w:pStyle w:val="4"/>
        <w:rPr>
          <w:sz w:val="24"/>
          <w:szCs w:val="24"/>
        </w:rPr>
      </w:pPr>
      <w:bookmarkStart w:id="62" w:name="_Toc179900138"/>
      <w:r>
        <w:rPr>
          <w:rFonts w:hint="eastAsia"/>
          <w:sz w:val="24"/>
          <w:szCs w:val="24"/>
        </w:rPr>
        <w:t>5</w:t>
      </w:r>
      <w:r>
        <w:rPr>
          <w:sz w:val="24"/>
          <w:szCs w:val="24"/>
        </w:rPr>
        <w:t xml:space="preserve">.3.2 </w:t>
      </w:r>
      <w:r>
        <w:rPr>
          <w:rFonts w:hint="eastAsia"/>
          <w:sz w:val="24"/>
          <w:szCs w:val="24"/>
        </w:rPr>
        <w:t>施工质量管理</w:t>
      </w:r>
      <w:bookmarkEnd w:id="62"/>
      <w:r>
        <w:rPr>
          <w:rFonts w:hint="eastAsia"/>
          <w:sz w:val="24"/>
          <w:szCs w:val="24"/>
        </w:rPr>
        <w:t xml:space="preserve"> </w:t>
      </w:r>
    </w:p>
    <w:p w14:paraId="0213B41D">
      <w:pPr>
        <w:spacing w:line="480" w:lineRule="auto"/>
        <w:rPr>
          <w:rFonts w:ascii="宋体" w:hAnsi="宋体" w:eastAsia="宋体"/>
          <w:sz w:val="24"/>
        </w:rPr>
      </w:pPr>
      <w:r>
        <w:rPr>
          <w:rFonts w:hint="eastAsia" w:ascii="宋体" w:hAnsi="宋体" w:eastAsia="宋体"/>
          <w:sz w:val="24"/>
        </w:rPr>
        <w:t xml:space="preserve">工程施工严格按规范进行，并按施工网络计划控制施工进度。质量控制注重施工前和施工中的过程控制，以预防为主，加强对工作质量、工序质量和中间产品质量的检查，以良好的工程质量。质量保证 </w:t>
      </w:r>
    </w:p>
    <w:p w14:paraId="5E1658BA">
      <w:pPr>
        <w:spacing w:line="480" w:lineRule="auto"/>
        <w:rPr>
          <w:rFonts w:ascii="宋体" w:hAnsi="宋体" w:eastAsia="宋体"/>
          <w:sz w:val="24"/>
        </w:rPr>
      </w:pPr>
      <w:r>
        <w:rPr>
          <w:rFonts w:hint="eastAsia" w:ascii="宋体" w:hAnsi="宋体" w:eastAsia="宋体"/>
          <w:sz w:val="24"/>
        </w:rPr>
        <w:t xml:space="preserve">的具体措施如下： </w:t>
      </w:r>
    </w:p>
    <w:p w14:paraId="5D14E18B">
      <w:pPr>
        <w:spacing w:line="480" w:lineRule="auto"/>
        <w:rPr>
          <w:rFonts w:ascii="宋体" w:hAnsi="宋体" w:eastAsia="宋体"/>
          <w:sz w:val="24"/>
        </w:rPr>
      </w:pPr>
      <w:r>
        <w:rPr>
          <w:rFonts w:ascii="宋体" w:hAnsi="宋体" w:eastAsia="宋体"/>
          <w:sz w:val="24"/>
        </w:rPr>
        <w:t>1</w:t>
      </w:r>
      <w:r>
        <w:rPr>
          <w:rFonts w:hint="eastAsia" w:ascii="宋体" w:hAnsi="宋体" w:eastAsia="宋体"/>
          <w:sz w:val="24"/>
        </w:rPr>
        <w:t xml:space="preserve">、推行全面质量管理，重点部位和关键工序均设质量管理点。 </w:t>
      </w:r>
    </w:p>
    <w:p w14:paraId="1FB7CE90">
      <w:pPr>
        <w:spacing w:line="480" w:lineRule="auto"/>
        <w:rPr>
          <w:rFonts w:ascii="宋体" w:hAnsi="宋体" w:eastAsia="宋体"/>
          <w:sz w:val="24"/>
        </w:rPr>
      </w:pPr>
      <w:r>
        <w:rPr>
          <w:rFonts w:ascii="宋体" w:hAnsi="宋体" w:eastAsia="宋体"/>
          <w:sz w:val="24"/>
        </w:rPr>
        <w:t>2</w:t>
      </w:r>
      <w:r>
        <w:rPr>
          <w:rFonts w:hint="eastAsia" w:ascii="宋体" w:hAnsi="宋体" w:eastAsia="宋体"/>
          <w:sz w:val="24"/>
        </w:rPr>
        <w:t xml:space="preserve">、实行逐级技术交底制度。 </w:t>
      </w:r>
    </w:p>
    <w:p w14:paraId="01A89296">
      <w:pPr>
        <w:spacing w:line="480" w:lineRule="auto"/>
        <w:rPr>
          <w:rFonts w:ascii="宋体" w:hAnsi="宋体" w:eastAsia="宋体"/>
          <w:sz w:val="24"/>
        </w:rPr>
      </w:pPr>
      <w:r>
        <w:rPr>
          <w:rFonts w:ascii="宋体" w:hAnsi="宋体" w:eastAsia="宋体"/>
          <w:sz w:val="24"/>
        </w:rPr>
        <w:t>3</w:t>
      </w:r>
      <w:r>
        <w:rPr>
          <w:rFonts w:hint="eastAsia" w:ascii="宋体" w:hAnsi="宋体" w:eastAsia="宋体"/>
          <w:sz w:val="24"/>
        </w:rPr>
        <w:t xml:space="preserve">、做好施工班组的自检、互检和专检工作。施工前对工程所采用的原材料进行严格检验，并报请监理工程师审批后方可使用。施工中实行工序交接单制度，上道工序完成，经检验合格后方可交接，进行下道工序的施工。 </w:t>
      </w:r>
    </w:p>
    <w:p w14:paraId="4879AA00">
      <w:pPr>
        <w:spacing w:line="480" w:lineRule="auto"/>
        <w:rPr>
          <w:rFonts w:ascii="宋体" w:hAnsi="宋体" w:eastAsia="宋体"/>
          <w:sz w:val="24"/>
        </w:rPr>
      </w:pPr>
      <w:r>
        <w:rPr>
          <w:rFonts w:ascii="宋体" w:hAnsi="宋体" w:eastAsia="宋体"/>
          <w:sz w:val="24"/>
        </w:rPr>
        <w:t>4</w:t>
      </w:r>
      <w:r>
        <w:rPr>
          <w:rFonts w:hint="eastAsia" w:ascii="宋体" w:hAnsi="宋体" w:eastAsia="宋体"/>
          <w:sz w:val="24"/>
        </w:rPr>
        <w:t xml:space="preserve">、加强质量教育，增强全体农民的质量意识。 </w:t>
      </w:r>
    </w:p>
    <w:p w14:paraId="690C8219">
      <w:pPr>
        <w:spacing w:line="480" w:lineRule="auto"/>
        <w:rPr>
          <w:rFonts w:ascii="宋体" w:hAnsi="宋体" w:eastAsia="宋体"/>
          <w:sz w:val="24"/>
        </w:rPr>
      </w:pPr>
      <w:r>
        <w:rPr>
          <w:rFonts w:ascii="宋体" w:hAnsi="宋体" w:eastAsia="宋体"/>
          <w:sz w:val="24"/>
        </w:rPr>
        <w:t>5</w:t>
      </w:r>
      <w:r>
        <w:rPr>
          <w:rFonts w:hint="eastAsia" w:ascii="宋体" w:hAnsi="宋体" w:eastAsia="宋体"/>
          <w:sz w:val="24"/>
        </w:rPr>
        <w:t xml:space="preserve">、完善经济责任制，工程质量的优劣与奖金挂钩，严格奖惩制度。 </w:t>
      </w:r>
    </w:p>
    <w:p w14:paraId="783E33CA">
      <w:pPr>
        <w:spacing w:line="480" w:lineRule="auto"/>
        <w:rPr>
          <w:rFonts w:ascii="宋体" w:hAnsi="宋体" w:eastAsia="宋体"/>
          <w:sz w:val="24"/>
        </w:rPr>
      </w:pPr>
      <w:r>
        <w:rPr>
          <w:rFonts w:ascii="宋体" w:hAnsi="宋体" w:eastAsia="宋体"/>
          <w:sz w:val="24"/>
        </w:rPr>
        <w:t xml:space="preserve">8.3.3 </w:t>
      </w:r>
      <w:r>
        <w:rPr>
          <w:rFonts w:hint="eastAsia" w:ascii="宋体" w:hAnsi="宋体" w:eastAsia="宋体"/>
          <w:sz w:val="24"/>
        </w:rPr>
        <w:t xml:space="preserve">施工方法 </w:t>
      </w:r>
    </w:p>
    <w:p w14:paraId="74386BB2">
      <w:pPr>
        <w:spacing w:line="480" w:lineRule="auto"/>
        <w:rPr>
          <w:rFonts w:ascii="宋体" w:hAnsi="宋体" w:eastAsia="宋体"/>
          <w:sz w:val="24"/>
        </w:rPr>
      </w:pPr>
      <w:r>
        <w:rPr>
          <w:rFonts w:hint="eastAsia" w:ascii="宋体" w:hAnsi="宋体" w:eastAsia="宋体"/>
          <w:sz w:val="24"/>
        </w:rPr>
        <w:t xml:space="preserve">建筑物施工内容主要为测量、定制、安装工程。 </w:t>
      </w:r>
    </w:p>
    <w:p w14:paraId="232F7F6E">
      <w:pPr>
        <w:spacing w:line="480" w:lineRule="auto"/>
        <w:rPr>
          <w:rFonts w:ascii="宋体" w:hAnsi="宋体" w:eastAsia="宋体"/>
          <w:sz w:val="24"/>
        </w:rPr>
      </w:pPr>
      <w:r>
        <w:rPr>
          <w:rFonts w:hint="eastAsia" w:ascii="宋体" w:hAnsi="宋体" w:eastAsia="宋体"/>
          <w:sz w:val="24"/>
        </w:rPr>
        <w:t>水尺采用厚</w:t>
      </w:r>
      <w:r>
        <w:rPr>
          <w:rFonts w:ascii="宋体" w:hAnsi="宋体" w:eastAsia="宋体"/>
          <w:sz w:val="24"/>
        </w:rPr>
        <w:t>1mm</w:t>
      </w:r>
      <w:r>
        <w:rPr>
          <w:rFonts w:hint="eastAsia" w:ascii="宋体" w:hAnsi="宋体" w:eastAsia="宋体"/>
          <w:sz w:val="24"/>
        </w:rPr>
        <w:t>不锈钢材质，刻度由激光雕刻，高温烤漆，正常使用寿命</w:t>
      </w:r>
      <w:r>
        <w:rPr>
          <w:rFonts w:ascii="宋体" w:hAnsi="宋体" w:eastAsia="宋体"/>
          <w:sz w:val="24"/>
        </w:rPr>
        <w:t>5</w:t>
      </w:r>
      <w:r>
        <w:rPr>
          <w:rFonts w:hint="eastAsia" w:ascii="宋体" w:hAnsi="宋体" w:eastAsia="宋体"/>
          <w:sz w:val="24"/>
        </w:rPr>
        <w:t>年以上，460处安装点必须由施工人员及水管人员采用</w:t>
      </w:r>
      <w:r>
        <w:rPr>
          <w:rFonts w:ascii="宋体" w:hAnsi="宋体" w:eastAsia="宋体"/>
          <w:sz w:val="24"/>
        </w:rPr>
        <w:t>RTK</w:t>
      </w:r>
      <w:r>
        <w:rPr>
          <w:rFonts w:hint="eastAsia" w:ascii="宋体" w:hAnsi="宋体" w:eastAsia="宋体"/>
          <w:sz w:val="24"/>
        </w:rPr>
        <w:t>进行测量，确保每处点位数据正确，并将每处水尺进行编号定制，定制完成后进行点对点安装。同时将每处点位进行油漆编号。编号后录入渠道计量信息化平台。并在采购平板电脑APP上显示。</w:t>
      </w:r>
    </w:p>
    <w:p w14:paraId="10978C2C">
      <w:pPr>
        <w:spacing w:line="480" w:lineRule="auto"/>
        <w:rPr>
          <w:rFonts w:ascii="宋体" w:hAnsi="宋体" w:eastAsia="宋体"/>
          <w:sz w:val="24"/>
        </w:rPr>
      </w:pPr>
      <w:r>
        <w:rPr>
          <w:rFonts w:ascii="宋体" w:hAnsi="宋体" w:eastAsia="宋体"/>
          <w:sz w:val="24"/>
        </w:rPr>
        <w:t xml:space="preserve">8.4 </w:t>
      </w:r>
      <w:r>
        <w:rPr>
          <w:rFonts w:hint="eastAsia" w:ascii="宋体" w:hAnsi="宋体" w:eastAsia="宋体"/>
          <w:sz w:val="24"/>
        </w:rPr>
        <w:t xml:space="preserve">施工总进度 </w:t>
      </w:r>
    </w:p>
    <w:p w14:paraId="49FB0C93">
      <w:pPr>
        <w:spacing w:line="480" w:lineRule="auto"/>
        <w:rPr>
          <w:rFonts w:ascii="宋体" w:hAnsi="宋体" w:eastAsia="宋体"/>
          <w:sz w:val="24"/>
        </w:rPr>
      </w:pPr>
      <w:r>
        <w:rPr>
          <w:rFonts w:hint="eastAsia" w:ascii="宋体" w:hAnsi="宋体" w:eastAsia="宋体"/>
          <w:sz w:val="24"/>
        </w:rPr>
        <w:t>本项目建设内容主要包括前期工作、土建施工等，为保证项目尽快发挥作用，前期准备工作均在</w:t>
      </w:r>
      <w:r>
        <w:rPr>
          <w:rFonts w:ascii="宋体" w:hAnsi="宋体" w:eastAsia="宋体"/>
          <w:sz w:val="24"/>
        </w:rPr>
        <w:t>2024</w:t>
      </w:r>
      <w:r>
        <w:rPr>
          <w:rFonts w:hint="eastAsia" w:ascii="宋体" w:hAnsi="宋体" w:eastAsia="宋体"/>
          <w:sz w:val="24"/>
        </w:rPr>
        <w:t>年10月完成，在</w:t>
      </w:r>
      <w:r>
        <w:rPr>
          <w:rFonts w:ascii="宋体" w:hAnsi="宋体" w:eastAsia="宋体"/>
          <w:sz w:val="24"/>
        </w:rPr>
        <w:t>2024</w:t>
      </w:r>
      <w:r>
        <w:rPr>
          <w:rFonts w:hint="eastAsia" w:ascii="宋体" w:hAnsi="宋体" w:eastAsia="宋体"/>
          <w:sz w:val="24"/>
        </w:rPr>
        <w:t>年11月完成建设，</w:t>
      </w:r>
      <w:r>
        <w:rPr>
          <w:rFonts w:ascii="宋体" w:hAnsi="宋体" w:eastAsia="宋体"/>
          <w:sz w:val="24"/>
        </w:rPr>
        <w:t>2024</w:t>
      </w:r>
      <w:r>
        <w:rPr>
          <w:rFonts w:hint="eastAsia" w:ascii="宋体" w:hAnsi="宋体" w:eastAsia="宋体"/>
          <w:sz w:val="24"/>
        </w:rPr>
        <w:t xml:space="preserve">年12月底竣工验收。 </w:t>
      </w:r>
    </w:p>
    <w:p w14:paraId="717B2D16">
      <w:pPr>
        <w:spacing w:line="480" w:lineRule="auto"/>
        <w:rPr>
          <w:rFonts w:ascii="宋体" w:hAnsi="宋体" w:eastAsia="宋体"/>
          <w:sz w:val="24"/>
        </w:rPr>
      </w:pPr>
      <w:r>
        <w:rPr>
          <w:rFonts w:ascii="宋体" w:hAnsi="宋体" w:eastAsia="宋体"/>
          <w:sz w:val="24"/>
        </w:rPr>
        <w:t xml:space="preserve">8.4.1 </w:t>
      </w:r>
      <w:r>
        <w:rPr>
          <w:rFonts w:hint="eastAsia" w:ascii="宋体" w:hAnsi="宋体" w:eastAsia="宋体"/>
          <w:sz w:val="24"/>
        </w:rPr>
        <w:t xml:space="preserve">施工期 </w:t>
      </w:r>
    </w:p>
    <w:p w14:paraId="3B519572">
      <w:pPr>
        <w:spacing w:line="480" w:lineRule="auto"/>
        <w:rPr>
          <w:rFonts w:ascii="宋体" w:hAnsi="宋体" w:eastAsia="宋体"/>
          <w:sz w:val="24"/>
        </w:rPr>
      </w:pPr>
      <w:r>
        <w:rPr>
          <w:rFonts w:hint="eastAsia" w:ascii="宋体" w:hAnsi="宋体" w:eastAsia="宋体"/>
          <w:sz w:val="24"/>
        </w:rPr>
        <w:t>本工程开工时间为</w:t>
      </w:r>
      <w:r>
        <w:rPr>
          <w:rFonts w:ascii="宋体" w:hAnsi="宋体" w:eastAsia="宋体"/>
          <w:sz w:val="24"/>
        </w:rPr>
        <w:t xml:space="preserve">2024 </w:t>
      </w:r>
      <w:r>
        <w:rPr>
          <w:rFonts w:hint="eastAsia" w:ascii="宋体" w:hAnsi="宋体" w:eastAsia="宋体"/>
          <w:sz w:val="24"/>
        </w:rPr>
        <w:t>年10月25日，完工时间为当年的11月</w:t>
      </w:r>
      <w:r>
        <w:rPr>
          <w:rFonts w:ascii="宋体" w:hAnsi="宋体" w:eastAsia="宋体"/>
          <w:sz w:val="24"/>
        </w:rPr>
        <w:t>30</w:t>
      </w:r>
      <w:r>
        <w:rPr>
          <w:rFonts w:hint="eastAsia" w:ascii="宋体" w:hAnsi="宋体" w:eastAsia="宋体"/>
          <w:sz w:val="24"/>
        </w:rPr>
        <w:t xml:space="preserve">日，工程有效施工期1个月。 </w:t>
      </w:r>
    </w:p>
    <w:p w14:paraId="2765D201">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）从11月15日前完成460处水尺测量，同时定制同步进行。</w:t>
      </w:r>
    </w:p>
    <w:p w14:paraId="55E59E8C">
      <w:pPr>
        <w:spacing w:line="480" w:lineRule="auto"/>
        <w:rPr>
          <w:rFonts w:hint="eastAsia"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）从11月16日至11月30日，完成460处水尺安装。</w:t>
      </w:r>
    </w:p>
    <w:p w14:paraId="77E78D46">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）收尾工作：从12月2日至12月10日，完成施工场区及生 </w:t>
      </w:r>
    </w:p>
    <w:p w14:paraId="2992C1A5">
      <w:pPr>
        <w:spacing w:line="480" w:lineRule="auto"/>
        <w:rPr>
          <w:rFonts w:ascii="宋体" w:hAnsi="宋体" w:eastAsia="宋体"/>
          <w:sz w:val="24"/>
        </w:rPr>
      </w:pPr>
      <w:r>
        <w:rPr>
          <w:rFonts w:hint="eastAsia" w:ascii="宋体" w:hAnsi="宋体" w:eastAsia="宋体"/>
          <w:sz w:val="24"/>
        </w:rPr>
        <w:t xml:space="preserve">活区场地平整，障碍物清除，整理有关技术资料，编制竣工决算等， </w:t>
      </w:r>
    </w:p>
    <w:p w14:paraId="41E5DFED">
      <w:pPr>
        <w:spacing w:line="480" w:lineRule="auto"/>
        <w:rPr>
          <w:rFonts w:hint="eastAsia" w:ascii="宋体" w:hAnsi="宋体" w:eastAsia="宋体"/>
          <w:sz w:val="24"/>
        </w:rPr>
      </w:pPr>
      <w:r>
        <w:rPr>
          <w:rFonts w:hint="eastAsia" w:ascii="宋体" w:hAnsi="宋体" w:eastAsia="宋体"/>
          <w:sz w:val="24"/>
        </w:rPr>
        <w:t>准备工程竣工验收。</w:t>
      </w:r>
    </w:p>
    <w:p w14:paraId="791F8863">
      <w:pPr>
        <w:pStyle w:val="2"/>
        <w:jc w:val="center"/>
      </w:pPr>
      <w:bookmarkStart w:id="63" w:name="_Toc179900139"/>
      <w:r>
        <w:t xml:space="preserve">6 </w:t>
      </w:r>
      <w:r>
        <w:rPr>
          <w:rFonts w:hint="eastAsia"/>
        </w:rPr>
        <w:t>结论与建议</w:t>
      </w:r>
      <w:bookmarkEnd w:id="63"/>
    </w:p>
    <w:p w14:paraId="25101F10">
      <w:pPr>
        <w:pStyle w:val="3"/>
        <w:rPr>
          <w:sz w:val="24"/>
          <w:szCs w:val="24"/>
        </w:rPr>
      </w:pPr>
      <w:bookmarkStart w:id="64" w:name="_Toc179900140"/>
      <w:r>
        <w:rPr>
          <w:sz w:val="24"/>
          <w:szCs w:val="24"/>
        </w:rPr>
        <w:t xml:space="preserve">6.1 </w:t>
      </w:r>
      <w:r>
        <w:rPr>
          <w:rFonts w:hint="eastAsia"/>
          <w:sz w:val="24"/>
          <w:szCs w:val="24"/>
        </w:rPr>
        <w:t>结论</w:t>
      </w:r>
      <w:bookmarkEnd w:id="64"/>
      <w:r>
        <w:rPr>
          <w:rFonts w:hint="eastAsia"/>
          <w:sz w:val="24"/>
          <w:szCs w:val="24"/>
        </w:rPr>
        <w:t xml:space="preserve"> </w:t>
      </w:r>
    </w:p>
    <w:p w14:paraId="7676E0F1">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 xml:space="preserve">）本项目建设符合叶城县总体规划，符合叶城县水利事业可持续发展的需要。 </w:t>
      </w:r>
    </w:p>
    <w:p w14:paraId="52588204">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 xml:space="preserve">）项目场址条件、社会经济条件、政策环境条件、基础设施条件、交通运输条件、施工条件等均有利于该项目的实施。 </w:t>
      </w:r>
    </w:p>
    <w:p w14:paraId="6EB5ABB3">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 xml:space="preserve">）项目方案合理，系统完整，功能配套，规模适度。 </w:t>
      </w:r>
    </w:p>
    <w:p w14:paraId="600E117A">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 xml:space="preserve">）项目建设将有效地改善项目区居民的水利基础设施条件，提高居民的生活质量，促进美丽乡村建设，改善当地的投资环境，带动当地的特色产业的发展，同时促进特色产业经济的可持续发展，改善乡村振兴事业发展的薄弱环节，力促项目区特色产业的经营均衡发展，推进和谐社会建设进程，具有良好的社会效益。 </w:t>
      </w:r>
    </w:p>
    <w:p w14:paraId="69E288EC">
      <w:pPr>
        <w:spacing w:line="480" w:lineRule="auto"/>
        <w:rPr>
          <w:rFonts w:ascii="宋体" w:hAnsi="宋体" w:eastAsia="宋体"/>
          <w:sz w:val="24"/>
        </w:rPr>
      </w:pPr>
      <w:r>
        <w:rPr>
          <w:rFonts w:hint="eastAsia" w:ascii="宋体" w:hAnsi="宋体" w:eastAsia="宋体"/>
          <w:sz w:val="24"/>
        </w:rPr>
        <w:t>（</w:t>
      </w:r>
      <w:r>
        <w:rPr>
          <w:rFonts w:ascii="宋体" w:hAnsi="宋体" w:eastAsia="宋体"/>
          <w:sz w:val="24"/>
        </w:rPr>
        <w:t>5</w:t>
      </w:r>
      <w:r>
        <w:rPr>
          <w:rFonts w:hint="eastAsia" w:ascii="宋体" w:hAnsi="宋体" w:eastAsia="宋体"/>
          <w:sz w:val="24"/>
        </w:rPr>
        <w:t xml:space="preserve">）建设该项目可增加本地乡镇富余劳动力的就业率，使乡镇劳动力有序地向城市转移，提高农民收入。综上所述，本项目符合政策要求，建设条件成熟，建设方案合理， </w:t>
      </w:r>
    </w:p>
    <w:p w14:paraId="7F87E8FD">
      <w:pPr>
        <w:spacing w:line="480" w:lineRule="auto"/>
        <w:rPr>
          <w:rFonts w:ascii="宋体" w:hAnsi="宋体" w:eastAsia="宋体"/>
          <w:sz w:val="24"/>
        </w:rPr>
      </w:pPr>
      <w:r>
        <w:rPr>
          <w:rFonts w:hint="eastAsia" w:ascii="宋体" w:hAnsi="宋体" w:eastAsia="宋体"/>
          <w:sz w:val="24"/>
        </w:rPr>
        <w:t xml:space="preserve">规模适度，社会效益显著。因此，本项目的建设是切实可行的。 </w:t>
      </w:r>
    </w:p>
    <w:p w14:paraId="6FC6B9CE">
      <w:pPr>
        <w:pStyle w:val="3"/>
        <w:rPr>
          <w:sz w:val="24"/>
          <w:szCs w:val="24"/>
        </w:rPr>
      </w:pPr>
      <w:bookmarkStart w:id="65" w:name="_Toc179900141"/>
      <w:r>
        <w:rPr>
          <w:sz w:val="24"/>
          <w:szCs w:val="24"/>
        </w:rPr>
        <w:t xml:space="preserve">6.2 </w:t>
      </w:r>
      <w:r>
        <w:rPr>
          <w:rFonts w:hint="eastAsia"/>
          <w:sz w:val="24"/>
          <w:szCs w:val="24"/>
        </w:rPr>
        <w:t>建议</w:t>
      </w:r>
      <w:bookmarkEnd w:id="65"/>
      <w:r>
        <w:rPr>
          <w:rFonts w:hint="eastAsia"/>
          <w:sz w:val="24"/>
          <w:szCs w:val="24"/>
        </w:rPr>
        <w:t xml:space="preserve"> </w:t>
      </w:r>
    </w:p>
    <w:p w14:paraId="7DC6FD5F">
      <w:pPr>
        <w:spacing w:line="480" w:lineRule="auto"/>
        <w:rPr>
          <w:rFonts w:ascii="宋体" w:hAnsi="宋体" w:eastAsia="宋体"/>
          <w:sz w:val="24"/>
        </w:rPr>
      </w:pPr>
      <w:r>
        <w:drawing>
          <wp:anchor distT="0" distB="0" distL="114300" distR="114300" simplePos="0" relativeHeight="251659264" behindDoc="0" locked="0" layoutInCell="1" allowOverlap="1">
            <wp:simplePos x="0" y="0"/>
            <wp:positionH relativeFrom="column">
              <wp:posOffset>-285750</wp:posOffset>
            </wp:positionH>
            <wp:positionV relativeFrom="paragraph">
              <wp:posOffset>1741170</wp:posOffset>
            </wp:positionV>
            <wp:extent cx="6081395" cy="5626100"/>
            <wp:effectExtent l="0" t="0" r="0" b="0"/>
            <wp:wrapSquare wrapText="bothSides"/>
            <wp:docPr id="2124334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34793"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081395" cy="5626100"/>
                    </a:xfrm>
                    <a:prstGeom prst="rect">
                      <a:avLst/>
                    </a:prstGeom>
                  </pic:spPr>
                </pic:pic>
              </a:graphicData>
            </a:graphic>
          </wp:anchor>
        </w:drawing>
      </w:r>
      <w:r>
        <w:rPr>
          <w:rFonts w:hint="eastAsia" w:ascii="宋体" w:hAnsi="宋体" w:eastAsia="宋体"/>
          <w:sz w:val="24"/>
        </w:rPr>
        <w:t>本项目是促进叶城县水利事业可持续发展的重要工作，为保证项目早日建成并发挥预期效益，本报告特提出以下建议。协调各方关系，落实项目建设条件。项目建设均需水、电、暖等配套设施，项目实施单位应尽快与各相关部门接洽，早日达成项目基础设施使用协议。</w:t>
      </w:r>
    </w:p>
    <w:p w14:paraId="74BCA5A9">
      <w:pPr>
        <w:spacing w:line="480" w:lineRule="auto"/>
        <w:rPr>
          <w:rFonts w:ascii="宋体" w:hAnsi="宋体" w:eastAsia="宋体"/>
          <w:sz w:val="24"/>
        </w:rPr>
      </w:pPr>
    </w:p>
    <w:p w14:paraId="70AFB63C">
      <w:pPr>
        <w:spacing w:line="480" w:lineRule="auto"/>
        <w:rPr>
          <w:rFonts w:ascii="宋体" w:hAnsi="宋体" w:eastAsia="宋体"/>
          <w:sz w:val="24"/>
        </w:rPr>
      </w:pPr>
      <w:r>
        <w:drawing>
          <wp:inline distT="0" distB="0" distL="0" distR="0">
            <wp:extent cx="5274310" cy="3361690"/>
            <wp:effectExtent l="0" t="0" r="2540" b="0"/>
            <wp:docPr id="1013245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5870" name="图片 1"/>
                    <pic:cNvPicPr>
                      <a:picLocks noChangeAspect="1"/>
                    </pic:cNvPicPr>
                  </pic:nvPicPr>
                  <pic:blipFill>
                    <a:blip r:embed="rId7"/>
                    <a:stretch>
                      <a:fillRect/>
                    </a:stretch>
                  </pic:blipFill>
                  <pic:spPr>
                    <a:xfrm>
                      <a:off x="0" y="0"/>
                      <a:ext cx="5274310" cy="3361690"/>
                    </a:xfrm>
                    <a:prstGeom prst="rect">
                      <a:avLst/>
                    </a:prstGeom>
                  </pic:spPr>
                </pic:pic>
              </a:graphicData>
            </a:graphic>
          </wp:inline>
        </w:drawing>
      </w:r>
    </w:p>
    <w:p w14:paraId="7C01A22A">
      <w:pPr>
        <w:spacing w:line="480" w:lineRule="auto"/>
        <w:rPr>
          <w:rFonts w:ascii="宋体" w:hAnsi="宋体" w:eastAsia="宋体"/>
          <w:sz w:val="24"/>
        </w:rPr>
      </w:pPr>
      <w:r>
        <w:rPr>
          <w:rFonts w:hint="eastAsia" w:ascii="宋体" w:hAnsi="宋体" w:eastAsia="宋体"/>
          <w:sz w:val="24"/>
        </w:rPr>
        <w:t>说明：</w:t>
      </w:r>
    </w:p>
    <w:p w14:paraId="4E63C20D">
      <w:pPr>
        <w:pStyle w:val="25"/>
        <w:numPr>
          <w:ilvl w:val="0"/>
          <w:numId w:val="1"/>
        </w:numPr>
        <w:spacing w:line="480" w:lineRule="auto"/>
        <w:ind w:firstLineChars="0"/>
        <w:rPr>
          <w:rFonts w:ascii="宋体" w:hAnsi="宋体" w:eastAsia="宋体"/>
          <w:sz w:val="24"/>
        </w:rPr>
      </w:pPr>
      <w:r>
        <w:rPr>
          <w:rFonts w:hint="eastAsia" w:ascii="宋体" w:hAnsi="宋体" w:eastAsia="宋体"/>
          <w:sz w:val="24"/>
        </w:rPr>
        <w:t>本图中，桩号以M计，其余尺寸以CM计，图中L及h根据现场实际尺寸而定。</w:t>
      </w:r>
    </w:p>
    <w:p w14:paraId="39451A36">
      <w:pPr>
        <w:pStyle w:val="25"/>
        <w:numPr>
          <w:ilvl w:val="0"/>
          <w:numId w:val="1"/>
        </w:numPr>
        <w:spacing w:line="480" w:lineRule="auto"/>
        <w:ind w:firstLineChars="0"/>
        <w:rPr>
          <w:rFonts w:ascii="宋体" w:hAnsi="宋体" w:eastAsia="宋体"/>
          <w:sz w:val="24"/>
        </w:rPr>
      </w:pPr>
      <w:r>
        <w:rPr>
          <w:rFonts w:hint="eastAsia" w:ascii="宋体" w:hAnsi="宋体" w:eastAsia="宋体"/>
          <w:sz w:val="24"/>
        </w:rPr>
        <w:t>本图为已建矩形防渗渠道水尺安装示意，水尺为定制成品采购。</w:t>
      </w:r>
    </w:p>
    <w:p w14:paraId="3E199AAD">
      <w:pPr>
        <w:pStyle w:val="25"/>
        <w:numPr>
          <w:ilvl w:val="0"/>
          <w:numId w:val="1"/>
        </w:numPr>
        <w:spacing w:line="480" w:lineRule="auto"/>
        <w:ind w:firstLineChars="0"/>
        <w:rPr>
          <w:rFonts w:ascii="宋体" w:hAnsi="宋体" w:eastAsia="宋体"/>
          <w:sz w:val="24"/>
        </w:rPr>
      </w:pPr>
      <w:r>
        <w:rPr>
          <w:rFonts w:hint="eastAsia" w:ascii="宋体" w:hAnsi="宋体" w:eastAsia="宋体"/>
          <w:sz w:val="24"/>
        </w:rPr>
        <w:t>水尺采用厚</w:t>
      </w:r>
      <w:r>
        <w:rPr>
          <w:rFonts w:ascii="宋体" w:hAnsi="宋体" w:eastAsia="宋体"/>
          <w:sz w:val="24"/>
        </w:rPr>
        <w:t>1mm</w:t>
      </w:r>
      <w:r>
        <w:rPr>
          <w:rFonts w:hint="eastAsia" w:ascii="宋体" w:hAnsi="宋体" w:eastAsia="宋体"/>
          <w:sz w:val="24"/>
        </w:rPr>
        <w:t>不锈钢材质，刻度由激光雕刻，高温烤漆，正常使用寿命</w:t>
      </w:r>
      <w:r>
        <w:rPr>
          <w:rFonts w:ascii="宋体" w:hAnsi="宋体" w:eastAsia="宋体"/>
          <w:sz w:val="24"/>
        </w:rPr>
        <w:t>5</w:t>
      </w:r>
      <w:r>
        <w:rPr>
          <w:rFonts w:hint="eastAsia" w:ascii="宋体" w:hAnsi="宋体" w:eastAsia="宋体"/>
          <w:sz w:val="24"/>
        </w:rPr>
        <w:t>年以上，安装点必须由施工人员及水管人员采用</w:t>
      </w:r>
      <w:r>
        <w:rPr>
          <w:rFonts w:ascii="宋体" w:hAnsi="宋体" w:eastAsia="宋体"/>
          <w:sz w:val="24"/>
        </w:rPr>
        <w:t>RTK</w:t>
      </w:r>
      <w:r>
        <w:rPr>
          <w:rFonts w:hint="eastAsia" w:ascii="宋体" w:hAnsi="宋体" w:eastAsia="宋体"/>
          <w:sz w:val="24"/>
        </w:rPr>
        <w:t>进行测量，确保每处点位数据正确，并将每处水尺进行编号定制，定制完成后进行点对点安装。同时将每处点位进行油漆编号。编号后录入渠道计量信息化平台。并在采购平板电脑APP上显示。</w:t>
      </w:r>
    </w:p>
    <w:p w14:paraId="4C30100A">
      <w:pPr>
        <w:spacing w:line="480" w:lineRule="auto"/>
        <w:rPr>
          <w:rFonts w:ascii="宋体" w:hAnsi="宋体" w:eastAsia="宋体"/>
          <w:sz w:val="24"/>
        </w:rPr>
      </w:pPr>
    </w:p>
    <w:p w14:paraId="3B86DE84">
      <w:pPr>
        <w:spacing w:line="480" w:lineRule="auto"/>
        <w:rPr>
          <w:rFonts w:ascii="宋体" w:hAnsi="宋体" w:eastAsia="宋体"/>
          <w:sz w:val="24"/>
        </w:rPr>
      </w:pPr>
    </w:p>
    <w:p w14:paraId="31D7B73C">
      <w:pPr>
        <w:spacing w:line="480" w:lineRule="auto"/>
        <w:rPr>
          <w:rFonts w:ascii="宋体" w:hAnsi="宋体" w:eastAsia="宋体"/>
          <w:sz w:val="24"/>
        </w:rPr>
      </w:pPr>
      <w:r>
        <w:drawing>
          <wp:anchor distT="0" distB="0" distL="114300" distR="114300" simplePos="0" relativeHeight="251660288" behindDoc="0" locked="0" layoutInCell="1" allowOverlap="1">
            <wp:simplePos x="0" y="0"/>
            <wp:positionH relativeFrom="column">
              <wp:posOffset>-850900</wp:posOffset>
            </wp:positionH>
            <wp:positionV relativeFrom="paragraph">
              <wp:posOffset>279400</wp:posOffset>
            </wp:positionV>
            <wp:extent cx="6937375" cy="3600450"/>
            <wp:effectExtent l="0" t="0" r="0" b="0"/>
            <wp:wrapSquare wrapText="bothSides"/>
            <wp:docPr id="722593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93583"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37375" cy="3600450"/>
                    </a:xfrm>
                    <a:prstGeom prst="rect">
                      <a:avLst/>
                    </a:prstGeom>
                  </pic:spPr>
                </pic:pic>
              </a:graphicData>
            </a:graphic>
          </wp:anchor>
        </w:drawing>
      </w:r>
      <w:r>
        <w:rPr>
          <w:rFonts w:hint="eastAsia" w:ascii="宋体" w:hAnsi="宋体" w:eastAsia="宋体"/>
          <w:sz w:val="24"/>
        </w:rPr>
        <w:t>说明：</w:t>
      </w:r>
    </w:p>
    <w:p w14:paraId="45227AF2">
      <w:pPr>
        <w:pStyle w:val="25"/>
        <w:numPr>
          <w:ilvl w:val="0"/>
          <w:numId w:val="1"/>
        </w:numPr>
        <w:spacing w:line="480" w:lineRule="auto"/>
        <w:ind w:firstLineChars="0"/>
        <w:rPr>
          <w:rFonts w:ascii="宋体" w:hAnsi="宋体" w:eastAsia="宋体"/>
          <w:sz w:val="24"/>
        </w:rPr>
      </w:pPr>
      <w:r>
        <w:rPr>
          <w:rFonts w:hint="eastAsia" w:ascii="宋体" w:hAnsi="宋体" w:eastAsia="宋体"/>
          <w:sz w:val="24"/>
        </w:rPr>
        <w:t>本图中，桩号以M计，其余尺寸以CM计，图中L及h根据现场实际尺寸而定。</w:t>
      </w:r>
    </w:p>
    <w:p w14:paraId="1F704A0F">
      <w:pPr>
        <w:pStyle w:val="25"/>
        <w:numPr>
          <w:ilvl w:val="0"/>
          <w:numId w:val="1"/>
        </w:numPr>
        <w:spacing w:line="480" w:lineRule="auto"/>
        <w:ind w:firstLineChars="0"/>
        <w:rPr>
          <w:rFonts w:ascii="宋体" w:hAnsi="宋体" w:eastAsia="宋体"/>
          <w:sz w:val="24"/>
        </w:rPr>
      </w:pPr>
      <w:r>
        <w:rPr>
          <w:rFonts w:hint="eastAsia" w:ascii="宋体" w:hAnsi="宋体" w:eastAsia="宋体"/>
          <w:sz w:val="24"/>
        </w:rPr>
        <w:t>本图为已建矩形防渗渠道水尺安装示意，水尺为定制成品采购。</w:t>
      </w:r>
    </w:p>
    <w:p w14:paraId="7043F44A">
      <w:pPr>
        <w:pStyle w:val="25"/>
        <w:numPr>
          <w:ilvl w:val="0"/>
          <w:numId w:val="1"/>
        </w:numPr>
        <w:spacing w:line="480" w:lineRule="auto"/>
        <w:ind w:firstLineChars="0"/>
        <w:rPr>
          <w:rFonts w:ascii="宋体" w:hAnsi="宋体" w:eastAsia="宋体"/>
          <w:sz w:val="24"/>
        </w:rPr>
      </w:pPr>
      <w:r>
        <w:rPr>
          <w:rFonts w:hint="eastAsia" w:ascii="宋体" w:hAnsi="宋体" w:eastAsia="宋体"/>
          <w:sz w:val="24"/>
        </w:rPr>
        <w:t>水尺采用厚</w:t>
      </w:r>
      <w:r>
        <w:rPr>
          <w:rFonts w:ascii="宋体" w:hAnsi="宋体" w:eastAsia="宋体"/>
          <w:sz w:val="24"/>
        </w:rPr>
        <w:t>1mm</w:t>
      </w:r>
      <w:r>
        <w:rPr>
          <w:rFonts w:hint="eastAsia" w:ascii="宋体" w:hAnsi="宋体" w:eastAsia="宋体"/>
          <w:sz w:val="24"/>
        </w:rPr>
        <w:t>不锈钢材质，刻度由激光雕刻，高温烤漆，正常使用寿命</w:t>
      </w:r>
      <w:r>
        <w:rPr>
          <w:rFonts w:ascii="宋体" w:hAnsi="宋体" w:eastAsia="宋体"/>
          <w:sz w:val="24"/>
        </w:rPr>
        <w:t>5</w:t>
      </w:r>
      <w:r>
        <w:rPr>
          <w:rFonts w:hint="eastAsia" w:ascii="宋体" w:hAnsi="宋体" w:eastAsia="宋体"/>
          <w:sz w:val="24"/>
        </w:rPr>
        <w:t>年以上，安装点必须由施工人员及水管人员采用</w:t>
      </w:r>
      <w:r>
        <w:rPr>
          <w:rFonts w:ascii="宋体" w:hAnsi="宋体" w:eastAsia="宋体"/>
          <w:sz w:val="24"/>
        </w:rPr>
        <w:t>RTK</w:t>
      </w:r>
      <w:r>
        <w:rPr>
          <w:rFonts w:hint="eastAsia" w:ascii="宋体" w:hAnsi="宋体" w:eastAsia="宋体"/>
          <w:sz w:val="24"/>
        </w:rPr>
        <w:t>进行测量，确保每处点位数据正确，并将每处水尺进行编号定制，定制完成后进行点对点安装。同时将每处点位进行油漆编号。编号后录入渠道计量信息化平台。并在采购平板电脑APP上显示。</w:t>
      </w:r>
    </w:p>
    <w:p w14:paraId="762BB07B">
      <w:pPr>
        <w:spacing w:line="480" w:lineRule="auto"/>
        <w:rPr>
          <w:rFonts w:hint="eastAsia" w:ascii="宋体" w:hAnsi="宋体" w:eastAsia="宋体"/>
          <w:sz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912A4C"/>
    <w:multiLevelType w:val="multilevel"/>
    <w:tmpl w:val="2E912A4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0ODI4YjJhZjEwZWJmNTI1MDI3NDQ4Y2UwZWYwN2IifQ=="/>
  </w:docVars>
  <w:rsids>
    <w:rsidRoot w:val="00883E6F"/>
    <w:rsid w:val="000A3D1A"/>
    <w:rsid w:val="001B3DA6"/>
    <w:rsid w:val="002274C2"/>
    <w:rsid w:val="002D22BF"/>
    <w:rsid w:val="004D4C0A"/>
    <w:rsid w:val="00625961"/>
    <w:rsid w:val="0081433C"/>
    <w:rsid w:val="00867FDF"/>
    <w:rsid w:val="00883E6F"/>
    <w:rsid w:val="008B6A9A"/>
    <w:rsid w:val="009D734D"/>
    <w:rsid w:val="00A857E4"/>
    <w:rsid w:val="00AD1214"/>
    <w:rsid w:val="00AD28F6"/>
    <w:rsid w:val="00B65995"/>
    <w:rsid w:val="00BE7700"/>
    <w:rsid w:val="00C0139C"/>
    <w:rsid w:val="00DA1548"/>
    <w:rsid w:val="00E43020"/>
    <w:rsid w:val="00F84F97"/>
    <w:rsid w:val="7E415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autoRedefine/>
    <w:unhideWhenUsed/>
    <w:qFormat/>
    <w:uiPriority w:val="39"/>
    <w:pPr>
      <w:widowControl/>
      <w:spacing w:after="100" w:line="259" w:lineRule="auto"/>
      <w:ind w:left="440"/>
    </w:pPr>
    <w:rPr>
      <w:rFonts w:cs="Times New Roman"/>
      <w:kern w:val="0"/>
      <w:szCs w:val="22"/>
      <w14:ligatures w14:val="none"/>
    </w:rPr>
  </w:style>
  <w:style w:type="paragraph" w:styleId="7">
    <w:name w:val="Date"/>
    <w:basedOn w:val="1"/>
    <w:next w:val="1"/>
    <w:link w:val="13"/>
    <w:semiHidden/>
    <w:unhideWhenUsed/>
    <w:qFormat/>
    <w:uiPriority w:val="99"/>
    <w:pPr>
      <w:ind w:left="100" w:leftChars="2500"/>
    </w:pPr>
  </w:style>
  <w:style w:type="paragraph" w:styleId="8">
    <w:name w:val="toc 1"/>
    <w:basedOn w:val="1"/>
    <w:next w:val="1"/>
    <w:autoRedefine/>
    <w:unhideWhenUsed/>
    <w:qFormat/>
    <w:uiPriority w:val="39"/>
    <w:pPr>
      <w:widowControl/>
      <w:spacing w:after="100" w:line="259" w:lineRule="auto"/>
    </w:pPr>
    <w:rPr>
      <w:rFonts w:cs="Times New Roman"/>
      <w:kern w:val="0"/>
      <w:szCs w:val="22"/>
      <w14:ligatures w14:val="none"/>
    </w:rPr>
  </w:style>
  <w:style w:type="paragraph" w:styleId="9">
    <w:name w:val="toc 2"/>
    <w:basedOn w:val="1"/>
    <w:next w:val="1"/>
    <w:autoRedefine/>
    <w:unhideWhenUsed/>
    <w:qFormat/>
    <w:uiPriority w:val="39"/>
    <w:pPr>
      <w:widowControl/>
      <w:spacing w:after="100" w:line="259" w:lineRule="auto"/>
      <w:ind w:left="220"/>
    </w:pPr>
    <w:rPr>
      <w:rFonts w:cs="Times New Roman"/>
      <w:kern w:val="0"/>
      <w:szCs w:val="22"/>
      <w14:ligatures w14:val="none"/>
    </w:rPr>
  </w:style>
  <w:style w:type="character" w:styleId="12">
    <w:name w:val="Hyperlink"/>
    <w:basedOn w:val="11"/>
    <w:unhideWhenUsed/>
    <w:qFormat/>
    <w:uiPriority w:val="99"/>
    <w:rPr>
      <w:color w:val="467886" w:themeColor="hyperlink"/>
      <w:u w:val="single"/>
      <w14:textFill>
        <w14:solidFill>
          <w14:schemeClr w14:val="hlink"/>
        </w14:solidFill>
      </w14:textFill>
    </w:rPr>
  </w:style>
  <w:style w:type="character" w:customStyle="1" w:styleId="13">
    <w:name w:val="日期 字符"/>
    <w:basedOn w:val="11"/>
    <w:link w:val="7"/>
    <w:semiHidden/>
    <w:uiPriority w:val="99"/>
  </w:style>
  <w:style w:type="paragraph" w:customStyle="1" w:styleId="14">
    <w:name w:val="msonormal"/>
    <w:basedOn w:val="1"/>
    <w:qFormat/>
    <w:uiPriority w:val="0"/>
    <w:pPr>
      <w:widowControl/>
      <w:spacing w:before="100" w:beforeAutospacing="1" w:after="100" w:afterAutospacing="1" w:line="240" w:lineRule="auto"/>
    </w:pPr>
    <w:rPr>
      <w:rFonts w:ascii="宋体" w:hAnsi="宋体" w:eastAsia="宋体" w:cs="宋体"/>
      <w:kern w:val="0"/>
      <w:sz w:val="24"/>
      <w14:ligatures w14:val="none"/>
    </w:rPr>
  </w:style>
  <w:style w:type="character" w:customStyle="1" w:styleId="15">
    <w:name w:val="标题 1 字符"/>
    <w:basedOn w:val="11"/>
    <w:link w:val="2"/>
    <w:qFormat/>
    <w:uiPriority w:val="9"/>
    <w:rPr>
      <w:b/>
      <w:bCs/>
      <w:kern w:val="44"/>
      <w:sz w:val="44"/>
      <w:szCs w:val="44"/>
    </w:rPr>
  </w:style>
  <w:style w:type="paragraph" w:customStyle="1" w:styleId="16">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104862" w:themeColor="accent1" w:themeShade="BF"/>
      <w:kern w:val="0"/>
      <w:sz w:val="32"/>
      <w:szCs w:val="32"/>
      <w14:ligatures w14:val="none"/>
    </w:rPr>
  </w:style>
  <w:style w:type="character" w:customStyle="1" w:styleId="17">
    <w:name w:val="标题 2 字符"/>
    <w:basedOn w:val="11"/>
    <w:link w:val="3"/>
    <w:qFormat/>
    <w:uiPriority w:val="9"/>
    <w:rPr>
      <w:rFonts w:asciiTheme="majorHAnsi" w:hAnsiTheme="majorHAnsi" w:eastAsiaTheme="majorEastAsia" w:cstheme="majorBidi"/>
      <w:b/>
      <w:bCs/>
      <w:sz w:val="32"/>
      <w:szCs w:val="32"/>
    </w:rPr>
  </w:style>
  <w:style w:type="character" w:customStyle="1" w:styleId="18">
    <w:name w:val="标题 3 字符"/>
    <w:basedOn w:val="11"/>
    <w:link w:val="4"/>
    <w:qFormat/>
    <w:uiPriority w:val="9"/>
    <w:rPr>
      <w:b/>
      <w:bCs/>
      <w:sz w:val="32"/>
      <w:szCs w:val="32"/>
    </w:rPr>
  </w:style>
  <w:style w:type="character" w:customStyle="1" w:styleId="19">
    <w:name w:val="标题 4 字符"/>
    <w:basedOn w:val="11"/>
    <w:link w:val="5"/>
    <w:qFormat/>
    <w:uiPriority w:val="9"/>
    <w:rPr>
      <w:rFonts w:asciiTheme="majorHAnsi" w:hAnsiTheme="majorHAnsi" w:eastAsiaTheme="majorEastAsia" w:cstheme="majorBidi"/>
      <w:b/>
      <w:bCs/>
      <w:sz w:val="28"/>
      <w:szCs w:val="28"/>
    </w:rPr>
  </w:style>
  <w:style w:type="character" w:customStyle="1" w:styleId="20">
    <w:name w:val="font41"/>
    <w:basedOn w:val="11"/>
    <w:qFormat/>
    <w:uiPriority w:val="0"/>
    <w:rPr>
      <w:rFonts w:hint="eastAsia" w:ascii="宋体" w:hAnsi="宋体" w:eastAsia="宋体"/>
      <w:color w:val="000000"/>
      <w:sz w:val="22"/>
      <w:szCs w:val="22"/>
      <w:u w:val="none"/>
    </w:rPr>
  </w:style>
  <w:style w:type="character" w:customStyle="1" w:styleId="21">
    <w:name w:val="font01"/>
    <w:basedOn w:val="11"/>
    <w:qFormat/>
    <w:uiPriority w:val="0"/>
    <w:rPr>
      <w:rFonts w:hint="eastAsia" w:ascii="宋体" w:hAnsi="宋体" w:eastAsia="宋体"/>
      <w:color w:val="000000"/>
      <w:sz w:val="22"/>
      <w:szCs w:val="22"/>
      <w:u w:val="none"/>
    </w:rPr>
  </w:style>
  <w:style w:type="character" w:customStyle="1" w:styleId="22">
    <w:name w:val="font31"/>
    <w:basedOn w:val="11"/>
    <w:qFormat/>
    <w:uiPriority w:val="0"/>
    <w:rPr>
      <w:rFonts w:hint="default" w:ascii="Arial" w:hAnsi="Arial" w:cs="Arial"/>
      <w:color w:val="000000"/>
      <w:sz w:val="20"/>
      <w:szCs w:val="20"/>
      <w:u w:val="none"/>
    </w:rPr>
  </w:style>
  <w:style w:type="character" w:customStyle="1" w:styleId="23">
    <w:name w:val="font61"/>
    <w:basedOn w:val="11"/>
    <w:uiPriority w:val="0"/>
    <w:rPr>
      <w:rFonts w:hint="eastAsia" w:ascii="宋体" w:hAnsi="宋体" w:eastAsia="宋体"/>
      <w:color w:val="FF0000"/>
      <w:sz w:val="20"/>
      <w:szCs w:val="20"/>
      <w:u w:val="none"/>
    </w:rPr>
  </w:style>
  <w:style w:type="character" w:customStyle="1" w:styleId="24">
    <w:name w:val="font51"/>
    <w:basedOn w:val="11"/>
    <w:qFormat/>
    <w:uiPriority w:val="0"/>
    <w:rPr>
      <w:rFonts w:hint="eastAsia" w:ascii="宋体" w:hAnsi="宋体" w:eastAsia="宋体"/>
      <w:color w:val="000000"/>
      <w:sz w:val="20"/>
      <w:szCs w:val="20"/>
      <w:u w:val="none"/>
    </w:rPr>
  </w:style>
  <w:style w:type="paragraph" w:styleId="2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54F26-77E9-44CC-92D2-97821744540C}">
  <ds:schemaRefs/>
</ds:datastoreItem>
</file>

<file path=docProps/app.xml><?xml version="1.0" encoding="utf-8"?>
<Properties xmlns="http://schemas.openxmlformats.org/officeDocument/2006/extended-properties" xmlns:vt="http://schemas.openxmlformats.org/officeDocument/2006/docPropsVTypes">
  <Template>Normal</Template>
  <Pages>66</Pages>
  <Words>24711</Words>
  <Characters>41226</Characters>
  <Lines>360</Lines>
  <Paragraphs>101</Paragraphs>
  <TotalTime>168</TotalTime>
  <ScaleCrop>false</ScaleCrop>
  <LinksUpToDate>false</LinksUpToDate>
  <CharactersWithSpaces>42264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2024-10-15T05:15:00Z</dcterms:created>
  <dc:creator>小阳 吴</dc:creator>
  <cp:lastModifiedBy>三七</cp:lastModifiedBy>
  <dcterms:modified xsi:type="dcterms:W3CDTF">2024-10-18T03:06:16Z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9846CA8528624C67B0013C218AA857EF_12</vt:lpwstr>
  </property>
</Properties>
</file>