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585C2">
      <w:pPr>
        <w:numPr>
          <w:ilvl w:val="0"/>
          <w:numId w:val="0"/>
        </w:numPr>
        <w:jc w:val="center"/>
        <w:rPr>
          <w:rFonts w:hint="eastAsia" w:ascii="宋体" w:hAnsi="宋体" w:eastAsia="宋体" w:cs="宋体"/>
          <w:b/>
          <w:sz w:val="28"/>
          <w:szCs w:val="28"/>
        </w:rPr>
      </w:pPr>
      <w:r>
        <w:rPr>
          <w:rFonts w:hint="eastAsia" w:ascii="宋体" w:hAnsi="宋体" w:eastAsia="宋体" w:cs="宋体"/>
          <w:b/>
          <w:sz w:val="28"/>
          <w:szCs w:val="28"/>
        </w:rPr>
        <w:t>技术参数</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6564"/>
      </w:tblGrid>
      <w:tr w14:paraId="7DE0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pct"/>
            <w:shd w:val="clear" w:color="auto" w:fill="auto"/>
            <w:vAlign w:val="center"/>
          </w:tcPr>
          <w:p w14:paraId="78CDB2C3">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设备名称</w:t>
            </w:r>
          </w:p>
        </w:tc>
        <w:tc>
          <w:tcPr>
            <w:tcW w:w="3850" w:type="pct"/>
            <w:shd w:val="clear" w:color="auto" w:fill="auto"/>
            <w:vAlign w:val="center"/>
          </w:tcPr>
          <w:p w14:paraId="08E1F148">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功能及技术参数</w:t>
            </w:r>
          </w:p>
        </w:tc>
      </w:tr>
      <w:tr w14:paraId="1E61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pct"/>
            <w:shd w:val="clear" w:color="auto" w:fill="auto"/>
            <w:vAlign w:val="center"/>
          </w:tcPr>
          <w:p w14:paraId="752708AE">
            <w:pPr>
              <w:snapToGrid w:val="0"/>
              <w:jc w:val="left"/>
              <w:rPr>
                <w:rFonts w:hint="eastAsia" w:ascii="宋体" w:hAnsi="宋体" w:eastAsia="宋体" w:cs="宋体"/>
                <w:kern w:val="2"/>
                <w:sz w:val="21"/>
                <w:szCs w:val="21"/>
                <w:lang w:val="en-US" w:eastAsia="zh-CN" w:bidi="ar-SA"/>
              </w:rPr>
            </w:pPr>
            <w:bookmarkStart w:id="0" w:name="_GoBack"/>
            <w:bookmarkEnd w:id="0"/>
            <w:r>
              <w:rPr>
                <w:rFonts w:hint="eastAsia" w:ascii="宋体" w:hAnsi="宋体" w:eastAsia="宋体" w:cs="宋体"/>
                <w:sz w:val="21"/>
                <w:szCs w:val="21"/>
              </w:rPr>
              <w:t>工作站</w:t>
            </w:r>
          </w:p>
        </w:tc>
        <w:tc>
          <w:tcPr>
            <w:tcW w:w="3850" w:type="pct"/>
            <w:shd w:val="clear" w:color="auto" w:fill="auto"/>
            <w:vAlign w:val="center"/>
          </w:tcPr>
          <w:p w14:paraId="70A98597">
            <w:pPr>
              <w:rPr>
                <w:rFonts w:hint="eastAsia" w:ascii="宋体" w:hAnsi="宋体" w:eastAsia="宋体" w:cs="宋体"/>
                <w:b/>
                <w:sz w:val="21"/>
                <w:szCs w:val="21"/>
              </w:rPr>
            </w:pPr>
            <w:r>
              <w:rPr>
                <w:rFonts w:hint="eastAsia" w:ascii="宋体" w:hAnsi="宋体" w:eastAsia="宋体" w:cs="宋体"/>
                <w:b/>
                <w:sz w:val="21"/>
                <w:szCs w:val="21"/>
              </w:rPr>
              <w:t>1、设备功能：</w:t>
            </w:r>
          </w:p>
          <w:p w14:paraId="73002B26">
            <w:pPr>
              <w:ind w:firstLine="420" w:firstLineChars="200"/>
              <w:rPr>
                <w:rFonts w:hint="eastAsia" w:ascii="宋体" w:hAnsi="宋体" w:eastAsia="宋体" w:cs="宋体"/>
                <w:sz w:val="21"/>
                <w:szCs w:val="21"/>
              </w:rPr>
            </w:pPr>
            <w:r>
              <w:rPr>
                <w:rFonts w:hint="eastAsia" w:ascii="宋体" w:hAnsi="宋体" w:eastAsia="宋体" w:cs="宋体"/>
                <w:sz w:val="21"/>
                <w:szCs w:val="21"/>
              </w:rPr>
              <w:t>标配4个液体处理通道和48头磁棒纯化模块，以超滤裂解单管或者超滤套板为样本裂解容器，可以全自动化实现案件检材裂解、固液分离、核酸纯化、PCR体系构建。</w:t>
            </w:r>
          </w:p>
          <w:p w14:paraId="6AC42B55">
            <w:pPr>
              <w:rPr>
                <w:rFonts w:hint="eastAsia" w:ascii="宋体" w:hAnsi="宋体" w:eastAsia="宋体" w:cs="宋体"/>
                <w:sz w:val="21"/>
                <w:szCs w:val="21"/>
              </w:rPr>
            </w:pPr>
            <w:r>
              <w:rPr>
                <w:rFonts w:hint="eastAsia" w:ascii="宋体" w:hAnsi="宋体" w:eastAsia="宋体" w:cs="宋体"/>
                <w:b/>
                <w:sz w:val="21"/>
                <w:szCs w:val="21"/>
              </w:rPr>
              <w:t>2、技术参数：</w:t>
            </w:r>
          </w:p>
          <w:p w14:paraId="02D9BF44">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工作台面至少为170cm，采用标准化模块式设计，并可根据需要扩展外接第三方设备。</w:t>
            </w:r>
          </w:p>
          <w:p w14:paraId="4E55A3D2">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在无任何人工干预情况下，每批次可以自动裂解、纯化1-48任意个数样本。</w:t>
            </w:r>
          </w:p>
          <w:p w14:paraId="4FE50E6D">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★支持单管操作模式，能够有效避免多孔板在前期检材剪取时造成检材之间相互污染的可能性配置。</w:t>
            </w:r>
          </w:p>
          <w:p w14:paraId="7699DE3D">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配置振荡裂解功能模块，实现对各种检材自动加热、自动震荡等功能。</w:t>
            </w:r>
          </w:p>
          <w:p w14:paraId="12EFF2E1">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配置在线自动离心机，最大程度上收集裂解产物，减少DNA的损失。</w:t>
            </w:r>
          </w:p>
          <w:p w14:paraId="794EBFBF">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★配备至少4个液体处理通道，且加样通道可独立控制，每个加样通道由一套精密的马达和电子组件单独控制。</w:t>
            </w:r>
          </w:p>
          <w:p w14:paraId="3F372D68">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可以实现全自动精斑混合检材消化、洗涤女性成份，自动进行女性成份和男性精子细胞核酸提取。</w:t>
            </w:r>
          </w:p>
          <w:p w14:paraId="219C65BA">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机械臂和移液通道的移动和定位的X-Y-Z 分辨率为0.1mm，加样通道的分液范围：0.5ul-1000ul，步进0.1ul。</w:t>
            </w:r>
          </w:p>
          <w:p w14:paraId="28CCA815">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★可以自动化完成PCR体系构建，在1ul微量分液处理时，分液的准确度CV：≤3%；精密度CV：≤2%，以保障微量化PCR反应体系建立，节约试剂。</w:t>
            </w:r>
          </w:p>
          <w:p w14:paraId="5FFCCFDD">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★采用最先进的柔性无损的非冲撞式的加样尖取放、密封技术，避免对加样通道的磨损，以延长加样通道的使用寿命。</w:t>
            </w:r>
          </w:p>
          <w:p w14:paraId="078BAB18">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★使用带滤芯的一次性黑色导电加样尖，可有效防止加样通道的污染，加样尖可回放指定载架，可对同一液体再次使用一次性加样尖，回放的加样尖可避免互相接触。</w:t>
            </w:r>
          </w:p>
          <w:p w14:paraId="481B1D9D">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采用空气置换式移液原理，避免液体置换原理的系统液对样品的污染。</w:t>
            </w:r>
          </w:p>
          <w:p w14:paraId="18457514">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★具有三种模式的液面水平探测功能，可识别导电液体、不导电液体以及不相溶液面可根据液体性质、容器规格设置不同的液面探测灵敏度水平。</w:t>
            </w:r>
          </w:p>
          <w:p w14:paraId="01F92A5D">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★防滴漏控制功能，通过压力传感器实时监控每个通道内的压力，实现对挥发性液体的全自动、批量分配。</w:t>
            </w:r>
          </w:p>
          <w:p w14:paraId="562BBAD9">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★吸液分液全过程监控，可以实时记录每次吸液分液过程中压力曲线的改变，实现对整个分液过程的精确监控和溯源。</w:t>
            </w:r>
          </w:p>
          <w:p w14:paraId="35D31AF8">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工作站平台具有封闭式结构，满足分子生物学交叉污染控制要求，配合封闭裂解模式，防止交叉污染。</w:t>
            </w:r>
          </w:p>
          <w:p w14:paraId="6DE83ACD">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★需配置48头磁棒纯化模块，磁棒阵列形式为</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 模式，可自动装载磁套。</w:t>
            </w:r>
          </w:p>
          <w:p w14:paraId="241F1DB0">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★采用磁棒阵列进行吸附、转移和释放磁珠，有效实现磁珠及样品的转移，DNA 提取环节不需要液体转移过程，有效提高DNA 提取速度并提升DNA 提取效果。</w:t>
            </w:r>
          </w:p>
          <w:p w14:paraId="3FAAB2A9">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★纯化模块的液体混匀方式应为旋转搅拌式混匀，防止采用挤压式混匀带来的液体飞溅，防止交叉污染。</w:t>
            </w:r>
          </w:p>
          <w:p w14:paraId="4314C0EE">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工作站可根据实验的需求使用更多品牌的试剂运行方案，具有开放性。</w:t>
            </w:r>
          </w:p>
          <w:p w14:paraId="39B31B57">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在软件控制下，加样头间距与实验器皿的距离自动调整，各移液通道可以通过编程自动进行非等距离扩展</w:t>
            </w:r>
          </w:p>
          <w:p w14:paraId="23232CC2">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配置仪器控制软件、工作站管理软件。软件需中文界面，具有3D模拟技术，支持触摸操作，高级用户可以根据需要自行设定操作程序。</w:t>
            </w:r>
          </w:p>
          <w:p w14:paraId="3563CAD3">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具有运行监控功能，方便用户远程监控设备运行状态</w:t>
            </w:r>
          </w:p>
          <w:p w14:paraId="1B3371CB">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可生成详细的运行记录表</w:t>
            </w:r>
          </w:p>
          <w:p w14:paraId="1B68958D">
            <w:pPr>
              <w:pStyle w:val="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配置UPS系统，峰值功率：2000W，正常功率500W，待机要求：正常负载状态下，待机15分钟；</w:t>
            </w:r>
          </w:p>
          <w:p w14:paraId="71717863">
            <w:pPr>
              <w:pStyle w:val="5"/>
              <w:numPr>
                <w:ilvl w:val="0"/>
                <w:numId w:val="1"/>
              </w:numPr>
              <w:ind w:left="840" w:leftChars="0" w:hanging="420" w:firstLine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为保证产品质量以及功能符合要求，需</w:t>
            </w:r>
            <w:r>
              <w:rPr>
                <w:rFonts w:hint="eastAsia" w:ascii="宋体" w:hAnsi="宋体" w:eastAsia="宋体" w:cs="宋体"/>
                <w:sz w:val="21"/>
                <w:szCs w:val="21"/>
              </w:rPr>
              <w:t>提供生产厂家提供的技术白皮书、技术服务承诺书、确认函以及产品彩页</w:t>
            </w:r>
            <w:r>
              <w:rPr>
                <w:rFonts w:hint="eastAsia" w:ascii="宋体" w:hAnsi="宋体" w:eastAsia="宋体" w:cs="宋体"/>
                <w:sz w:val="21"/>
                <w:szCs w:val="21"/>
                <w:lang w:eastAsia="zh-CN"/>
              </w:rPr>
              <w:t>。</w:t>
            </w:r>
          </w:p>
        </w:tc>
      </w:tr>
      <w:tr w14:paraId="70ED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uto"/>
            <w:vAlign w:val="center"/>
          </w:tcPr>
          <w:p w14:paraId="0B9220A5">
            <w:pPr>
              <w:pStyle w:val="5"/>
              <w:numPr>
                <w:ilvl w:val="0"/>
                <w:numId w:val="0"/>
              </w:numPr>
              <w:rPr>
                <w:rFonts w:hint="eastAsia" w:ascii="宋体" w:hAnsi="宋体" w:eastAsia="宋体" w:cs="宋体"/>
                <w:sz w:val="21"/>
                <w:szCs w:val="21"/>
                <w:lang w:val="en-US" w:eastAsia="zh-CN"/>
              </w:rPr>
            </w:pPr>
          </w:p>
        </w:tc>
      </w:tr>
    </w:tbl>
    <w:p w14:paraId="56E363E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cstheme="minorEastAsia"/>
          <w:color w:val="FF0000"/>
          <w:kern w:val="0"/>
          <w:sz w:val="24"/>
          <w:szCs w:val="24"/>
          <w:highlight w:val="none"/>
          <w:lang w:val="en-US" w:eastAsia="zh-CN" w:bidi="ar"/>
        </w:rPr>
      </w:pPr>
    </w:p>
    <w:p w14:paraId="6ABDC65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heme="minorEastAsia" w:hAnsiTheme="minorEastAsia" w:cstheme="minorEastAsia"/>
          <w:color w:val="FF0000"/>
          <w:kern w:val="0"/>
          <w:sz w:val="24"/>
          <w:szCs w:val="24"/>
          <w:highlight w:val="none"/>
          <w:lang w:val="en-US" w:eastAsia="zh-CN" w:bidi="ar"/>
        </w:rPr>
      </w:pPr>
      <w:r>
        <w:rPr>
          <w:rFonts w:hint="eastAsia" w:asciiTheme="minorEastAsia" w:hAnsiTheme="minorEastAsia" w:cstheme="minorEastAsia"/>
          <w:color w:val="FF0000"/>
          <w:kern w:val="0"/>
          <w:sz w:val="24"/>
          <w:szCs w:val="24"/>
          <w:highlight w:val="none"/>
          <w:lang w:val="en-US" w:eastAsia="zh-CN" w:bidi="ar"/>
        </w:rPr>
        <w:t>售后要求为：</w:t>
      </w:r>
    </w:p>
    <w:p w14:paraId="7372BF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color w:val="FF0000"/>
          <w:kern w:val="0"/>
          <w:sz w:val="24"/>
          <w:szCs w:val="24"/>
          <w:highlight w:val="none"/>
          <w:lang w:bidi="ar"/>
        </w:rPr>
      </w:pPr>
      <w:r>
        <w:rPr>
          <w:rFonts w:hint="default" w:asciiTheme="minorEastAsia" w:hAnsiTheme="minorEastAsia" w:cstheme="minorEastAsia"/>
          <w:color w:val="FF0000"/>
          <w:kern w:val="0"/>
          <w:sz w:val="24"/>
          <w:szCs w:val="24"/>
          <w:highlight w:val="none"/>
          <w:lang w:val="en-US" w:eastAsia="zh-CN" w:bidi="ar"/>
        </w:rPr>
        <w:t>1、</w:t>
      </w:r>
      <w:r>
        <w:rPr>
          <w:rFonts w:hint="eastAsia" w:asciiTheme="minorEastAsia" w:hAnsiTheme="minorEastAsia" w:cstheme="minorEastAsia"/>
          <w:color w:val="FF0000"/>
          <w:kern w:val="0"/>
          <w:sz w:val="24"/>
          <w:szCs w:val="24"/>
          <w:highlight w:val="none"/>
          <w:lang w:bidi="ar"/>
        </w:rPr>
        <w:t>标注“★</w:t>
      </w:r>
      <w:r>
        <w:rPr>
          <w:rFonts w:hint="eastAsia" w:asciiTheme="minorEastAsia" w:hAnsiTheme="minorEastAsia" w:cstheme="minorEastAsia"/>
          <w:color w:val="FF0000"/>
          <w:kern w:val="0"/>
          <w:sz w:val="24"/>
          <w:szCs w:val="24"/>
          <w:highlight w:val="none"/>
          <w:lang w:val="en-US" w:eastAsia="zh-CN" w:bidi="ar"/>
        </w:rPr>
        <w:t>”的为重点参数，上所有参数、功能、须全部符合或优于，不接受负偏离。</w:t>
      </w:r>
    </w:p>
    <w:p w14:paraId="634BEA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color w:val="FF0000"/>
          <w:kern w:val="0"/>
          <w:sz w:val="24"/>
          <w:szCs w:val="24"/>
          <w:highlight w:val="none"/>
          <w:lang w:bidi="ar"/>
        </w:rPr>
      </w:pPr>
      <w:r>
        <w:rPr>
          <w:rFonts w:hint="default" w:asciiTheme="minorEastAsia" w:hAnsiTheme="minorEastAsia" w:cstheme="minorEastAsia"/>
          <w:color w:val="FF0000"/>
          <w:kern w:val="0"/>
          <w:sz w:val="24"/>
          <w:szCs w:val="24"/>
          <w:highlight w:val="none"/>
          <w:lang w:val="en-US" w:eastAsia="zh-CN" w:bidi="ar"/>
        </w:rPr>
        <w:t xml:space="preserve">2、供货时为确保乙方提供的产品没有知识产权争议，避免对产品技术服务、售后产生额外风险，要求乙方提供产品原厂商售后承诺书加盖公章。 </w:t>
      </w:r>
    </w:p>
    <w:p w14:paraId="719724D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color w:val="FF0000"/>
          <w:kern w:val="0"/>
          <w:sz w:val="24"/>
          <w:szCs w:val="24"/>
          <w:highlight w:val="none"/>
          <w:lang w:val="en-US" w:eastAsia="zh-CN" w:bidi="ar"/>
        </w:rPr>
      </w:pPr>
      <w:r>
        <w:rPr>
          <w:rFonts w:hint="eastAsia" w:asciiTheme="minorEastAsia" w:hAnsiTheme="minorEastAsia" w:cstheme="minorEastAsia"/>
          <w:color w:val="FF0000"/>
          <w:kern w:val="0"/>
          <w:sz w:val="24"/>
          <w:szCs w:val="24"/>
          <w:highlight w:val="none"/>
          <w:lang w:val="en-US" w:eastAsia="zh-CN" w:bidi="ar"/>
        </w:rPr>
        <w:t>3、签订合同前需携带纸质证明资料，全部符合后方能签订合同，对不能满足要求或不能按时供货的要求退货。</w:t>
      </w:r>
    </w:p>
    <w:p w14:paraId="0E44B916">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Theme="minorEastAsia" w:hAnsiTheme="minorEastAsia" w:cstheme="minorEastAsia"/>
          <w:color w:val="FF0000"/>
          <w:kern w:val="0"/>
          <w:sz w:val="24"/>
          <w:szCs w:val="24"/>
          <w:highlight w:val="none"/>
          <w:lang w:val="en-US" w:eastAsia="zh-CN" w:bidi="ar"/>
        </w:rPr>
        <w:t>4</w:t>
      </w:r>
      <w:r>
        <w:rPr>
          <w:rFonts w:hint="default" w:asciiTheme="minorEastAsia" w:hAnsiTheme="minorEastAsia" w:cstheme="minorEastAsia"/>
          <w:color w:val="FF0000"/>
          <w:kern w:val="0"/>
          <w:sz w:val="24"/>
          <w:szCs w:val="24"/>
          <w:highlight w:val="none"/>
          <w:lang w:val="en-US" w:eastAsia="zh-CN" w:bidi="ar"/>
        </w:rPr>
        <w:t>、售后服务：质保期1年以上，24小时响应.</w:t>
      </w:r>
    </w:p>
    <w:p w14:paraId="4BBEFD23">
      <w:pPr>
        <w:numPr>
          <w:ilvl w:val="0"/>
          <w:numId w:val="0"/>
        </w:numPr>
        <w:rPr>
          <w:rFonts w:hint="eastAsia" w:ascii="宋体" w:hAnsi="宋体" w:eastAsia="宋体" w:cs="宋体"/>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9E3B0F"/>
    <w:multiLevelType w:val="multilevel"/>
    <w:tmpl w:val="2D9E3B0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E1D1C"/>
    <w:rsid w:val="090E2F79"/>
    <w:rsid w:val="0C6433BC"/>
    <w:rsid w:val="1ED95221"/>
    <w:rsid w:val="28E84B02"/>
    <w:rsid w:val="610D0751"/>
    <w:rsid w:val="6D6F1632"/>
    <w:rsid w:val="6F8F0E00"/>
    <w:rsid w:val="777768B9"/>
    <w:rsid w:val="7F66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1440</Words>
  <Characters>1518</Characters>
  <Lines>0</Lines>
  <Paragraphs>0</Paragraphs>
  <TotalTime>5</TotalTime>
  <ScaleCrop>false</ScaleCrop>
  <LinksUpToDate>false</LinksUpToDate>
  <CharactersWithSpaces>1526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2025-02-14T10:44:00Z</dcterms:created>
  <dc:creator>Huawei</dc:creator>
  <cp:lastModifiedBy>微信用户</cp:lastModifiedBy>
  <dcterms:modified xsi:type="dcterms:W3CDTF">2025-06-17T09:37:28Z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eyJoZGlkIjoiNWY3MDIzYjNhZGI4OTc1OWM1N2MyMmQ4MDllMTUwZTMiLCJ1c2VySWQiOiIxMjgzOTY3ODA4In0=</vt:lpwstr>
  </property>
  <property fmtid="{D5CDD505-2E9C-101B-9397-08002B2CF9AE}" pid="4" name="ICV">
    <vt:lpwstr>1DD7DB40726B40F19994F672491B7C52_13</vt:lpwstr>
  </property>
</Properties>
</file>