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0422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36"/>
          <w:szCs w:val="36"/>
          <w:lang w:val="en-US" w:eastAsia="zh-CN"/>
        </w:rPr>
      </w:pPr>
    </w:p>
    <w:p w14:paraId="69C6E4B9">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简体" w:hAnsi="方正小标宋简体" w:eastAsia="方正小标宋简体" w:cs="方正小标宋简体"/>
          <w:b w:val="0"/>
          <w:bCs w:val="0"/>
          <w:color w:val="000000"/>
          <w:sz w:val="36"/>
          <w:szCs w:val="36"/>
          <w:lang w:val="en-US" w:eastAsia="zh-CN"/>
        </w:rPr>
        <w:t>莎车县亚喀艾日克乡10村土地平整及配套设施建设项目施工-监理（二检）</w:t>
      </w:r>
      <w:r>
        <w:rPr>
          <w:rFonts w:hint="eastAsia" w:ascii="方正小标宋简体" w:hAnsi="方正小标宋简体" w:eastAsia="方正小标宋简体" w:cs="方正小标宋简体"/>
          <w:b w:val="0"/>
          <w:bCs w:val="0"/>
          <w:color w:val="000000"/>
          <w:sz w:val="36"/>
          <w:szCs w:val="36"/>
          <w:lang w:eastAsia="zh-CN"/>
        </w:rPr>
        <w:t>“政采云”在线询价要求</w:t>
      </w:r>
    </w:p>
    <w:p w14:paraId="6AD7C016">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28"/>
          <w:szCs w:val="28"/>
        </w:rPr>
      </w:pPr>
    </w:p>
    <w:p w14:paraId="17F2BDFD">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一、招标条件</w:t>
      </w:r>
    </w:p>
    <w:p w14:paraId="0F6DCF0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auto"/>
          <w:sz w:val="28"/>
          <w:szCs w:val="28"/>
          <w:lang w:eastAsia="zh-CN"/>
        </w:rPr>
      </w:pPr>
      <w:r>
        <w:rPr>
          <w:rFonts w:hint="eastAsia" w:ascii="方正仿宋简体" w:hAnsi="方正仿宋简体" w:eastAsia="方正仿宋简体" w:cs="方正仿宋简体"/>
          <w:b w:val="0"/>
          <w:bCs w:val="0"/>
          <w:color w:val="000000"/>
          <w:sz w:val="28"/>
          <w:szCs w:val="28"/>
          <w:lang w:val="en-US" w:eastAsia="zh-CN"/>
        </w:rPr>
        <w:t>莎车县亚喀艾日克乡10村土地平整及配套设施建设项目施工监理（二检）,已由莎</w:t>
      </w:r>
      <w:r>
        <w:rPr>
          <w:rFonts w:hint="eastAsia" w:ascii="方正仿宋简体" w:hAnsi="方正仿宋简体" w:eastAsia="方正仿宋简体" w:cs="方正仿宋简体"/>
          <w:b w:val="0"/>
          <w:bCs w:val="0"/>
          <w:color w:val="000000"/>
          <w:sz w:val="28"/>
          <w:szCs w:val="28"/>
          <w:lang w:eastAsia="zh-CN"/>
        </w:rPr>
        <w:t>车县</w:t>
      </w:r>
      <w:r>
        <w:rPr>
          <w:rFonts w:hint="eastAsia" w:ascii="方正仿宋简体" w:hAnsi="方正仿宋简体" w:eastAsia="方正仿宋简体" w:cs="方正仿宋简体"/>
          <w:b w:val="0"/>
          <w:bCs w:val="0"/>
          <w:color w:val="000000"/>
          <w:sz w:val="28"/>
          <w:szCs w:val="28"/>
        </w:rPr>
        <w:t>发展和改革委员会</w:t>
      </w:r>
      <w:r>
        <w:rPr>
          <w:rFonts w:hint="eastAsia" w:ascii="方正仿宋简体" w:hAnsi="方正仿宋简体" w:eastAsia="方正仿宋简体" w:cs="方正仿宋简体"/>
          <w:b w:val="0"/>
          <w:bCs w:val="0"/>
          <w:color w:val="000000"/>
          <w:sz w:val="28"/>
          <w:szCs w:val="28"/>
          <w:lang w:val="en-US" w:eastAsia="zh-CN"/>
        </w:rPr>
        <w:t>下达</w:t>
      </w:r>
      <w:r>
        <w:rPr>
          <w:rFonts w:hint="eastAsia" w:ascii="方正仿宋简体" w:hAnsi="方正仿宋简体" w:eastAsia="方正仿宋简体" w:cs="方正仿宋简体"/>
          <w:b w:val="0"/>
          <w:bCs w:val="0"/>
          <w:color w:val="000000"/>
          <w:sz w:val="28"/>
          <w:szCs w:val="28"/>
          <w:lang w:eastAsia="zh-CN"/>
        </w:rPr>
        <w:t>莎发改</w:t>
      </w:r>
      <w:r>
        <w:rPr>
          <w:rFonts w:hint="eastAsia" w:ascii="方正仿宋简体" w:hAnsi="方正仿宋简体" w:eastAsia="方正仿宋简体" w:cs="方正仿宋简体"/>
          <w:b w:val="0"/>
          <w:bCs w:val="0"/>
          <w:color w:val="000000"/>
          <w:sz w:val="28"/>
          <w:szCs w:val="28"/>
        </w:rPr>
        <w:t>﹝202</w:t>
      </w:r>
      <w:r>
        <w:rPr>
          <w:rFonts w:hint="eastAsia" w:ascii="方正仿宋简体" w:hAnsi="方正仿宋简体" w:eastAsia="方正仿宋简体" w:cs="方正仿宋简体"/>
          <w:b w:val="0"/>
          <w:bCs w:val="0"/>
          <w:color w:val="000000"/>
          <w:sz w:val="28"/>
          <w:szCs w:val="28"/>
          <w:lang w:val="en-US" w:eastAsia="zh-CN"/>
        </w:rPr>
        <w:t>5</w:t>
      </w:r>
      <w:r>
        <w:rPr>
          <w:rFonts w:hint="eastAsia" w:ascii="方正仿宋简体" w:hAnsi="方正仿宋简体" w:eastAsia="方正仿宋简体" w:cs="方正仿宋简体"/>
          <w:b w:val="0"/>
          <w:bCs w:val="0"/>
          <w:color w:val="000000"/>
          <w:sz w:val="28"/>
          <w:szCs w:val="28"/>
        </w:rPr>
        <w:t>﹞</w:t>
      </w:r>
      <w:r>
        <w:rPr>
          <w:rFonts w:hint="eastAsia" w:ascii="方正仿宋简体" w:hAnsi="方正仿宋简体" w:eastAsia="方正仿宋简体" w:cs="方正仿宋简体"/>
          <w:b w:val="0"/>
          <w:bCs w:val="0"/>
          <w:color w:val="000000"/>
          <w:sz w:val="28"/>
          <w:szCs w:val="28"/>
          <w:lang w:val="en-US" w:eastAsia="zh-CN"/>
        </w:rPr>
        <w:t>53</w:t>
      </w:r>
      <w:r>
        <w:rPr>
          <w:rFonts w:hint="eastAsia" w:ascii="方正仿宋简体" w:hAnsi="方正仿宋简体" w:eastAsia="方正仿宋简体" w:cs="方正仿宋简体"/>
          <w:b w:val="0"/>
          <w:bCs w:val="0"/>
          <w:color w:val="000000"/>
          <w:sz w:val="28"/>
          <w:szCs w:val="28"/>
        </w:rPr>
        <w:t>号</w:t>
      </w:r>
      <w:r>
        <w:rPr>
          <w:rFonts w:hint="eastAsia" w:ascii="方正仿宋简体" w:hAnsi="方正仿宋简体" w:eastAsia="方正仿宋简体" w:cs="方正仿宋简体"/>
          <w:b w:val="0"/>
          <w:bCs w:val="0"/>
          <w:color w:val="000000"/>
          <w:sz w:val="28"/>
          <w:szCs w:val="28"/>
          <w:lang w:eastAsia="zh-CN"/>
        </w:rPr>
        <w:t>文件</w:t>
      </w:r>
      <w:r>
        <w:rPr>
          <w:rFonts w:hint="eastAsia" w:ascii="方正仿宋简体" w:hAnsi="方正仿宋简体" w:eastAsia="方正仿宋简体" w:cs="方正仿宋简体"/>
          <w:b w:val="0"/>
          <w:bCs w:val="0"/>
          <w:color w:val="000000"/>
          <w:sz w:val="28"/>
          <w:szCs w:val="28"/>
        </w:rPr>
        <w:t>批准建设</w:t>
      </w:r>
      <w:r>
        <w:rPr>
          <w:rFonts w:hint="eastAsia" w:ascii="方正仿宋简体" w:hAnsi="方正仿宋简体" w:eastAsia="方正仿宋简体" w:cs="方正仿宋简体"/>
          <w:b w:val="0"/>
          <w:bCs w:val="0"/>
          <w:color w:val="000000"/>
          <w:sz w:val="28"/>
          <w:szCs w:val="28"/>
          <w:lang w:eastAsia="zh-CN"/>
        </w:rPr>
        <w:t>，</w:t>
      </w:r>
      <w:r>
        <w:rPr>
          <w:rFonts w:hint="eastAsia" w:ascii="方正仿宋简体" w:hAnsi="方正仿宋简体" w:eastAsia="方正仿宋简体" w:cs="方正仿宋简体"/>
          <w:b w:val="0"/>
          <w:bCs w:val="0"/>
          <w:color w:val="000000"/>
          <w:sz w:val="28"/>
          <w:szCs w:val="28"/>
        </w:rPr>
        <w:t>项目资金来源为</w:t>
      </w:r>
      <w:r>
        <w:rPr>
          <w:rFonts w:hint="eastAsia" w:ascii="方正仿宋简体" w:hAnsi="方正仿宋简体" w:eastAsia="方正仿宋简体" w:cs="方正仿宋简体"/>
          <w:b w:val="0"/>
          <w:bCs w:val="0"/>
          <w:color w:val="000000"/>
          <w:sz w:val="28"/>
          <w:szCs w:val="28"/>
          <w:lang w:val="en-US" w:eastAsia="zh-CN"/>
        </w:rPr>
        <w:t>财政衔接推进乡村振兴补助资金</w:t>
      </w:r>
      <w:r>
        <w:rPr>
          <w:rFonts w:hint="eastAsia" w:ascii="方正仿宋简体" w:hAnsi="方正仿宋简体" w:eastAsia="方正仿宋简体" w:cs="方正仿宋简体"/>
          <w:b w:val="0"/>
          <w:bCs w:val="0"/>
          <w:color w:val="000000"/>
          <w:sz w:val="28"/>
          <w:szCs w:val="28"/>
        </w:rPr>
        <w:t>。招标人为</w:t>
      </w:r>
      <w:r>
        <w:rPr>
          <w:rFonts w:hint="eastAsia" w:ascii="方正仿宋简体" w:hAnsi="方正仿宋简体" w:eastAsia="方正仿宋简体" w:cs="方正仿宋简体"/>
          <w:b w:val="0"/>
          <w:bCs w:val="0"/>
          <w:color w:val="000000"/>
          <w:sz w:val="28"/>
          <w:szCs w:val="28"/>
          <w:lang w:eastAsia="zh-CN"/>
        </w:rPr>
        <w:t>莎车县</w:t>
      </w:r>
      <w:r>
        <w:rPr>
          <w:rFonts w:hint="eastAsia" w:ascii="方正仿宋简体" w:hAnsi="方正仿宋简体" w:eastAsia="方正仿宋简体" w:cs="方正仿宋简体"/>
          <w:b w:val="0"/>
          <w:bCs w:val="0"/>
          <w:color w:val="000000"/>
          <w:sz w:val="28"/>
          <w:szCs w:val="28"/>
          <w:lang w:val="en-US" w:eastAsia="zh-CN"/>
        </w:rPr>
        <w:t>亚喀艾日克乡</w:t>
      </w:r>
      <w:r>
        <w:rPr>
          <w:rFonts w:hint="eastAsia" w:ascii="方正仿宋简体" w:hAnsi="方正仿宋简体" w:eastAsia="方正仿宋简体" w:cs="方正仿宋简体"/>
          <w:b w:val="0"/>
          <w:bCs w:val="0"/>
          <w:color w:val="000000"/>
          <w:sz w:val="28"/>
          <w:szCs w:val="28"/>
          <w:lang w:eastAsia="zh-CN"/>
        </w:rPr>
        <w:t>人民政府</w:t>
      </w:r>
      <w:r>
        <w:rPr>
          <w:rFonts w:hint="eastAsia" w:ascii="方正仿宋简体" w:hAnsi="方正仿宋简体" w:eastAsia="方正仿宋简体" w:cs="方正仿宋简体"/>
          <w:b w:val="0"/>
          <w:bCs w:val="0"/>
          <w:color w:val="000000"/>
          <w:sz w:val="28"/>
          <w:szCs w:val="28"/>
        </w:rPr>
        <w:t>。本项目已具备招标条件，现进行</w:t>
      </w:r>
      <w:r>
        <w:rPr>
          <w:rFonts w:hint="eastAsia" w:ascii="方正仿宋简体" w:hAnsi="方正仿宋简体" w:eastAsia="方正仿宋简体" w:cs="方正仿宋简体"/>
          <w:b w:val="0"/>
          <w:bCs w:val="0"/>
          <w:color w:val="000000"/>
          <w:sz w:val="28"/>
          <w:szCs w:val="28"/>
          <w:lang w:eastAsia="zh-CN"/>
        </w:rPr>
        <w:t>“政采云”在线询价。</w:t>
      </w:r>
    </w:p>
    <w:p w14:paraId="77C4ECBF">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28"/>
          <w:szCs w:val="28"/>
        </w:rPr>
      </w:pPr>
      <w:r>
        <w:rPr>
          <w:rFonts w:hint="eastAsia" w:ascii="方正仿宋简体" w:hAnsi="方正仿宋简体" w:eastAsia="方正仿宋简体" w:cs="方正仿宋简体"/>
          <w:b/>
          <w:bCs/>
          <w:color w:val="auto"/>
          <w:sz w:val="28"/>
          <w:szCs w:val="28"/>
        </w:rPr>
        <w:t>二、项目概况与招标范围</w:t>
      </w:r>
    </w:p>
    <w:p w14:paraId="31F58CE2">
      <w:pPr>
        <w:keepNext w:val="0"/>
        <w:keepLines w:val="0"/>
        <w:pageBreakBefore w:val="0"/>
        <w:widowControl w:val="0"/>
        <w:kinsoku/>
        <w:wordWrap/>
        <w:overflowPunct/>
        <w:topLinePunct w:val="0"/>
        <w:autoSpaceDE/>
        <w:autoSpaceDN/>
        <w:bidi w:val="0"/>
        <w:adjustRightInd/>
        <w:snapToGrid/>
        <w:spacing w:line="600" w:lineRule="exact"/>
        <w:ind w:left="0" w:leftChars="0" w:firstLine="730" w:firstLineChars="261"/>
        <w:textAlignment w:val="auto"/>
        <w:outlineLvl w:val="9"/>
        <w:rPr>
          <w:rFonts w:hint="eastAsia" w:ascii="方正仿宋简体" w:hAnsi="方正仿宋简体" w:eastAsia="方正仿宋简体" w:cs="方正仿宋简体"/>
          <w:b w:val="0"/>
          <w:bCs w:val="0"/>
          <w:color w:val="auto"/>
          <w:sz w:val="28"/>
          <w:szCs w:val="28"/>
        </w:rPr>
      </w:pPr>
      <w:r>
        <w:rPr>
          <w:rFonts w:hint="eastAsia" w:ascii="方正仿宋简体" w:hAnsi="方正仿宋简体" w:eastAsia="方正仿宋简体" w:cs="方正仿宋简体"/>
          <w:b w:val="0"/>
          <w:bCs w:val="0"/>
          <w:color w:val="auto"/>
          <w:sz w:val="28"/>
          <w:szCs w:val="28"/>
        </w:rPr>
        <w:t>项目规模：</w:t>
      </w:r>
    </w:p>
    <w:p w14:paraId="352A489B">
      <w:pPr>
        <w:keepNext w:val="0"/>
        <w:keepLines w:val="0"/>
        <w:pageBreakBefore w:val="0"/>
        <w:widowControl w:val="0"/>
        <w:kinsoku/>
        <w:wordWrap/>
        <w:overflowPunct/>
        <w:topLinePunct w:val="0"/>
        <w:autoSpaceDE/>
        <w:autoSpaceDN/>
        <w:bidi w:val="0"/>
        <w:adjustRightInd/>
        <w:snapToGrid/>
        <w:spacing w:line="600" w:lineRule="exact"/>
        <w:ind w:left="0" w:leftChars="0" w:firstLine="730" w:firstLineChars="261"/>
        <w:textAlignment w:val="auto"/>
        <w:outlineLvl w:val="9"/>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为亚喀艾日克乡10村平整土地1150亩，配套渠系等，亩均投资1500元；配套防渗渠4.279公里（含渠系建筑物），渠道流量为0.3m³/s，每公里投资90万元，计划总投资557.61万元。</w:t>
      </w:r>
    </w:p>
    <w:p w14:paraId="61D35174">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sz w:val="20"/>
          <w:szCs w:val="22"/>
          <w:lang w:val="en-US" w:eastAsia="zh-CN"/>
        </w:rPr>
      </w:pPr>
      <w:r>
        <w:rPr>
          <w:rFonts w:hint="eastAsia" w:ascii="Times New Roman" w:hAnsi="Times New Roman" w:eastAsia="方正仿宋简体" w:cs="方正仿宋简体"/>
          <w:spacing w:val="6"/>
          <w:sz w:val="28"/>
          <w:szCs w:val="36"/>
          <w:lang w:val="en-US" w:eastAsia="zh-CN"/>
        </w:rPr>
        <w:t>财政预算：557.61万元，资金来源为</w:t>
      </w:r>
      <w:r>
        <w:rPr>
          <w:rFonts w:hint="eastAsia" w:ascii="方正仿宋简体" w:hAnsi="方正仿宋简体" w:eastAsia="方正仿宋简体" w:cs="方正仿宋简体"/>
          <w:b w:val="0"/>
          <w:bCs w:val="0"/>
          <w:color w:val="000000"/>
          <w:sz w:val="28"/>
          <w:szCs w:val="28"/>
          <w:lang w:val="en-US" w:eastAsia="zh-CN"/>
        </w:rPr>
        <w:t>财政衔接推进乡村振兴补助资金</w:t>
      </w:r>
    </w:p>
    <w:p w14:paraId="3C0655A3">
      <w:pPr>
        <w:keepNext w:val="0"/>
        <w:keepLines w:val="0"/>
        <w:pageBreakBefore w:val="0"/>
        <w:widowControl w:val="0"/>
        <w:kinsoku/>
        <w:wordWrap/>
        <w:overflowPunct/>
        <w:topLinePunct w:val="0"/>
        <w:autoSpaceDE/>
        <w:autoSpaceDN/>
        <w:bidi w:val="0"/>
        <w:adjustRightInd/>
        <w:snapToGrid/>
        <w:spacing w:line="600" w:lineRule="exact"/>
        <w:ind w:left="0" w:leftChars="0" w:firstLine="730" w:firstLineChars="261"/>
        <w:textAlignment w:val="auto"/>
        <w:outlineLvl w:val="9"/>
        <w:rPr>
          <w:rFonts w:hint="eastAsia" w:ascii="方正仿宋简体" w:hAnsi="方正仿宋简体" w:eastAsia="方正仿宋简体" w:cs="方正仿宋简体"/>
          <w:b w:val="0"/>
          <w:bCs w:val="0"/>
          <w:color w:val="auto"/>
          <w:sz w:val="28"/>
          <w:szCs w:val="28"/>
          <w:lang w:eastAsia="zh-CN"/>
        </w:rPr>
      </w:pPr>
      <w:r>
        <w:rPr>
          <w:rFonts w:hint="eastAsia" w:ascii="方正仿宋简体" w:hAnsi="方正仿宋简体" w:eastAsia="方正仿宋简体" w:cs="方正仿宋简体"/>
          <w:b w:val="0"/>
          <w:bCs w:val="0"/>
          <w:color w:val="auto"/>
          <w:sz w:val="28"/>
          <w:szCs w:val="28"/>
        </w:rPr>
        <w:t>招标内容与范围：本</w:t>
      </w:r>
      <w:r>
        <w:rPr>
          <w:rFonts w:hint="eastAsia" w:ascii="方正仿宋简体" w:hAnsi="方正仿宋简体" w:eastAsia="方正仿宋简体" w:cs="方正仿宋简体"/>
          <w:b w:val="0"/>
          <w:bCs w:val="0"/>
          <w:color w:val="000000"/>
          <w:sz w:val="28"/>
          <w:szCs w:val="28"/>
          <w:lang w:eastAsia="zh-CN"/>
        </w:rPr>
        <w:t>在线询价</w:t>
      </w:r>
      <w:r>
        <w:rPr>
          <w:rFonts w:hint="eastAsia" w:ascii="方正仿宋简体" w:hAnsi="方正仿宋简体" w:eastAsia="方正仿宋简体" w:cs="方正仿宋简体"/>
          <w:b w:val="0"/>
          <w:bCs w:val="0"/>
          <w:color w:val="auto"/>
          <w:sz w:val="28"/>
          <w:szCs w:val="28"/>
        </w:rPr>
        <w:t xml:space="preserve">项目划分为 </w:t>
      </w:r>
      <w:r>
        <w:rPr>
          <w:rFonts w:hint="eastAsia" w:ascii="方正仿宋简体" w:hAnsi="方正仿宋简体" w:eastAsia="方正仿宋简体" w:cs="方正仿宋简体"/>
          <w:b w:val="0"/>
          <w:bCs w:val="0"/>
          <w:color w:val="auto"/>
          <w:sz w:val="28"/>
          <w:szCs w:val="28"/>
          <w:lang w:val="en-US" w:eastAsia="zh-CN"/>
        </w:rPr>
        <w:t>1</w:t>
      </w:r>
      <w:r>
        <w:rPr>
          <w:rFonts w:hint="eastAsia" w:ascii="方正仿宋简体" w:hAnsi="方正仿宋简体" w:eastAsia="方正仿宋简体" w:cs="方正仿宋简体"/>
          <w:b w:val="0"/>
          <w:bCs w:val="0"/>
          <w:color w:val="auto"/>
          <w:sz w:val="28"/>
          <w:szCs w:val="28"/>
        </w:rPr>
        <w:t>个标段，本次</w:t>
      </w:r>
      <w:r>
        <w:rPr>
          <w:rFonts w:hint="eastAsia" w:ascii="方正仿宋简体" w:hAnsi="方正仿宋简体" w:eastAsia="方正仿宋简体" w:cs="方正仿宋简体"/>
          <w:b w:val="0"/>
          <w:bCs w:val="0"/>
          <w:color w:val="auto"/>
          <w:sz w:val="28"/>
          <w:szCs w:val="28"/>
          <w:lang w:val="en-US" w:eastAsia="zh-CN"/>
        </w:rPr>
        <w:t>询价</w:t>
      </w:r>
      <w:r>
        <w:rPr>
          <w:rFonts w:hint="eastAsia" w:ascii="方正仿宋简体" w:hAnsi="方正仿宋简体" w:eastAsia="方正仿宋简体" w:cs="方正仿宋简体"/>
          <w:b w:val="0"/>
          <w:bCs w:val="0"/>
          <w:color w:val="auto"/>
          <w:sz w:val="28"/>
          <w:szCs w:val="28"/>
        </w:rPr>
        <w:t>为其中的</w:t>
      </w:r>
      <w:r>
        <w:rPr>
          <w:rFonts w:hint="eastAsia" w:ascii="方正仿宋简体" w:hAnsi="方正仿宋简体" w:eastAsia="方正仿宋简体" w:cs="方正仿宋简体"/>
          <w:b w:val="0"/>
          <w:bCs w:val="0"/>
          <w:color w:val="auto"/>
          <w:sz w:val="28"/>
          <w:szCs w:val="28"/>
          <w:lang w:eastAsia="zh-CN"/>
        </w:rPr>
        <w:t>：</w:t>
      </w:r>
      <w:r>
        <w:rPr>
          <w:rFonts w:hint="eastAsia" w:ascii="方正仿宋简体" w:hAnsi="方正仿宋简体" w:eastAsia="方正仿宋简体" w:cs="方正仿宋简体"/>
          <w:b w:val="0"/>
          <w:bCs w:val="0"/>
          <w:color w:val="000000"/>
          <w:sz w:val="28"/>
          <w:szCs w:val="28"/>
          <w:lang w:val="en-US" w:eastAsia="zh-CN"/>
        </w:rPr>
        <w:t>莎车县亚喀艾日克乡10村土地平整及配套设施建设项目施工-监理（二检）</w:t>
      </w:r>
      <w:r>
        <w:rPr>
          <w:rFonts w:hint="eastAsia" w:ascii="方正仿宋简体" w:hAnsi="方正仿宋简体" w:eastAsia="方正仿宋简体" w:cs="方正仿宋简体"/>
          <w:b w:val="0"/>
          <w:bCs w:val="0"/>
          <w:color w:val="auto"/>
          <w:sz w:val="28"/>
          <w:szCs w:val="28"/>
          <w:lang w:eastAsia="zh-CN"/>
        </w:rPr>
        <w:t>。</w:t>
      </w:r>
    </w:p>
    <w:p w14:paraId="1F3616B2">
      <w:pPr>
        <w:keepNext w:val="0"/>
        <w:keepLines w:val="0"/>
        <w:pageBreakBefore w:val="0"/>
        <w:widowControl w:val="0"/>
        <w:kinsoku/>
        <w:wordWrap/>
        <w:overflowPunct/>
        <w:topLinePunct w:val="0"/>
        <w:autoSpaceDE/>
        <w:autoSpaceDN/>
        <w:bidi w:val="0"/>
        <w:adjustRightInd/>
        <w:snapToGrid/>
        <w:spacing w:line="600" w:lineRule="exact"/>
        <w:ind w:left="0" w:leftChars="0" w:firstLine="730" w:firstLineChars="261"/>
        <w:textAlignment w:val="auto"/>
        <w:outlineLvl w:val="9"/>
        <w:rPr>
          <w:rFonts w:hint="eastAsia" w:ascii="方正仿宋简体" w:hAnsi="方正仿宋简体" w:eastAsia="方正仿宋简体" w:cs="方正仿宋简体"/>
          <w:b w:val="0"/>
          <w:bCs w:val="0"/>
          <w:color w:val="auto"/>
          <w:sz w:val="28"/>
          <w:szCs w:val="28"/>
        </w:rPr>
      </w:pPr>
      <w:r>
        <w:rPr>
          <w:rFonts w:hint="eastAsia" w:ascii="方正仿宋简体" w:hAnsi="方正仿宋简体" w:eastAsia="方正仿宋简体" w:cs="方正仿宋简体"/>
          <w:b w:val="0"/>
          <w:bCs w:val="0"/>
          <w:color w:val="auto"/>
          <w:sz w:val="28"/>
          <w:szCs w:val="28"/>
        </w:rPr>
        <w:t>包括工程所有土建、其他临时辅助工程施工的全过程监理。自合同签订之日起至工程竣工验收</w:t>
      </w:r>
      <w:r>
        <w:rPr>
          <w:rFonts w:hint="eastAsia" w:ascii="方正仿宋简体" w:hAnsi="方正仿宋简体" w:eastAsia="方正仿宋简体" w:cs="方正仿宋简体"/>
          <w:b w:val="0"/>
          <w:bCs w:val="0"/>
          <w:color w:val="auto"/>
          <w:sz w:val="28"/>
          <w:szCs w:val="28"/>
          <w:lang w:eastAsia="zh-CN"/>
        </w:rPr>
        <w:t>合格</w:t>
      </w:r>
      <w:r>
        <w:rPr>
          <w:rFonts w:hint="eastAsia" w:ascii="方正仿宋简体" w:hAnsi="方正仿宋简体" w:eastAsia="方正仿宋简体" w:cs="方正仿宋简体"/>
          <w:b w:val="0"/>
          <w:bCs w:val="0"/>
          <w:color w:val="auto"/>
          <w:sz w:val="28"/>
          <w:szCs w:val="28"/>
        </w:rPr>
        <w:t>止。</w:t>
      </w:r>
    </w:p>
    <w:p w14:paraId="3957DAD9">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28"/>
          <w:szCs w:val="28"/>
        </w:rPr>
      </w:pPr>
      <w:r>
        <w:rPr>
          <w:rFonts w:hint="eastAsia" w:ascii="方正仿宋简体" w:hAnsi="方正仿宋简体" w:eastAsia="方正仿宋简体" w:cs="方正仿宋简体"/>
          <w:b/>
          <w:bCs/>
          <w:color w:val="000000"/>
          <w:sz w:val="28"/>
          <w:szCs w:val="28"/>
        </w:rPr>
        <w:t>三、投标人要求</w:t>
      </w:r>
    </w:p>
    <w:p w14:paraId="26841A3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highlight w:val="none"/>
          <w:lang w:val="en-US" w:eastAsia="zh-CN"/>
        </w:rPr>
        <w:t>1.投标人应具有独立法人资格（三证合一的营业执照）、</w:t>
      </w:r>
      <w:r>
        <w:rPr>
          <w:rFonts w:hint="eastAsia" w:ascii="方正仿宋简体" w:hAnsi="方正仿宋简体" w:eastAsia="方正仿宋简体" w:cs="方正仿宋简体"/>
          <w:b w:val="0"/>
          <w:bCs w:val="0"/>
          <w:color w:val="000000"/>
          <w:sz w:val="28"/>
          <w:szCs w:val="28"/>
          <w:lang w:val="en-US" w:eastAsia="zh-CN"/>
        </w:rPr>
        <w:t>工程监理企业综合资质和水利水电工程监理企业专业资质，具有承担本项目的监理能力。（提供相关资料扫描件并加盖单位公章）。</w:t>
      </w:r>
    </w:p>
    <w:p w14:paraId="6BF3F84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2.财务状况和商业信誉良好，在商业活动中没有违法记录(提供相关资料扫描件并加盖单位公章)。并在人员、设备、资金等方面具有承担本项目的监理能力，并在本县有办公场所和相关人员（需提交办公场所买受或租赁合同），能按照要求正常对项目进行监理。</w:t>
      </w:r>
    </w:p>
    <w:p w14:paraId="583FEB6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3.本项目不允许联合体投标。</w:t>
      </w:r>
    </w:p>
    <w:p w14:paraId="0E464C9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4.为不影响项目开工，中标后三日内必须由公司法人到场</w:t>
      </w:r>
    </w:p>
    <w:p w14:paraId="31FA369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签订监理合同。中标单位在与甲方签订合同时要求配备人员到场并持相关证件及社保由甲方现场查验，如不符合要求作废标处理。</w:t>
      </w:r>
    </w:p>
    <w:p w14:paraId="144B03A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5.人员要求：注册监理工程师一名、水利水电工程监理一名、市政工程专业监理工程师一名、设备专业监理工程师一名、资料员一名、现场监理员二名。</w:t>
      </w:r>
    </w:p>
    <w:p w14:paraId="7FFD2A4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6.提供监理工程师每月驻场不少于22日承诺；提供资料员、现场监理员至工程竣工前全勤在场承诺；（甲方将对备案在场监理人员进行核查如三次不在场，则视为无效响应）</w:t>
      </w:r>
    </w:p>
    <w:p w14:paraId="2ABCD2D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7.监理必须按照要求派驻人员常驻施工现场，随时对项目进度、质量、安全等进行监理，严格执行监理规范，按照监理日志定期提交甲方审阅，并对此项工作出承诺函保证。</w:t>
      </w:r>
    </w:p>
    <w:p w14:paraId="1508ACA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8.在监理费已审批但未按时支付到账的情况下，必须按照合同约定完成合同全部内容，否则视为违约。</w:t>
      </w:r>
    </w:p>
    <w:p w14:paraId="3AA1F96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信誉要求</w:t>
      </w:r>
    </w:p>
    <w:p w14:paraId="3B6D5D4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提供相关资料扫描件并加盖单位公章)；</w:t>
      </w:r>
    </w:p>
    <w:p w14:paraId="465C1E1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 xml:space="preserve">2.投标人未被“信用中国”网站（www.creditchina.gov.cn）或各级信用信息共享平台列入失信被执行人名单(提供相关资料扫描件并加盖单位公章)。 </w:t>
      </w:r>
    </w:p>
    <w:p w14:paraId="068E7D4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color w:val="000000"/>
          <w:sz w:val="28"/>
          <w:szCs w:val="28"/>
          <w:lang w:val="en-US" w:eastAsia="zh-CN"/>
        </w:rPr>
        <w:fldChar w:fldCharType="begin"/>
      </w:r>
      <w:r>
        <w:rPr>
          <w:rFonts w:hint="eastAsia" w:ascii="方正仿宋简体" w:hAnsi="方正仿宋简体" w:eastAsia="方正仿宋简体" w:cs="方正仿宋简体"/>
          <w:b w:val="0"/>
          <w:bCs w:val="0"/>
          <w:color w:val="000000"/>
          <w:sz w:val="28"/>
          <w:szCs w:val="28"/>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color w:val="000000"/>
          <w:sz w:val="28"/>
          <w:szCs w:val="28"/>
          <w:lang w:val="en-US" w:eastAsia="zh-CN"/>
        </w:rPr>
        <w:fldChar w:fldCharType="separate"/>
      </w:r>
      <w:r>
        <w:rPr>
          <w:rFonts w:hint="eastAsia" w:ascii="方正仿宋简体" w:hAnsi="方正仿宋简体" w:eastAsia="方正仿宋简体" w:cs="方正仿宋简体"/>
          <w:b w:val="0"/>
          <w:bCs w:val="0"/>
          <w:color w:val="000000"/>
          <w:sz w:val="28"/>
          <w:szCs w:val="28"/>
          <w:lang w:val="en-US" w:eastAsia="zh-CN"/>
        </w:rPr>
        <w:t>wenshu.court.gov.cn</w:t>
      </w:r>
      <w:r>
        <w:rPr>
          <w:rFonts w:hint="eastAsia" w:ascii="方正仿宋简体" w:hAnsi="方正仿宋简体" w:eastAsia="方正仿宋简体" w:cs="方正仿宋简体"/>
          <w:b w:val="0"/>
          <w:bCs w:val="0"/>
          <w:color w:val="000000"/>
          <w:sz w:val="28"/>
          <w:szCs w:val="28"/>
          <w:lang w:val="en-US" w:eastAsia="zh-CN"/>
        </w:rPr>
        <w:fldChar w:fldCharType="end"/>
      </w:r>
      <w:r>
        <w:rPr>
          <w:rFonts w:hint="eastAsia" w:ascii="方正仿宋简体" w:hAnsi="方正仿宋简体" w:eastAsia="方正仿宋简体" w:cs="方正仿宋简体"/>
          <w:b w:val="0"/>
          <w:bCs w:val="0"/>
          <w:color w:val="000000"/>
          <w:sz w:val="28"/>
          <w:szCs w:val="28"/>
          <w:lang w:val="en-US" w:eastAsia="zh-CN"/>
        </w:rPr>
        <w:t xml:space="preserve">检索的查询结果为准）(提供相关资料扫描件并加盖单位公章)。 </w:t>
      </w:r>
    </w:p>
    <w:p w14:paraId="60F6996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4.未被中国政府采购网( </w:t>
      </w:r>
      <w:r>
        <w:rPr>
          <w:rFonts w:hint="eastAsia" w:ascii="方正仿宋简体" w:hAnsi="方正仿宋简体" w:eastAsia="方正仿宋简体" w:cs="方正仿宋简体"/>
          <w:b w:val="0"/>
          <w:bCs w:val="0"/>
          <w:color w:val="000000"/>
          <w:sz w:val="28"/>
          <w:szCs w:val="28"/>
          <w:lang w:val="en-US" w:eastAsia="zh-CN"/>
        </w:rPr>
        <w:drawing>
          <wp:inline distT="0" distB="0" distL="114300" distR="114300">
            <wp:extent cx="190500" cy="14287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简体" w:hAnsi="方正仿宋简体" w:eastAsia="方正仿宋简体" w:cs="方正仿宋简体"/>
          <w:b w:val="0"/>
          <w:bCs w:val="0"/>
          <w:color w:val="000000"/>
          <w:sz w:val="28"/>
          <w:szCs w:val="28"/>
          <w:lang w:val="en-US" w:eastAsia="zh-CN"/>
        </w:rPr>
        <w:t xml:space="preserve">www.ccgp.gov.cn ) 列入政府采购严重违法失信行为记录名单或被财政部门禁止参加政府采购活动时间及地域范围内(提供相关资料扫描件并加盖单位公章)。 </w:t>
      </w:r>
    </w:p>
    <w:p w14:paraId="4D7080E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5.投标人未被依法暂停或者取消投标资格；未被责令停业，暂扣或者吊销执照，或吊销资质证书；未处于进入清算程序，或被宣告破产，或其他丧失履约能力的情形。</w:t>
      </w:r>
    </w:p>
    <w:p w14:paraId="207F6B7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6.本项目不接受在“全国建筑市场监管公共服务平台’黑名单内限制投标的企业投标。投标企业及人员须在建筑市场监管平台登记备案,未纳入建筑市场监管平台的潜在投标人不得参加本项目招投标活动(提供相关资料扫描件并加盖单位公章)。</w:t>
      </w:r>
    </w:p>
    <w:p w14:paraId="7911D05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8.为了避免低价低质恶性竞争,该项目不得低于80%，请实事求是报价,甲方有权对所有供应商报价组织专家论</w:t>
      </w:r>
      <w:bookmarkStart w:id="0" w:name="_GoBack"/>
      <w:bookmarkEnd w:id="0"/>
      <w:r>
        <w:rPr>
          <w:rFonts w:hint="eastAsia" w:ascii="方正仿宋简体" w:hAnsi="方正仿宋简体" w:eastAsia="方正仿宋简体" w:cs="方正仿宋简体"/>
          <w:b w:val="0"/>
          <w:bCs w:val="0"/>
          <w:color w:val="000000"/>
          <w:sz w:val="28"/>
          <w:szCs w:val="28"/>
          <w:lang w:val="en-US" w:eastAsia="zh-CN"/>
        </w:rPr>
        <w:t>证，如有违反低价恶意竞标,一律按无效标处理（如缴纳了履约保证金，将不予退还）,并上报上级采购办和相关部门及采购平台进行处理。</w:t>
      </w:r>
    </w:p>
    <w:p w14:paraId="6DE6F048">
      <w:pPr>
        <w:rPr>
          <w:rFonts w:hint="eastAsia" w:ascii="方正仿宋简体" w:hAnsi="方正仿宋简体" w:eastAsia="方正仿宋简体" w:cs="方正仿宋简体"/>
          <w:b w:val="0"/>
          <w:bCs w:val="0"/>
          <w:color w:val="000000"/>
          <w:sz w:val="28"/>
          <w:szCs w:val="28"/>
          <w:lang w:val="en-US" w:eastAsia="zh-CN"/>
        </w:rPr>
      </w:pPr>
    </w:p>
    <w:p w14:paraId="2FDC2DA4">
      <w:pPr>
        <w:rPr>
          <w:rFonts w:hint="eastAsia" w:ascii="方正仿宋简体" w:hAnsi="方正仿宋简体" w:eastAsia="方正仿宋简体" w:cs="方正仿宋简体"/>
          <w:b w:val="0"/>
          <w:bCs w:val="0"/>
          <w:color w:val="000000"/>
          <w:sz w:val="28"/>
          <w:szCs w:val="28"/>
          <w:lang w:val="en-US"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zRmMDc1ZGZiY2QxYzBlYzU3NDA5ZDhkYzQ1OTIifQ=="/>
  </w:docVars>
  <w:rsids>
    <w:rsidRoot w:val="5E4C527E"/>
    <w:rsid w:val="06C60112"/>
    <w:rsid w:val="11D93F8F"/>
    <w:rsid w:val="12CB7A77"/>
    <w:rsid w:val="49DC0EC2"/>
    <w:rsid w:val="4BEA1D2D"/>
    <w:rsid w:val="4DFA4A40"/>
    <w:rsid w:val="5E4C527E"/>
    <w:rsid w:val="5F501E4B"/>
    <w:rsid w:val="7156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qFormat/>
    <w:uiPriority w:val="0"/>
    <w:pPr>
      <w:adjustRightInd w:val="0"/>
      <w:spacing w:line="312" w:lineRule="atLeast"/>
      <w:ind w:left="420" w:hanging="420"/>
      <w:textAlignment w:val="baseline"/>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1643</Words>
  <Characters>1749</Characters>
  <Lines>0</Lines>
  <Paragraphs>0</Paragraphs>
  <TotalTime>0</TotalTime>
  <ScaleCrop>false</ScaleCrop>
  <LinksUpToDate>false</LinksUpToDate>
  <CharactersWithSpaces>1756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2024-03-16T04:22:00Z</dcterms:created>
  <dc:creator>请叫我郭仙森</dc:creator>
  <cp:lastModifiedBy>残梦重生</cp:lastModifiedBy>
  <cp:lastPrinted>2025-02-19T14:34:00Z</cp:lastPrinted>
  <dcterms:modified xsi:type="dcterms:W3CDTF">2025-03-09T08:14:07Z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A0A438139107406C9A81DBBDC996C4F3_11</vt:lpwstr>
  </property>
  <property fmtid="{D5CDD505-2E9C-101B-9397-08002B2CF9AE}" pid="4" name="KSOTemplateDocerSaveRecord">
    <vt:lpwstr>eyJoZGlkIjoiNTgwYzRmMDc1ZGZiY2QxYzBlYzU3NDA5ZDhkYzQ1OTIiLCJ1c2VySWQiOiI2Mjc4NjA5NzAifQ==</vt:lpwstr>
  </property>
</Properties>
</file>