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429C8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line="620" w:lineRule="exact"/>
        <w:jc w:val="center"/>
        <w:textAlignment w:val="baseline"/>
        <w:rPr>
          <w:rFonts w:hint="default" w:ascii="Times New Roman" w:hAnsi="Times New Roman" w:eastAsia="方正小标宋_GBK" w:cs="Times New Roman"/>
          <w:sz w:val="40"/>
          <w:szCs w:val="40"/>
          <w:lang w:val="en-US" w:eastAsia="zh-CN"/>
        </w:rPr>
      </w:pPr>
      <w:bookmarkStart w:id="0" w:name="_GoBack"/>
      <w:r>
        <w:rPr>
          <w:rFonts w:hint="default" w:ascii="Times New Roman" w:hAnsi="Times New Roman" w:eastAsia="方正小标宋_GBK" w:cs="Times New Roman"/>
          <w:sz w:val="40"/>
          <w:szCs w:val="40"/>
          <w:lang w:val="en-US" w:eastAsia="zh-CN"/>
        </w:rPr>
        <w:t>莎车县纺织园区35千伏输变电工程</w:t>
      </w:r>
    </w:p>
    <w:p w14:paraId="6D1A771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line="620" w:lineRule="exact"/>
        <w:jc w:val="center"/>
        <w:textAlignment w:val="baseline"/>
        <w:rPr>
          <w:rFonts w:hint="default" w:ascii="Times New Roman" w:hAnsi="Times New Roman" w:eastAsia="Segoe UI" w:cs="Times New Roman"/>
          <w:i w:val="0"/>
          <w:iCs w:val="0"/>
          <w:caps w:val="0"/>
          <w:spacing w:val="0"/>
          <w:sz w:val="24"/>
          <w:szCs w:val="24"/>
          <w:shd w:val="clear" w:fill="FFFFFF"/>
          <w:vertAlign w:val="baseline"/>
        </w:rPr>
      </w:pPr>
      <w:r>
        <w:rPr>
          <w:rFonts w:hint="default" w:ascii="Times New Roman" w:hAnsi="Times New Roman" w:eastAsia="方正小标宋_GBK" w:cs="Times New Roman"/>
          <w:sz w:val="40"/>
          <w:szCs w:val="40"/>
          <w:lang w:val="en-US" w:eastAsia="zh-CN"/>
        </w:rPr>
        <w:t>水土保持</w:t>
      </w:r>
      <w:r>
        <w:rPr>
          <w:rFonts w:hint="default" w:ascii="Times New Roman" w:hAnsi="Times New Roman" w:eastAsia="方正小标宋_GBK" w:cs="Times New Roman"/>
          <w:sz w:val="40"/>
          <w:szCs w:val="40"/>
        </w:rPr>
        <w:t>内容和要求</w:t>
      </w:r>
    </w:p>
    <w:bookmarkEnd w:id="0"/>
    <w:p w14:paraId="7A99607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kern w:val="2"/>
          <w:sz w:val="32"/>
          <w:szCs w:val="32"/>
          <w:lang w:val="en-US" w:eastAsia="zh-CN" w:bidi="ar-SA"/>
        </w:rPr>
      </w:pPr>
      <w:r>
        <w:rPr>
          <w:rFonts w:hint="default" w:ascii="Times New Roman" w:hAnsi="Times New Roman" w:eastAsia="方正仿宋_GBK" w:cs="Times New Roman"/>
          <w:b w:val="0"/>
          <w:bCs w:val="0"/>
          <w:sz w:val="32"/>
          <w:szCs w:val="32"/>
          <w:lang w:val="en-US" w:eastAsia="zh-CN"/>
        </w:rPr>
        <w:t>莎车县纺织园区35千伏输变电工程的水土保持工作是确保项目在施工和运营过程中减少水土流失、保护生态环境</w:t>
      </w:r>
      <w:r>
        <w:rPr>
          <w:rFonts w:hint="default" w:ascii="Times New Roman" w:hAnsi="Times New Roman" w:eastAsia="方正仿宋_GBK" w:cs="Times New Roman"/>
          <w:b w:val="0"/>
          <w:bCs w:val="0"/>
          <w:kern w:val="2"/>
          <w:sz w:val="32"/>
          <w:szCs w:val="32"/>
          <w:lang w:val="en-US" w:eastAsia="zh-CN" w:bidi="ar-SA"/>
        </w:rPr>
        <w:t>的重要环节。以下是水土保持的主要内容和要求：</w:t>
      </w:r>
    </w:p>
    <w:p w14:paraId="0F18967B">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黑体_GBK" w:cs="Times New Roman"/>
          <w:b w:val="0"/>
          <w:bCs w:val="0"/>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一、水土保持内容</w:t>
      </w:r>
    </w:p>
    <w:p w14:paraId="2263F386">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kern w:val="2"/>
          <w:sz w:val="32"/>
          <w:szCs w:val="32"/>
          <w:lang w:val="en-US" w:eastAsia="zh-CN" w:bidi="ar-SA"/>
        </w:rPr>
      </w:pPr>
      <w:r>
        <w:rPr>
          <w:rFonts w:hint="default" w:ascii="Times New Roman" w:hAnsi="Times New Roman" w:eastAsia="方正楷体_GBK" w:cs="Times New Roman"/>
          <w:b w:val="0"/>
          <w:bCs w:val="0"/>
          <w:kern w:val="2"/>
          <w:sz w:val="32"/>
          <w:szCs w:val="32"/>
          <w:lang w:val="en-US" w:eastAsia="zh-CN" w:bidi="ar-SA"/>
        </w:rPr>
        <w:t>1. 扰动土地整治</w:t>
      </w:r>
    </w:p>
    <w:p w14:paraId="421E7044">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kern w:val="2"/>
          <w:sz w:val="32"/>
          <w:szCs w:val="32"/>
          <w:lang w:val="en-US" w:eastAsia="zh-CN" w:bidi="ar-SA"/>
        </w:rPr>
      </w:pPr>
      <w:r>
        <w:rPr>
          <w:rFonts w:hint="default" w:ascii="Times New Roman" w:hAnsi="Times New Roman" w:eastAsia="方正仿宋_GBK" w:cs="Times New Roman"/>
          <w:b w:val="0"/>
          <w:bCs w:val="0"/>
          <w:kern w:val="2"/>
          <w:sz w:val="32"/>
          <w:szCs w:val="32"/>
          <w:lang w:val="en-US" w:eastAsia="zh-CN" w:bidi="ar-SA"/>
        </w:rPr>
        <w:t>表土剥离与利用：在工程施工前，对施工场地表层熟土进行剥离，集中堆放</w:t>
      </w:r>
      <w:r>
        <w:rPr>
          <w:rFonts w:hint="default" w:ascii="Times New Roman" w:hAnsi="Times New Roman" w:eastAsia="方正仿宋_GBK" w:cs="Times New Roman"/>
          <w:b w:val="0"/>
          <w:bCs w:val="0"/>
          <w:kern w:val="2"/>
          <w:sz w:val="32"/>
          <w:szCs w:val="32"/>
          <w:lang w:val="en-US" w:eastAsia="zh-CN" w:bidi="ar-SA"/>
        </w:rPr>
        <w:t>并采取防护措施，防止水土流失和养分流失。剥离的表土可用于后期工程区域的土地复垦、植被恢复等，提高土壤肥力，改善生态环境。</w:t>
      </w:r>
    </w:p>
    <w:p w14:paraId="0C3362FF">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土地平整：对施工过程中产生的临时堆土场、弃渣场等进行平整，消除高陡边坡和积水洼地，减少雨水冲刷造成的水土流失。</w:t>
      </w:r>
    </w:p>
    <w:p w14:paraId="1829A4F5">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土地复垦：工程结束后，对临时占用的土地进行复垦，按照因地制宜的原则，恢复为适宜的农用地、林地或草地等。</w:t>
      </w:r>
    </w:p>
    <w:p w14:paraId="302ADE4B">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2. 拦挡工程</w:t>
      </w:r>
    </w:p>
    <w:p w14:paraId="6D14621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挡土墙建设：在弃渣场周边、边坡坡脚等位置修建挡土墙，拦截松散土体，防止其在重力和水流作用下发生坍塌和流失。</w:t>
      </w:r>
    </w:p>
    <w:p w14:paraId="793CA3B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截水沟设置：在山坡顶部或坡面汇水区域修建截水沟，将坡面径流拦截并引导至排水系统，避免径流直接冲刷坡面和弃渣场。</w:t>
      </w:r>
    </w:p>
    <w:p w14:paraId="247F3B1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3.排水工程</w:t>
      </w:r>
    </w:p>
    <w:p w14:paraId="1F91266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排水沟建设：沿道路两侧、施工场地周边等位置修建排水沟，将地表径流有序排出，降低地下水位，减少土壤水分含量，防止土壤侵蚀。</w:t>
      </w:r>
    </w:p>
    <w:p w14:paraId="60800195">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沉沙池设置：在排水系统中合理设置沉沙池，沉淀泥沙，减少排入下游水体的泥沙量，保护水资源环境。</w:t>
      </w:r>
    </w:p>
    <w:p w14:paraId="2D52A54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4.植被恢复与绿化</w:t>
      </w:r>
    </w:p>
    <w:p w14:paraId="4BA9A3A1">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种草护坡：在边坡、弃渣场等易发生水土流失的区域种植适宜的草种，通过植被根系的固土作用和覆盖作用，减少雨水对地表的冲刷，防止水土流失。</w:t>
      </w:r>
    </w:p>
    <w:p w14:paraId="448EF8F4">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​植树造林：在工程区域周边或适宜的地块进行植树造林，增加植被覆盖率，改善生态环境，提高生态系统的稳定性和抗干扰能力。</w:t>
      </w:r>
    </w:p>
    <w:p w14:paraId="21E93AC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​临时绿化：对于施工临时占用的土地，在施工结束后及时进行临时绿化，恢复地表植被。</w:t>
      </w:r>
    </w:p>
    <w:p w14:paraId="0016BC0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5.临时防护措施</w:t>
      </w:r>
    </w:p>
    <w:p w14:paraId="45F7E6E3">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苫盖防尘网：对易产生扬尘的物料堆放场、裸露地面等进行苫盖防尘网，减少扬尘污染和水土流失。</w:t>
      </w:r>
    </w:p>
    <w:p w14:paraId="3CAA112D">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洒水降尘：在施工过程中，定期对施工场地、道路等进行洒水降尘，降低空气中的粉尘含量，减少水土流失和环境污染。</w:t>
      </w:r>
    </w:p>
    <w:p w14:paraId="09302B3E">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黑体_GBK" w:cs="Times New Roman"/>
          <w:b w:val="0"/>
          <w:bCs w:val="0"/>
          <w:kern w:val="2"/>
          <w:sz w:val="32"/>
          <w:szCs w:val="32"/>
          <w:lang w:val="en-US" w:eastAsia="zh-CN" w:bidi="ar-SA"/>
        </w:rPr>
      </w:pPr>
      <w:r>
        <w:rPr>
          <w:rFonts w:hint="default" w:ascii="Times New Roman" w:hAnsi="Times New Roman" w:eastAsia="方正黑体_GBK" w:cs="Times New Roman"/>
          <w:b w:val="0"/>
          <w:bCs w:val="0"/>
          <w:kern w:val="2"/>
          <w:sz w:val="32"/>
          <w:szCs w:val="32"/>
          <w:lang w:val="en-US" w:eastAsia="zh-CN" w:bidi="ar-SA"/>
        </w:rPr>
        <w:t>二、</w:t>
      </w:r>
      <w:r>
        <w:rPr>
          <w:rFonts w:hint="default" w:ascii="Times New Roman" w:hAnsi="Times New Roman" w:eastAsia="方正黑体_GBK" w:cs="Times New Roman"/>
          <w:b w:val="0"/>
          <w:bCs w:val="0"/>
          <w:kern w:val="2"/>
          <w:sz w:val="32"/>
          <w:szCs w:val="32"/>
          <w:lang w:val="en-US" w:eastAsia="zh-CN" w:bidi="ar-SA"/>
        </w:rPr>
        <w:t>水土保持要求</w:t>
      </w:r>
    </w:p>
    <w:p w14:paraId="14BC4178">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1.设计要求</w:t>
      </w:r>
    </w:p>
    <w:p w14:paraId="2F4F5764">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符合相关标准规范：水土保持方案设计应符合国家和地方有关水土保持的法律法规、技术标准和规范要求，如《开发建设项目水土保持方案技术规范》等。</w:t>
      </w:r>
    </w:p>
    <w:p w14:paraId="4D0BFDAD">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与主体工程相协调：水土保持工程设计应与输变电工程主体工程设计相协调，确保水土保持措施与主体工程同步实施、同步验收。</w:t>
      </w:r>
    </w:p>
    <w:p w14:paraId="3F84B17C">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因地制宜：根据莎车县当地的自然条件、土壤类型、植被状况等因素，合理选择水土保持措施和植物品种，提高措施的针对性和有效性。</w:t>
      </w:r>
    </w:p>
    <w:p w14:paraId="20151D3B">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2.施工要求</w:t>
      </w:r>
    </w:p>
    <w:p w14:paraId="0E577BC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严格按照设计方案施工：施工单位应严格按照批准的水土保持方案进行施工，确保各项水土保持措施落实到位。</w:t>
      </w:r>
    </w:p>
    <w:p w14:paraId="6A8DAF6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加强施工管理：建立健全水土保持施工管理制度，加强对施工过程的质量控制和监督检查，及时解决施工中出现的问题。</w:t>
      </w:r>
    </w:p>
    <w:p w14:paraId="40555E9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保护生态环境：在施工过程中，应尽量减少对周边生态环境的破坏，避免乱挖乱弃、破坏植被等行为。</w:t>
      </w:r>
    </w:p>
    <w:p w14:paraId="5BF0483E">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3.监测要求</w:t>
      </w:r>
    </w:p>
    <w:p w14:paraId="60E81B3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建立监测体系：项目建设单位应委托具有相应资质的单位开展水土保持监测工作，建立完善的水土保持监测体系，对工程建设过程中的水土流失状况进行实时监测。</w:t>
      </w:r>
    </w:p>
    <w:p w14:paraId="22F3360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定期报告监测结果：监测单位应按照规定的时间和频率向项目建设单位和水行政主管部门提交监测报告，及时反馈水土流失情况和防治措施的实施效果。</w:t>
      </w:r>
    </w:p>
    <w:p w14:paraId="7D38E0D0">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楷体_GBK" w:cs="Times New Roman"/>
          <w:b w:val="0"/>
          <w:bCs w:val="0"/>
          <w:sz w:val="32"/>
          <w:szCs w:val="32"/>
          <w:lang w:val="en-US" w:eastAsia="zh-CN"/>
        </w:rPr>
      </w:pPr>
      <w:r>
        <w:rPr>
          <w:rFonts w:hint="default" w:ascii="Times New Roman" w:hAnsi="Times New Roman" w:eastAsia="方正楷体_GBK" w:cs="Times New Roman"/>
          <w:b w:val="0"/>
          <w:bCs w:val="0"/>
          <w:sz w:val="32"/>
          <w:szCs w:val="32"/>
          <w:lang w:val="en-US" w:eastAsia="zh-CN"/>
        </w:rPr>
        <w:t>4.验收要求</w:t>
      </w:r>
    </w:p>
    <w:p w14:paraId="02E30797">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组织验收：工程竣工后，项目建设单位应组织开展水土保持设施竣工验收工作，邀请水行政主管部门和相关专家参加。</w:t>
      </w:r>
    </w:p>
    <w:p w14:paraId="5130105A">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提交验收资料：项目建设单位应提交完整的水土保持设施竣工验收资料，包括水土保持方案实施工作总结报告、监测报告、监理报告等。</w:t>
      </w:r>
    </w:p>
    <w:p w14:paraId="4309948C">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05" w:beforeAutospacing="0" w:after="105" w:afterAutospacing="0" w:line="620" w:lineRule="exact"/>
        <w:ind w:right="0" w:rightChars="0" w:firstLine="640" w:firstLineChars="200"/>
        <w:textAlignment w:val="baseline"/>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达到验收标准：水土保持设施应符合设计要求和验收标准，各项防治指标达到规定要求，方可通过验收。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6030804020204"/>
    <w:charset w:val="00"/>
    <w:family w:val="auto"/>
    <w:pitch w:val="default"/>
    <w:sig w:usb0="E7006EFF" w:usb1="D200FDFF" w:usb2="0A246029" w:usb3="0400200C" w:csb0="600001FF" w:csb1="DFFF0000"/>
  </w:font>
  <w:font w:name="方正小标宋_GBK">
    <w:panose1 w:val="02000000000000000000"/>
    <w:charset w:val="86"/>
    <w:family w:val="auto"/>
    <w:pitch w:val="default"/>
    <w:sig w:usb0="A00002BF" w:usb1="38CF7CFA" w:usb2="00082016" w:usb3="00000000" w:csb0="00040001" w:csb1="00000000"/>
  </w:font>
  <w:font w:name="Segoe UI">
    <w:altName w:val="Noto Naskh Arabic"/>
    <w:panose1 w:val="020B0502040204020203"/>
    <w:charset w:val="00"/>
    <w:family w:val="auto"/>
    <w:pitch w:val="default"/>
    <w:sig w:usb0="00000000" w:usb1="00000000" w:usb2="00000009" w:usb3="00000000" w:csb0="200001FF" w:csb1="00000000"/>
  </w:font>
  <w:font w:name="Noto Naskh Arabic">
    <w:panose1 w:val="020B0502040504020204"/>
    <w:charset w:val="00"/>
    <w:family w:val="auto"/>
    <w:pitch w:val="default"/>
    <w:sig w:usb0="80002003" w:usb1="80002000" w:usb2="00000008" w:usb3="00000000" w:csb0="00000041" w:csb1="0008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 w:name="思源宋体 Medium">
    <w:panose1 w:val="02020400000000000000"/>
    <w:charset w:val="86"/>
    <w:family w:val="auto"/>
    <w:pitch w:val="default"/>
    <w:sig w:usb0="30000083" w:usb1="2BDF3C10" w:usb2="00000016" w:usb3="00000000" w:csb0="602E0107" w:csb1="00000000"/>
  </w:font>
  <w:font w:name="Symbol">
    <w:panose1 w:val="02000609000000000000"/>
    <w:charset w:val="00"/>
    <w:family w:val="auto"/>
    <w:pitch w:val="default"/>
    <w:sig w:usb0="800000AF" w:usb1="4000204A" w:usb2="00000000" w:usb3="00000000" w:csb0="20000000" w:csb1="00000000"/>
  </w:font>
  <w:font w:name="sans-serif">
    <w:altName w:val="仿宋_GB2312"/>
    <w:panose1 w:val="00000000000000000000"/>
    <w:charset w:val="00"/>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9424D8"/>
    <w:rsid w:val="049424D8"/>
    <w:rsid w:val="BF7F71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3">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11</TotalTime>
  <ScaleCrop>false</ScaleCrop>
  <LinksUpToDate>false</LinksUpToDate>
  <CharactersWithSpaces>0</CharactersWithSpaces>
  <Application>WPS Office_12.8.2.1116_F1E327BC-269C-435d-A152-05C5408002CA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2025-02-27T18:39:00Z</dcterms:created>
  <dc:creator>仰望</dc:creator>
  <cp:lastModifiedBy>user</cp:lastModifiedBy>
  <dcterms:modified xsi:type="dcterms:W3CDTF">2025-03-06T12:29:05Z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2052-12.8.2.1116</vt:lpwstr>
  </property>
  <property fmtid="{D5CDD505-2E9C-101B-9397-08002B2CF9AE}" pid="3" name="ICV">
    <vt:lpwstr>F80C45824F2C08519124C96793B718CC_43</vt:lpwstr>
  </property>
  <property fmtid="{D5CDD505-2E9C-101B-9397-08002B2CF9AE}" pid="4" name="KSOTemplateDocerSaveRecord">
    <vt:lpwstr>eyJoZGlkIjoiYzNlZGI3MGE1OTU2ODRhODRlMzRiOTcwZWVlZTlkOGIiLCJ1c2VySWQiOiIzNjIxNTk1MTcifQ==</vt:lpwstr>
  </property>
</Properties>
</file>