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0A40E">
      <w:pPr>
        <w:pStyle w:val="25"/>
        <w:keepNext/>
        <w:keepLines/>
        <w:widowControl w:val="0"/>
        <w:numPr>
          <w:ilvl w:val="0"/>
          <w:numId w:val="0"/>
        </w:numPr>
        <w:spacing w:after="240" w:afterLines="100" w:line="240" w:lineRule="auto"/>
        <w:jc w:val="center"/>
        <w:outlineLvl w:val="1"/>
        <w:rPr>
          <w:rFonts w:asciiTheme="minorEastAsia" w:hAnsiTheme="minorEastAsia"/>
          <w:b/>
          <w:bCs/>
          <w:color w:val="auto"/>
          <w:sz w:val="44"/>
          <w:szCs w:val="44"/>
        </w:rPr>
      </w:pPr>
      <w:bookmarkStart w:id="2" w:name="_GoBack"/>
      <w:bookmarkEnd w:id="2"/>
      <w:bookmarkStart w:id="0" w:name="_Hlk130221285"/>
      <w:r>
        <w:rPr>
          <w:rFonts w:hint="eastAsia" w:ascii="Times New Roman" w:hAnsi="Times New Roman" w:eastAsia="仿宋" w:cs="Times New Roman"/>
          <w:b/>
          <w:bCs/>
          <w:color w:val="auto"/>
          <w:sz w:val="44"/>
          <w:szCs w:val="44"/>
          <w:lang w:val="en-US" w:eastAsia="zh-CN"/>
        </w:rPr>
        <w:t>克州人民医院智能审方干预系统参数</w:t>
      </w:r>
    </w:p>
    <w:p w14:paraId="45DD9836">
      <w:pPr>
        <w:pStyle w:val="25"/>
        <w:keepNext/>
        <w:keepLines/>
        <w:numPr>
          <w:ilvl w:val="0"/>
          <w:numId w:val="2"/>
        </w:numPr>
        <w:spacing w:after="240" w:afterLines="100"/>
        <w:outlineLvl w:val="1"/>
        <w:rPr>
          <w:rFonts w:asciiTheme="minorEastAsia" w:hAnsiTheme="minorEastAsia"/>
          <w:b/>
          <w:bCs/>
          <w:color w:val="auto"/>
          <w:sz w:val="24"/>
          <w:szCs w:val="24"/>
        </w:rPr>
      </w:pPr>
      <w:r>
        <w:rPr>
          <w:rFonts w:hint="eastAsia" w:asciiTheme="minorEastAsia" w:hAnsiTheme="minorEastAsia"/>
          <w:b/>
          <w:bCs/>
          <w:color w:val="auto"/>
          <w:sz w:val="24"/>
          <w:szCs w:val="24"/>
        </w:rPr>
        <w:t>对“系统”的功能要求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857"/>
        <w:gridCol w:w="6136"/>
      </w:tblGrid>
      <w:tr w14:paraId="7B00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3F370C5">
            <w:pPr>
              <w:rPr>
                <w:rFonts w:ascii="宋体" w:hAnsi="宋体" w:eastAsia="宋体"/>
                <w:color w:val="auto"/>
                <w:szCs w:val="21"/>
                <w:highlight w:val="none"/>
              </w:rPr>
            </w:pPr>
            <w:r>
              <w:rPr>
                <w:rFonts w:ascii="宋体" w:hAnsi="宋体" w:eastAsia="宋体"/>
                <w:color w:val="auto"/>
                <w:szCs w:val="21"/>
                <w:highlight w:val="none"/>
              </w:rPr>
              <w:t>序号</w:t>
            </w:r>
          </w:p>
        </w:tc>
        <w:tc>
          <w:tcPr>
            <w:tcW w:w="0" w:type="auto"/>
            <w:vAlign w:val="center"/>
          </w:tcPr>
          <w:p w14:paraId="3D3A292E">
            <w:pPr>
              <w:rPr>
                <w:rFonts w:ascii="宋体" w:hAnsi="宋体" w:eastAsia="宋体"/>
                <w:color w:val="auto"/>
                <w:szCs w:val="21"/>
                <w:highlight w:val="none"/>
              </w:rPr>
            </w:pPr>
            <w:r>
              <w:rPr>
                <w:rFonts w:ascii="宋体" w:hAnsi="宋体" w:eastAsia="宋体"/>
                <w:color w:val="auto"/>
                <w:szCs w:val="21"/>
                <w:highlight w:val="none"/>
              </w:rPr>
              <w:t>子项</w:t>
            </w:r>
          </w:p>
        </w:tc>
        <w:tc>
          <w:tcPr>
            <w:tcW w:w="6136" w:type="dxa"/>
            <w:vAlign w:val="center"/>
          </w:tcPr>
          <w:p w14:paraId="7B4AADF6">
            <w:pPr>
              <w:rPr>
                <w:rFonts w:ascii="宋体" w:hAnsi="宋体" w:eastAsia="宋体"/>
                <w:color w:val="auto"/>
                <w:szCs w:val="21"/>
                <w:highlight w:val="none"/>
              </w:rPr>
            </w:pPr>
            <w:r>
              <w:rPr>
                <w:rFonts w:ascii="宋体" w:hAnsi="宋体" w:eastAsia="宋体"/>
                <w:color w:val="auto"/>
                <w:szCs w:val="21"/>
                <w:highlight w:val="none"/>
              </w:rPr>
              <w:t>详细要求</w:t>
            </w:r>
          </w:p>
        </w:tc>
      </w:tr>
      <w:tr w14:paraId="4212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vAlign w:val="center"/>
          </w:tcPr>
          <w:p w14:paraId="659C8E75">
            <w:pPr>
              <w:rPr>
                <w:rFonts w:ascii="宋体" w:hAnsi="宋体" w:eastAsia="宋体" w:cs="Arial"/>
                <w:b/>
                <w:bCs/>
                <w:color w:val="auto"/>
                <w:szCs w:val="21"/>
                <w:highlight w:val="none"/>
              </w:rPr>
            </w:pPr>
            <w:r>
              <w:rPr>
                <w:rFonts w:hint="eastAsia" w:ascii="宋体" w:hAnsi="宋体" w:eastAsia="宋体" w:cs="Arial"/>
                <w:b/>
                <w:bCs/>
                <w:color w:val="auto"/>
                <w:szCs w:val="21"/>
                <w:highlight w:val="none"/>
              </w:rPr>
              <w:t>系统审查功能要求</w:t>
            </w:r>
          </w:p>
        </w:tc>
      </w:tr>
      <w:tr w14:paraId="5A85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7CFC9DD">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097FF8A2">
            <w:pPr>
              <w:rPr>
                <w:rFonts w:ascii="宋体" w:hAnsi="宋体" w:eastAsia="宋体"/>
                <w:color w:val="auto"/>
                <w:szCs w:val="24"/>
                <w:highlight w:val="none"/>
              </w:rPr>
            </w:pPr>
            <w:r>
              <w:rPr>
                <w:rFonts w:hint="eastAsia" w:ascii="宋体" w:hAnsi="宋体" w:eastAsia="宋体"/>
                <w:color w:val="auto"/>
                <w:szCs w:val="24"/>
                <w:highlight w:val="none"/>
              </w:rPr>
              <w:t>处方（医嘱）用药审查功能</w:t>
            </w:r>
          </w:p>
        </w:tc>
        <w:tc>
          <w:tcPr>
            <w:tcW w:w="6136" w:type="dxa"/>
            <w:vAlign w:val="center"/>
          </w:tcPr>
          <w:p w14:paraId="0D720E0F">
            <w:pPr>
              <w:widowControl/>
              <w:rPr>
                <w:rFonts w:ascii="宋体" w:hAnsi="宋体" w:eastAsia="宋体" w:cs="Arial"/>
                <w:color w:val="auto"/>
                <w:szCs w:val="24"/>
                <w:highlight w:val="none"/>
              </w:rPr>
            </w:pPr>
            <w:r>
              <w:rPr>
                <w:rFonts w:hint="eastAsia" w:ascii="宋体" w:hAnsi="宋体" w:eastAsia="宋体" w:cs="Arial"/>
                <w:color w:val="auto"/>
                <w:szCs w:val="24"/>
                <w:highlight w:val="none"/>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14:paraId="6B92198F">
            <w:pPr>
              <w:pStyle w:val="25"/>
              <w:widowControl/>
              <w:numPr>
                <w:ilvl w:val="1"/>
                <w:numId w:val="4"/>
              </w:numPr>
              <w:spacing w:line="360" w:lineRule="auto"/>
              <w:jc w:val="lef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住院医嘱支持用药天数预警。</w:t>
            </w:r>
          </w:p>
          <w:p w14:paraId="5EEB610F">
            <w:pPr>
              <w:pStyle w:val="25"/>
              <w:widowControl/>
              <w:numPr>
                <w:ilvl w:val="1"/>
                <w:numId w:val="4"/>
              </w:numPr>
              <w:spacing w:line="360" w:lineRule="auto"/>
              <w:jc w:val="lef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超多日用量审查可管控提前取药患者药量累计持有天数。</w:t>
            </w:r>
          </w:p>
          <w:p w14:paraId="06F75BB0">
            <w:pPr>
              <w:pStyle w:val="25"/>
              <w:numPr>
                <w:ilvl w:val="1"/>
                <w:numId w:val="4"/>
              </w:numPr>
              <w:spacing w:line="360" w:lineRule="auto"/>
              <w:jc w:val="lef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▲可为医生提供TPN处方的营养均衡性、肠外营养浓度、溶液中渗透压浓度计算功能。</w:t>
            </w:r>
          </w:p>
        </w:tc>
      </w:tr>
      <w:tr w14:paraId="40C4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FBFB71A">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38E049A5">
            <w:pPr>
              <w:rPr>
                <w:rFonts w:ascii="宋体" w:hAnsi="宋体" w:eastAsia="宋体"/>
                <w:color w:val="auto"/>
                <w:szCs w:val="24"/>
                <w:highlight w:val="none"/>
              </w:rPr>
            </w:pPr>
            <w:r>
              <w:rPr>
                <w:rFonts w:hint="eastAsia" w:ascii="宋体" w:hAnsi="宋体" w:eastAsia="宋体" w:cs="Arial"/>
                <w:color w:val="auto"/>
                <w:szCs w:val="24"/>
                <w:highlight w:val="none"/>
              </w:rPr>
              <w:t>药品信息提示功能</w:t>
            </w:r>
          </w:p>
        </w:tc>
        <w:tc>
          <w:tcPr>
            <w:tcW w:w="6136" w:type="dxa"/>
            <w:vAlign w:val="center"/>
          </w:tcPr>
          <w:p w14:paraId="0F7619AF">
            <w:pPr>
              <w:pStyle w:val="4"/>
              <w:keepNext w:val="0"/>
              <w:keepLines w:val="0"/>
              <w:rPr>
                <w:rFonts w:ascii="宋体" w:hAnsi="宋体" w:cs="Arial"/>
                <w:b w:val="0"/>
                <w:bCs w:val="0"/>
                <w:color w:val="auto"/>
                <w:szCs w:val="24"/>
                <w:highlight w:val="none"/>
              </w:rPr>
            </w:pPr>
            <w:r>
              <w:rPr>
                <w:rFonts w:hint="eastAsia" w:ascii="宋体" w:hAnsi="宋体" w:cs="Arial"/>
                <w:b w:val="0"/>
                <w:bCs w:val="0"/>
                <w:color w:val="auto"/>
                <w:szCs w:val="24"/>
                <w:highlight w:val="none"/>
              </w:rPr>
              <w:t>可快捷查看药品相关重要信息；药品厂家说明书，▲并可查看药监局发布的说明书修订勘误，修改和新增药品说明书内容；查询相应药品的中药材专论信息。</w:t>
            </w:r>
          </w:p>
        </w:tc>
      </w:tr>
      <w:tr w14:paraId="0102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A5EA098">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5B43B9F0">
            <w:pPr>
              <w:rPr>
                <w:rFonts w:ascii="宋体" w:hAnsi="宋体" w:eastAsia="宋体"/>
                <w:color w:val="auto"/>
                <w:szCs w:val="24"/>
                <w:highlight w:val="none"/>
              </w:rPr>
            </w:pPr>
            <w:r>
              <w:rPr>
                <w:rFonts w:hint="eastAsia" w:ascii="宋体" w:hAnsi="宋体" w:eastAsia="宋体" w:cs="Arial"/>
                <w:color w:val="auto"/>
                <w:szCs w:val="24"/>
                <w:highlight w:val="none"/>
              </w:rPr>
              <w:t>质子泵抑制药专项管控</w:t>
            </w:r>
          </w:p>
        </w:tc>
        <w:tc>
          <w:tcPr>
            <w:tcW w:w="6136" w:type="dxa"/>
            <w:vAlign w:val="center"/>
          </w:tcPr>
          <w:p w14:paraId="50411A68">
            <w:pPr>
              <w:pStyle w:val="4"/>
              <w:numPr>
                <w:ilvl w:val="0"/>
                <w:numId w:val="5"/>
              </w:numPr>
              <w:ind w:left="0"/>
              <w:rPr>
                <w:rFonts w:ascii="宋体" w:hAnsi="宋体" w:cs="Arial"/>
                <w:b w:val="0"/>
                <w:color w:val="auto"/>
                <w:szCs w:val="24"/>
                <w:highlight w:val="none"/>
              </w:rPr>
            </w:pPr>
            <w:r>
              <w:rPr>
                <w:rFonts w:hint="eastAsia" w:ascii="宋体" w:hAnsi="宋体" w:cs="Arial"/>
                <w:b w:val="0"/>
                <w:bCs w:val="0"/>
                <w:color w:val="auto"/>
                <w:szCs w:val="24"/>
                <w:highlight w:val="none"/>
              </w:rPr>
              <w:t>▲</w:t>
            </w:r>
            <w:r>
              <w:rPr>
                <w:rFonts w:hint="eastAsia" w:ascii="宋体" w:hAnsi="宋体" w:cs="Arial"/>
                <w:b w:val="0"/>
                <w:color w:val="auto"/>
                <w:szCs w:val="24"/>
                <w:highlight w:val="none"/>
              </w:rPr>
              <w:t>医生开具质子泵抑制剂药品时，需填写用药评估单。提供评估单专项统计分析。</w:t>
            </w:r>
          </w:p>
          <w:p w14:paraId="6C9EE909">
            <w:pPr>
              <w:pStyle w:val="4"/>
              <w:numPr>
                <w:ilvl w:val="0"/>
                <w:numId w:val="5"/>
              </w:numPr>
              <w:ind w:left="0"/>
              <w:rPr>
                <w:rFonts w:ascii="宋体" w:hAnsi="宋体" w:cs="Arial"/>
                <w:b w:val="0"/>
                <w:color w:val="auto"/>
                <w:szCs w:val="24"/>
                <w:highlight w:val="none"/>
              </w:rPr>
            </w:pPr>
            <w:r>
              <w:rPr>
                <w:rFonts w:hint="eastAsia" w:ascii="宋体" w:hAnsi="宋体" w:cs="Arial"/>
                <w:b w:val="0"/>
                <w:bCs w:val="0"/>
                <w:color w:val="auto"/>
                <w:szCs w:val="24"/>
                <w:highlight w:val="none"/>
              </w:rPr>
              <w:t>▲</w:t>
            </w:r>
            <w:r>
              <w:rPr>
                <w:rFonts w:hint="eastAsia" w:ascii="宋体" w:hAnsi="宋体" w:cs="Arial"/>
                <w:b w:val="0"/>
                <w:color w:val="auto"/>
                <w:szCs w:val="24"/>
                <w:highlight w:val="none"/>
              </w:rPr>
              <w:t>系统可评估患者病生状态，若存在应激性溃疡风险，提供质子泵抑制剂用药建议。</w:t>
            </w:r>
          </w:p>
          <w:p w14:paraId="275EF5A2">
            <w:pPr>
              <w:pStyle w:val="4"/>
              <w:numPr>
                <w:ilvl w:val="0"/>
                <w:numId w:val="5"/>
              </w:numPr>
              <w:ind w:left="0"/>
              <w:rPr>
                <w:rFonts w:ascii="宋体" w:hAnsi="宋体"/>
                <w:color w:val="auto"/>
                <w:szCs w:val="24"/>
                <w:highlight w:val="none"/>
              </w:rPr>
            </w:pPr>
            <w:r>
              <w:rPr>
                <w:rFonts w:hint="eastAsia" w:ascii="宋体" w:hAnsi="宋体" w:cs="Arial"/>
                <w:b w:val="0"/>
                <w:color w:val="auto"/>
                <w:szCs w:val="24"/>
                <w:highlight w:val="none"/>
              </w:rPr>
              <w:t>围术期不合理使用质子泵抑制剂时，系统可警示医生。</w:t>
            </w:r>
          </w:p>
        </w:tc>
      </w:tr>
      <w:tr w14:paraId="6BA2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61EBFA6">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24AB2DEE">
            <w:pPr>
              <w:rPr>
                <w:rFonts w:ascii="宋体" w:hAnsi="宋体" w:eastAsia="宋体" w:cs="Arial"/>
                <w:color w:val="auto"/>
                <w:szCs w:val="24"/>
                <w:highlight w:val="none"/>
              </w:rPr>
            </w:pPr>
            <w:r>
              <w:rPr>
                <w:rFonts w:hint="eastAsia" w:ascii="宋体" w:hAnsi="宋体" w:eastAsia="宋体" w:cs="Arial"/>
                <w:color w:val="auto"/>
                <w:szCs w:val="24"/>
                <w:highlight w:val="none"/>
              </w:rPr>
              <w:t>协定方专项管控</w:t>
            </w:r>
          </w:p>
        </w:tc>
        <w:tc>
          <w:tcPr>
            <w:tcW w:w="6136" w:type="dxa"/>
            <w:vAlign w:val="center"/>
          </w:tcPr>
          <w:p w14:paraId="560DD49B">
            <w:pPr>
              <w:pStyle w:val="4"/>
              <w:rPr>
                <w:rFonts w:ascii="宋体" w:hAnsi="宋体" w:cs="Arial"/>
                <w:b w:val="0"/>
                <w:bCs w:val="0"/>
                <w:color w:val="auto"/>
                <w:szCs w:val="24"/>
                <w:highlight w:val="none"/>
              </w:rPr>
            </w:pPr>
            <w:r>
              <w:rPr>
                <w:rFonts w:hint="eastAsia" w:ascii="宋体" w:hAnsi="宋体" w:cs="Arial"/>
                <w:b w:val="0"/>
                <w:bCs w:val="0"/>
                <w:color w:val="auto"/>
                <w:szCs w:val="24"/>
                <w:highlight w:val="none"/>
              </w:rPr>
              <w:t>系统提供医院中药协定方证型适宜性审查。</w:t>
            </w:r>
          </w:p>
        </w:tc>
      </w:tr>
      <w:tr w14:paraId="4DFC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8A42C04">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5D395EA8">
            <w:pPr>
              <w:rPr>
                <w:rFonts w:ascii="宋体" w:hAnsi="宋体" w:eastAsia="宋体"/>
                <w:color w:val="auto"/>
                <w:szCs w:val="24"/>
                <w:highlight w:val="none"/>
              </w:rPr>
            </w:pPr>
            <w:r>
              <w:rPr>
                <w:rFonts w:hint="eastAsia" w:ascii="宋体" w:hAnsi="宋体" w:eastAsia="宋体"/>
                <w:color w:val="auto"/>
                <w:szCs w:val="24"/>
                <w:highlight w:val="none"/>
              </w:rPr>
              <w:t>经验性用药专项管控</w:t>
            </w:r>
          </w:p>
        </w:tc>
        <w:tc>
          <w:tcPr>
            <w:tcW w:w="6136" w:type="dxa"/>
            <w:vAlign w:val="center"/>
          </w:tcPr>
          <w:p w14:paraId="7CF13EA0">
            <w:pPr>
              <w:pStyle w:val="4"/>
              <w:rPr>
                <w:rFonts w:ascii="宋体" w:hAnsi="宋体" w:cs="Arial"/>
                <w:b w:val="0"/>
                <w:color w:val="auto"/>
                <w:szCs w:val="24"/>
                <w:highlight w:val="none"/>
              </w:rPr>
            </w:pPr>
            <w:r>
              <w:rPr>
                <w:rFonts w:hint="eastAsia" w:ascii="宋体" w:hAnsi="宋体" w:cs="Arial"/>
                <w:b w:val="0"/>
                <w:color w:val="auto"/>
                <w:szCs w:val="24"/>
                <w:highlight w:val="none"/>
              </w:rPr>
              <w:t>系统提供抗肿瘤药物过敏反应预处理用药合理性审查。</w:t>
            </w:r>
          </w:p>
        </w:tc>
      </w:tr>
      <w:tr w14:paraId="5087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9E27320">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2F6773E2">
            <w:pPr>
              <w:rPr>
                <w:rFonts w:ascii="宋体" w:hAnsi="宋体" w:eastAsia="宋体"/>
                <w:color w:val="auto"/>
                <w:szCs w:val="24"/>
                <w:highlight w:val="none"/>
              </w:rPr>
            </w:pPr>
            <w:r>
              <w:rPr>
                <w:rFonts w:hint="eastAsia" w:ascii="宋体" w:hAnsi="宋体" w:eastAsia="宋体"/>
                <w:color w:val="auto"/>
                <w:szCs w:val="24"/>
                <w:highlight w:val="none"/>
              </w:rPr>
              <w:t>抗菌药物专项管控</w:t>
            </w:r>
          </w:p>
        </w:tc>
        <w:tc>
          <w:tcPr>
            <w:tcW w:w="6136" w:type="dxa"/>
            <w:vAlign w:val="center"/>
          </w:tcPr>
          <w:p w14:paraId="2ED5761A">
            <w:pPr>
              <w:pStyle w:val="25"/>
              <w:numPr>
                <w:ilvl w:val="0"/>
                <w:numId w:val="6"/>
              </w:numPr>
              <w:spacing w:line="360" w:lineRule="auto"/>
              <w:ind w:left="0" w:firstLine="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医生开具预防用抗菌药物时，需填写用药评估单，评估单区分非手术预防用药和手术预防用药。</w:t>
            </w:r>
          </w:p>
          <w:p w14:paraId="4E20847C">
            <w:pPr>
              <w:pStyle w:val="25"/>
              <w:numPr>
                <w:ilvl w:val="0"/>
                <w:numId w:val="6"/>
              </w:numPr>
              <w:spacing w:line="360" w:lineRule="auto"/>
              <w:ind w:left="0" w:firstLine="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系统提供抗菌药物用药指征审查。医生开具抗菌药物必须有用药指征，否则系统将予以警示。</w:t>
            </w:r>
          </w:p>
        </w:tc>
      </w:tr>
      <w:tr w14:paraId="04CF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A2CAB23">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1EAE5621">
            <w:pPr>
              <w:rPr>
                <w:rFonts w:ascii="宋体" w:hAnsi="宋体" w:eastAsia="宋体"/>
                <w:color w:val="auto"/>
                <w:szCs w:val="24"/>
                <w:highlight w:val="none"/>
              </w:rPr>
            </w:pPr>
            <w:r>
              <w:rPr>
                <w:rFonts w:hint="eastAsia" w:ascii="宋体" w:hAnsi="宋体" w:eastAsia="宋体"/>
                <w:color w:val="auto"/>
                <w:szCs w:val="24"/>
                <w:highlight w:val="none"/>
              </w:rPr>
              <w:t>审查提示屏蔽功能</w:t>
            </w:r>
          </w:p>
        </w:tc>
        <w:tc>
          <w:tcPr>
            <w:tcW w:w="6136" w:type="dxa"/>
            <w:vAlign w:val="center"/>
          </w:tcPr>
          <w:p w14:paraId="212ADF92">
            <w:pPr>
              <w:rPr>
                <w:rFonts w:ascii="宋体" w:hAnsi="宋体" w:eastAsia="宋体" w:cs="Arial"/>
                <w:bCs/>
                <w:color w:val="auto"/>
                <w:szCs w:val="24"/>
                <w:highlight w:val="none"/>
              </w:rPr>
            </w:pPr>
            <w:r>
              <w:rPr>
                <w:rFonts w:hint="eastAsia" w:ascii="宋体" w:hAnsi="宋体" w:eastAsia="宋体" w:cs="Arial"/>
                <w:bCs/>
                <w:color w:val="auto"/>
                <w:szCs w:val="24"/>
                <w:highlight w:val="none"/>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14:paraId="23AB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CEB7DFF">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614D5A61">
            <w:pPr>
              <w:rPr>
                <w:rFonts w:ascii="宋体" w:hAnsi="宋体" w:eastAsia="宋体"/>
                <w:color w:val="auto"/>
                <w:szCs w:val="24"/>
                <w:highlight w:val="none"/>
              </w:rPr>
            </w:pPr>
            <w:r>
              <w:rPr>
                <w:rFonts w:hint="eastAsia" w:ascii="宋体" w:hAnsi="宋体" w:eastAsia="宋体"/>
                <w:color w:val="auto"/>
                <w:szCs w:val="24"/>
                <w:highlight w:val="none"/>
              </w:rPr>
              <w:t>审查规则自定义功能（医院专家知识库）</w:t>
            </w:r>
          </w:p>
        </w:tc>
        <w:tc>
          <w:tcPr>
            <w:tcW w:w="6136" w:type="dxa"/>
            <w:vAlign w:val="center"/>
          </w:tcPr>
          <w:p w14:paraId="6F9124A9">
            <w:pPr>
              <w:pStyle w:val="25"/>
              <w:numPr>
                <w:ilvl w:val="0"/>
                <w:numId w:val="7"/>
              </w:numPr>
              <w:spacing w:line="360" w:lineRule="auto"/>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▲系统可以提供多种自定义方式：</w:t>
            </w:r>
          </w:p>
          <w:p w14:paraId="2E38570A">
            <w:pPr>
              <w:rPr>
                <w:rFonts w:ascii="宋体" w:hAnsi="宋体" w:eastAsia="宋体" w:cs="Arial"/>
                <w:bCs/>
                <w:color w:val="auto"/>
                <w:szCs w:val="24"/>
                <w:highlight w:val="none"/>
              </w:rPr>
            </w:pPr>
            <w:r>
              <w:rPr>
                <w:rFonts w:hint="eastAsia" w:ascii="宋体" w:hAnsi="宋体" w:eastAsia="宋体" w:cs="Arial"/>
                <w:bCs/>
                <w:color w:val="auto"/>
                <w:szCs w:val="24"/>
                <w:highlight w:val="none"/>
              </w:rPr>
              <w:t>（1）基于系统审查数据自定义方式，节省药师工作量；</w:t>
            </w:r>
          </w:p>
          <w:p w14:paraId="426FE6FC">
            <w:pPr>
              <w:rPr>
                <w:rFonts w:ascii="宋体" w:hAnsi="宋体" w:eastAsia="宋体" w:cs="Arial"/>
                <w:bCs/>
                <w:color w:val="auto"/>
                <w:szCs w:val="24"/>
                <w:highlight w:val="none"/>
              </w:rPr>
            </w:pPr>
            <w:r>
              <w:rPr>
                <w:rFonts w:hint="eastAsia" w:ascii="宋体" w:hAnsi="宋体" w:eastAsia="宋体" w:cs="Arial"/>
                <w:bCs/>
                <w:color w:val="auto"/>
                <w:szCs w:val="24"/>
                <w:highlight w:val="none"/>
              </w:rPr>
              <w:t>（2）可完全由用户新建审查规则包括审查要素和审查逻辑。</w:t>
            </w:r>
          </w:p>
          <w:p w14:paraId="59FD2EE8">
            <w:pPr>
              <w:pStyle w:val="25"/>
              <w:numPr>
                <w:ilvl w:val="0"/>
                <w:numId w:val="7"/>
              </w:numPr>
              <w:spacing w:line="360" w:lineRule="auto"/>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用户可自定义药品警示、拦截规则，被拦截的问题处方必须返回修改，否则不可进行下一步操作。用户可设置已执行的长期医嘱是否拦截。</w:t>
            </w:r>
          </w:p>
          <w:p w14:paraId="60FD608F">
            <w:pPr>
              <w:pStyle w:val="25"/>
              <w:numPr>
                <w:ilvl w:val="0"/>
                <w:numId w:val="7"/>
              </w:numPr>
              <w:spacing w:line="360" w:lineRule="auto"/>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其中部分审查项目可支持以下功能：</w:t>
            </w:r>
          </w:p>
          <w:p w14:paraId="736E2576">
            <w:pPr>
              <w:pStyle w:val="25"/>
              <w:numPr>
                <w:ilvl w:val="0"/>
                <w:numId w:val="8"/>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剂量：可显示某个药品在本院近一个月医嘱用量统计，查看不同科室的剂量使用情况。用户只需维护药品一种给药单位的剂量审查规则，系统可自动将规则匹配到该药品其余给药单位。</w:t>
            </w:r>
          </w:p>
          <w:p w14:paraId="63A02610">
            <w:pPr>
              <w:pStyle w:val="25"/>
              <w:numPr>
                <w:ilvl w:val="0"/>
                <w:numId w:val="8"/>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14:paraId="11E119F1">
            <w:pPr>
              <w:pStyle w:val="25"/>
              <w:numPr>
                <w:ilvl w:val="0"/>
                <w:numId w:val="8"/>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体外注射剂配伍：可设置小剂量胰岛素不参与体外配伍审查，具体剂量标准可由用户自行设置。</w:t>
            </w:r>
          </w:p>
          <w:p w14:paraId="03ACFC22">
            <w:pPr>
              <w:pStyle w:val="25"/>
              <w:numPr>
                <w:ilvl w:val="0"/>
                <w:numId w:val="8"/>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▲可设置应激性溃疡风险的预警规则；设置可预防使用质子泵抑制剂的手术、质子泵抑制剂药品及术后质子泵抑制剂用药疗程；</w:t>
            </w:r>
          </w:p>
          <w:p w14:paraId="1E516611">
            <w:pPr>
              <w:pStyle w:val="25"/>
              <w:numPr>
                <w:ilvl w:val="0"/>
                <w:numId w:val="8"/>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用户可维护医院协定方及对应证型；</w:t>
            </w:r>
          </w:p>
          <w:p w14:paraId="33C5591E">
            <w:pPr>
              <w:pStyle w:val="25"/>
              <w:numPr>
                <w:ilvl w:val="0"/>
                <w:numId w:val="8"/>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用户可设置抗肿瘤药物过敏反应预防药品品种。</w:t>
            </w:r>
          </w:p>
          <w:p w14:paraId="34F89D8E">
            <w:pPr>
              <w:pStyle w:val="25"/>
              <w:numPr>
                <w:ilvl w:val="0"/>
                <w:numId w:val="8"/>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用户可设置质子泵抑制药、抗菌药物用药评估单模板。</w:t>
            </w:r>
          </w:p>
          <w:p w14:paraId="40C11944">
            <w:pPr>
              <w:pStyle w:val="25"/>
              <w:numPr>
                <w:ilvl w:val="0"/>
                <w:numId w:val="7"/>
              </w:numPr>
              <w:spacing w:line="360" w:lineRule="auto"/>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规则复制功能：系统支持将其它药品已有的自定义规则分模块复制到被选择的药品上。</w:t>
            </w:r>
          </w:p>
          <w:p w14:paraId="4AF326E3">
            <w:pPr>
              <w:pStyle w:val="25"/>
              <w:numPr>
                <w:ilvl w:val="0"/>
                <w:numId w:val="7"/>
              </w:numPr>
              <w:spacing w:line="360" w:lineRule="auto"/>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▲豁免对象：可根据药品、医生、科室等条件设置特定对象不参与某些模块审查，并可按照模块查看对各种豁免情况的统计。</w:t>
            </w:r>
          </w:p>
          <w:p w14:paraId="6D279C7E">
            <w:pPr>
              <w:pStyle w:val="25"/>
              <w:numPr>
                <w:ilvl w:val="0"/>
                <w:numId w:val="7"/>
              </w:numPr>
              <w:spacing w:line="360" w:lineRule="auto"/>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 xml:space="preserve">自定义规则查询：可查询药品、科室以及各模块的自定义规则。 </w:t>
            </w:r>
          </w:p>
        </w:tc>
      </w:tr>
      <w:tr w14:paraId="0A1E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4592544">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6AF74E35">
            <w:pPr>
              <w:rPr>
                <w:rFonts w:ascii="宋体" w:hAnsi="宋体" w:eastAsia="宋体"/>
                <w:color w:val="auto"/>
                <w:szCs w:val="24"/>
                <w:highlight w:val="none"/>
              </w:rPr>
            </w:pPr>
            <w:r>
              <w:rPr>
                <w:rFonts w:hint="eastAsia" w:ascii="宋体" w:hAnsi="宋体" w:eastAsia="宋体"/>
                <w:color w:val="auto"/>
                <w:szCs w:val="24"/>
                <w:highlight w:val="none"/>
              </w:rPr>
              <w:t>统计分析功能</w:t>
            </w:r>
          </w:p>
        </w:tc>
        <w:tc>
          <w:tcPr>
            <w:tcW w:w="6136" w:type="dxa"/>
            <w:vAlign w:val="center"/>
          </w:tcPr>
          <w:p w14:paraId="2C804369">
            <w:pPr>
              <w:pStyle w:val="25"/>
              <w:numPr>
                <w:ilvl w:val="0"/>
                <w:numId w:val="9"/>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问题处方（医嘱）保存、查询，以及不合理问题统计分析。</w:t>
            </w:r>
          </w:p>
          <w:p w14:paraId="4FA6EC3C">
            <w:pPr>
              <w:pStyle w:val="25"/>
              <w:numPr>
                <w:ilvl w:val="0"/>
                <w:numId w:val="9"/>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提供不合理问题评估功能，便于药师在做回顾性分析时对已评估的问题做记录。</w:t>
            </w:r>
          </w:p>
          <w:p w14:paraId="51C19283">
            <w:pPr>
              <w:pStyle w:val="25"/>
              <w:numPr>
                <w:ilvl w:val="0"/>
                <w:numId w:val="9"/>
              </w:numPr>
              <w:spacing w:line="360" w:lineRule="auto"/>
              <w:ind w:left="0" w:firstLine="0"/>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用药理由统计</w:t>
            </w:r>
          </w:p>
        </w:tc>
      </w:tr>
      <w:tr w14:paraId="33C9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04D9A7E">
            <w:pPr>
              <w:pStyle w:val="25"/>
              <w:numPr>
                <w:ilvl w:val="0"/>
                <w:numId w:val="3"/>
              </w:numPr>
              <w:spacing w:line="360" w:lineRule="auto"/>
              <w:rPr>
                <w:rFonts w:ascii="宋体" w:hAnsi="宋体" w:eastAsia="宋体"/>
                <w:color w:val="auto"/>
                <w:sz w:val="24"/>
                <w:szCs w:val="24"/>
                <w:highlight w:val="none"/>
              </w:rPr>
            </w:pPr>
          </w:p>
        </w:tc>
        <w:tc>
          <w:tcPr>
            <w:tcW w:w="0" w:type="auto"/>
            <w:vAlign w:val="center"/>
          </w:tcPr>
          <w:p w14:paraId="4C2CC2BE">
            <w:pPr>
              <w:rPr>
                <w:rFonts w:ascii="宋体" w:hAnsi="宋体" w:eastAsia="宋体"/>
                <w:color w:val="auto"/>
                <w:szCs w:val="24"/>
                <w:highlight w:val="none"/>
              </w:rPr>
            </w:pPr>
            <w:r>
              <w:rPr>
                <w:rFonts w:hint="eastAsia" w:ascii="宋体" w:hAnsi="宋体" w:eastAsia="宋体"/>
                <w:color w:val="auto"/>
                <w:szCs w:val="24"/>
                <w:highlight w:val="none"/>
              </w:rPr>
              <w:t>通讯功能</w:t>
            </w:r>
          </w:p>
        </w:tc>
        <w:tc>
          <w:tcPr>
            <w:tcW w:w="6136" w:type="dxa"/>
            <w:vAlign w:val="center"/>
          </w:tcPr>
          <w:p w14:paraId="6C37CD3C">
            <w:pPr>
              <w:pStyle w:val="5"/>
              <w:rPr>
                <w:rFonts w:ascii="宋体" w:hAnsi="宋体" w:cs="Arial"/>
                <w:b w:val="0"/>
                <w:bCs w:val="0"/>
                <w:color w:val="auto"/>
                <w:szCs w:val="24"/>
                <w:highlight w:val="none"/>
              </w:rPr>
            </w:pPr>
            <w:r>
              <w:rPr>
                <w:rFonts w:hint="eastAsia" w:ascii="宋体" w:hAnsi="宋体" w:cs="Arial"/>
                <w:b w:val="0"/>
                <w:bCs w:val="0"/>
                <w:color w:val="auto"/>
                <w:szCs w:val="24"/>
                <w:highlight w:val="none"/>
              </w:rPr>
              <w:t>系统应提供药师和医生的在线沟通平台，提供截图、发送图片、文件传输、消息撤回、消息已读提示功能。</w:t>
            </w:r>
          </w:p>
        </w:tc>
      </w:tr>
      <w:tr w14:paraId="51F8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vAlign w:val="center"/>
          </w:tcPr>
          <w:p w14:paraId="5126A0EC">
            <w:pPr>
              <w:rPr>
                <w:rFonts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t>药师审方干预功能要求</w:t>
            </w:r>
          </w:p>
        </w:tc>
      </w:tr>
      <w:tr w14:paraId="05F0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EDA18DC">
            <w:pPr>
              <w:numPr>
                <w:ilvl w:val="0"/>
                <w:numId w:val="10"/>
              </w:numPr>
              <w:rPr>
                <w:rFonts w:asciiTheme="minorEastAsia" w:hAnsiTheme="minorEastAsia" w:eastAsiaTheme="minorEastAsia"/>
                <w:color w:val="auto"/>
                <w:szCs w:val="24"/>
                <w:highlight w:val="none"/>
              </w:rPr>
            </w:pPr>
          </w:p>
        </w:tc>
        <w:tc>
          <w:tcPr>
            <w:tcW w:w="0" w:type="auto"/>
            <w:vAlign w:val="center"/>
          </w:tcPr>
          <w:p w14:paraId="4FF88856">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审方时机和过程</w:t>
            </w:r>
          </w:p>
        </w:tc>
        <w:tc>
          <w:tcPr>
            <w:tcW w:w="6136" w:type="dxa"/>
            <w:vAlign w:val="center"/>
          </w:tcPr>
          <w:p w14:paraId="0C9331F9">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tc>
      </w:tr>
      <w:tr w14:paraId="22B1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2B7508F">
            <w:pPr>
              <w:numPr>
                <w:ilvl w:val="0"/>
                <w:numId w:val="10"/>
              </w:numPr>
              <w:rPr>
                <w:rFonts w:asciiTheme="minorEastAsia" w:hAnsiTheme="minorEastAsia" w:eastAsiaTheme="minorEastAsia"/>
                <w:color w:val="auto"/>
                <w:szCs w:val="24"/>
                <w:highlight w:val="none"/>
              </w:rPr>
            </w:pPr>
          </w:p>
        </w:tc>
        <w:tc>
          <w:tcPr>
            <w:tcW w:w="0" w:type="auto"/>
            <w:vAlign w:val="center"/>
          </w:tcPr>
          <w:p w14:paraId="4D9A3FE3">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审方干预功能</w:t>
            </w:r>
          </w:p>
        </w:tc>
        <w:tc>
          <w:tcPr>
            <w:tcW w:w="6136" w:type="dxa"/>
            <w:vAlign w:val="center"/>
          </w:tcPr>
          <w:p w14:paraId="3191BB50">
            <w:pPr>
              <w:numPr>
                <w:ilvl w:val="0"/>
                <w:numId w:val="11"/>
              </w:numPr>
              <w:ind w:left="0" w:firstLine="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▲系统可主动分配任务给药师，任务来临时可用弹框提醒药师，点击弹框后即可跳转至审方页面。</w:t>
            </w:r>
          </w:p>
          <w:p w14:paraId="3ECBC05B">
            <w:pPr>
              <w:numPr>
                <w:ilvl w:val="0"/>
                <w:numId w:val="11"/>
              </w:numPr>
              <w:ind w:left="0" w:firstLine="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药师可设置单次可获取任务数，所获取的任务按时间先后顺序排列。</w:t>
            </w:r>
          </w:p>
          <w:p w14:paraId="299F4A29">
            <w:pPr>
              <w:numPr>
                <w:ilvl w:val="0"/>
                <w:numId w:val="11"/>
              </w:numPr>
              <w:ind w:left="0" w:firstLine="0"/>
              <w:rPr>
                <w:rFonts w:asciiTheme="minorEastAsia" w:hAnsiTheme="minorEastAsia" w:eastAsiaTheme="minorEastAsia"/>
                <w:color w:val="auto"/>
                <w:szCs w:val="24"/>
                <w:highlight w:val="none"/>
              </w:rPr>
            </w:pPr>
            <w:bookmarkStart w:id="1" w:name="_Hlk109921512"/>
            <w:r>
              <w:rPr>
                <w:rFonts w:hint="eastAsia" w:asciiTheme="minorEastAsia" w:hAnsiTheme="minorEastAsia" w:eastAsiaTheme="minorEastAsia"/>
                <w:color w:val="auto"/>
                <w:szCs w:val="24"/>
                <w:highlight w:val="none"/>
              </w:rPr>
              <w:t>药师审查时，可在审查界面一体化查看当前处方（医嘱）历史干预记录，如医生操作、用药理由等。</w:t>
            </w:r>
          </w:p>
          <w:p w14:paraId="5EECDE56">
            <w:pPr>
              <w:numPr>
                <w:ilvl w:val="0"/>
                <w:numId w:val="11"/>
              </w:numPr>
              <w:ind w:left="0" w:firstLine="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药师审查时可查看当前处方（医嘱）历史修改版本信息。</w:t>
            </w:r>
          </w:p>
          <w:bookmarkEnd w:id="1"/>
          <w:p w14:paraId="401A621C">
            <w:pPr>
              <w:numPr>
                <w:ilvl w:val="0"/>
                <w:numId w:val="11"/>
              </w:numPr>
              <w:ind w:left="0" w:firstLine="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药师可选择审核意见中的重点文字变色处理后发给医生。药师还可预设常用问题模板。</w:t>
            </w:r>
          </w:p>
          <w:p w14:paraId="4F328FFB">
            <w:pPr>
              <w:numPr>
                <w:ilvl w:val="0"/>
                <w:numId w:val="11"/>
              </w:numPr>
              <w:ind w:left="0" w:firstLine="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▲药师可以根据不同任务情况选择医生处方（医嘱）直接双签通过还是需要药师复核。</w:t>
            </w:r>
          </w:p>
          <w:p w14:paraId="61CA78C8">
            <w:pPr>
              <w:numPr>
                <w:ilvl w:val="0"/>
                <w:numId w:val="11"/>
              </w:numPr>
              <w:ind w:left="0" w:firstLine="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若一张处方（医嘱）通过前有多个修改版本，系统可以标记每个版本的处置状态。</w:t>
            </w:r>
          </w:p>
          <w:p w14:paraId="2F888060">
            <w:pPr>
              <w:numPr>
                <w:ilvl w:val="0"/>
                <w:numId w:val="11"/>
              </w:numPr>
              <w:ind w:left="0" w:firstLine="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▲系统支持根据医生提交至药师处的中药处方智能检索近似经典方剂供药师参考。</w:t>
            </w:r>
          </w:p>
        </w:tc>
      </w:tr>
      <w:tr w14:paraId="1252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6A1B5AA">
            <w:pPr>
              <w:numPr>
                <w:ilvl w:val="0"/>
                <w:numId w:val="10"/>
              </w:numPr>
              <w:rPr>
                <w:rFonts w:asciiTheme="minorEastAsia" w:hAnsiTheme="minorEastAsia" w:eastAsiaTheme="minorEastAsia"/>
                <w:color w:val="auto"/>
                <w:szCs w:val="24"/>
                <w:highlight w:val="none"/>
              </w:rPr>
            </w:pPr>
          </w:p>
        </w:tc>
        <w:tc>
          <w:tcPr>
            <w:tcW w:w="0" w:type="auto"/>
            <w:vAlign w:val="center"/>
          </w:tcPr>
          <w:p w14:paraId="54C3034A">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质量评价功能</w:t>
            </w:r>
          </w:p>
        </w:tc>
        <w:tc>
          <w:tcPr>
            <w:tcW w:w="6136" w:type="dxa"/>
            <w:vAlign w:val="center"/>
          </w:tcPr>
          <w:p w14:paraId="58620121">
            <w:pPr>
              <w:numPr>
                <w:ilvl w:val="0"/>
                <w:numId w:val="12"/>
              </w:numPr>
              <w:ind w:left="0" w:firstLine="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系统提供多种筛选方案设置功能，进行待评价任务筛选。评价人可对每个任务输入审核意见并打分。系统可自动生成任务评分表，并可导出到Excel。</w:t>
            </w:r>
          </w:p>
          <w:p w14:paraId="42D22142">
            <w:pPr>
              <w:numPr>
                <w:ilvl w:val="0"/>
                <w:numId w:val="12"/>
              </w:numPr>
              <w:ind w:left="0" w:firstLine="0"/>
              <w:rPr>
                <w:rFonts w:asciiTheme="minorEastAsia" w:hAnsiTheme="minorEastAsia" w:eastAsiaTheme="minorEastAsia"/>
                <w:b/>
                <w:bCs/>
                <w:color w:val="auto"/>
                <w:szCs w:val="24"/>
                <w:highlight w:val="none"/>
              </w:rPr>
            </w:pPr>
            <w:r>
              <w:rPr>
                <w:rFonts w:hint="eastAsia" w:asciiTheme="minorEastAsia" w:hAnsiTheme="minorEastAsia" w:eastAsiaTheme="minorEastAsia"/>
                <w:color w:val="auto"/>
                <w:szCs w:val="24"/>
                <w:highlight w:val="none"/>
              </w:rPr>
              <w:t>评价人可评估历史审核任务并设置问题推荐处置方案，供审方药师审核同一问题时参考。</w:t>
            </w:r>
          </w:p>
        </w:tc>
      </w:tr>
      <w:tr w14:paraId="7097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D5F5860">
            <w:pPr>
              <w:numPr>
                <w:ilvl w:val="0"/>
                <w:numId w:val="10"/>
              </w:numPr>
              <w:rPr>
                <w:rFonts w:asciiTheme="minorEastAsia" w:hAnsiTheme="minorEastAsia" w:eastAsiaTheme="minorEastAsia"/>
                <w:color w:val="auto"/>
                <w:szCs w:val="24"/>
                <w:highlight w:val="none"/>
              </w:rPr>
            </w:pPr>
          </w:p>
        </w:tc>
        <w:tc>
          <w:tcPr>
            <w:tcW w:w="0" w:type="auto"/>
            <w:vAlign w:val="center"/>
          </w:tcPr>
          <w:p w14:paraId="1DCE0344">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审方干预自定义功能</w:t>
            </w:r>
          </w:p>
        </w:tc>
        <w:tc>
          <w:tcPr>
            <w:tcW w:w="6136" w:type="dxa"/>
            <w:vAlign w:val="center"/>
          </w:tcPr>
          <w:p w14:paraId="035FF783">
            <w:pPr>
              <w:numPr>
                <w:ilvl w:val="0"/>
                <w:numId w:val="13"/>
              </w:numPr>
              <w:ind w:left="0" w:firstLine="0"/>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▲可将任意科室、医生、患者、疾病、药品设置为重点关注，可按科室、医生、患者、疾病、药品、问题类型、警示级别多条件组合设置重点关注，包含重点关注信息的处方由药师进行全面审查。</w:t>
            </w:r>
          </w:p>
          <w:p w14:paraId="13A70BB9">
            <w:pPr>
              <w:numPr>
                <w:ilvl w:val="0"/>
                <w:numId w:val="13"/>
              </w:numPr>
              <w:ind w:left="0" w:firstLine="0"/>
              <w:rPr>
                <w:rFonts w:asciiTheme="minorEastAsia" w:hAnsiTheme="minorEastAsia" w:eastAsiaTheme="minorEastAsia"/>
                <w:color w:val="auto"/>
                <w:szCs w:val="24"/>
                <w:highlight w:val="none"/>
              </w:rPr>
            </w:pPr>
            <w:r>
              <w:rPr>
                <w:rFonts w:hint="eastAsia" w:asciiTheme="minorEastAsia" w:hAnsiTheme="minorEastAsia" w:eastAsiaTheme="minorEastAsia"/>
                <w:bCs/>
                <w:color w:val="auto"/>
                <w:szCs w:val="24"/>
                <w:highlight w:val="none"/>
              </w:rPr>
              <w:t>用户可根据使用习惯进行个性化设置，如任务提示音（支持上传），处置按钮顺序及样式，审方界面字体及颜色，发送给医生的常用语等。</w:t>
            </w:r>
          </w:p>
          <w:p w14:paraId="0A79755A">
            <w:pPr>
              <w:numPr>
                <w:ilvl w:val="0"/>
                <w:numId w:val="13"/>
              </w:numPr>
              <w:ind w:left="0" w:firstLine="0"/>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▲用户可设置自动干预模式，并设置医生填写用药理由的模式。药师不在岗时，系统自动干预，医生填写用药理由后方可执行，支持全院和分科室设置。</w:t>
            </w:r>
          </w:p>
        </w:tc>
      </w:tr>
      <w:tr w14:paraId="6FB6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7B6A82D">
            <w:pPr>
              <w:numPr>
                <w:ilvl w:val="0"/>
                <w:numId w:val="10"/>
              </w:numPr>
              <w:rPr>
                <w:rFonts w:asciiTheme="minorEastAsia" w:hAnsiTheme="minorEastAsia" w:eastAsiaTheme="minorEastAsia"/>
                <w:color w:val="auto"/>
                <w:szCs w:val="24"/>
                <w:highlight w:val="none"/>
              </w:rPr>
            </w:pPr>
          </w:p>
        </w:tc>
        <w:tc>
          <w:tcPr>
            <w:tcW w:w="0" w:type="auto"/>
            <w:vAlign w:val="center"/>
          </w:tcPr>
          <w:p w14:paraId="055E7854">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患者信息查看</w:t>
            </w:r>
          </w:p>
        </w:tc>
        <w:tc>
          <w:tcPr>
            <w:tcW w:w="6136" w:type="dxa"/>
            <w:vAlign w:val="center"/>
          </w:tcPr>
          <w:p w14:paraId="143AE7EA">
            <w:pPr>
              <w:numPr>
                <w:ilvl w:val="0"/>
                <w:numId w:val="14"/>
              </w:numPr>
              <w:ind w:left="0" w:firstLine="0"/>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药师审方界面：可查看患者基本信息、患者过敏史、手术信息、检验检查信息、会诊信息，检验结果异常项可单独显示。可链接EMR系统查看患者详细信息。</w:t>
            </w:r>
          </w:p>
          <w:p w14:paraId="32DFB4BB">
            <w:pPr>
              <w:numPr>
                <w:ilvl w:val="0"/>
                <w:numId w:val="14"/>
              </w:numPr>
              <w:ind w:left="0" w:firstLine="0"/>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可标记门诊特殊病人。</w:t>
            </w:r>
          </w:p>
          <w:p w14:paraId="4B2530AA">
            <w:pPr>
              <w:numPr>
                <w:ilvl w:val="0"/>
                <w:numId w:val="14"/>
              </w:numPr>
              <w:ind w:left="0" w:firstLine="0"/>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可标记慢病处方。</w:t>
            </w:r>
          </w:p>
          <w:p w14:paraId="6CC8D594">
            <w:pPr>
              <w:numPr>
                <w:ilvl w:val="0"/>
                <w:numId w:val="14"/>
              </w:numPr>
              <w:ind w:left="0" w:firstLine="0"/>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药师审查时可查看当前患者的其他处方。</w:t>
            </w:r>
          </w:p>
        </w:tc>
      </w:tr>
      <w:tr w14:paraId="2299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6085AE9">
            <w:pPr>
              <w:numPr>
                <w:ilvl w:val="0"/>
                <w:numId w:val="10"/>
              </w:numPr>
              <w:rPr>
                <w:rFonts w:asciiTheme="minorEastAsia" w:hAnsiTheme="minorEastAsia" w:eastAsiaTheme="minorEastAsia"/>
                <w:color w:val="auto"/>
                <w:szCs w:val="24"/>
                <w:highlight w:val="none"/>
              </w:rPr>
            </w:pPr>
          </w:p>
        </w:tc>
        <w:tc>
          <w:tcPr>
            <w:tcW w:w="0" w:type="auto"/>
            <w:vAlign w:val="center"/>
          </w:tcPr>
          <w:p w14:paraId="49948612">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系统审查</w:t>
            </w:r>
          </w:p>
        </w:tc>
        <w:tc>
          <w:tcPr>
            <w:tcW w:w="6136" w:type="dxa"/>
            <w:vAlign w:val="center"/>
          </w:tcPr>
          <w:p w14:paraId="61E829D1">
            <w:pPr>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系统审查项目、规则等应与医院当前在用医生端审方系统保持一致，并能实现无缝对接，即药师端可查看医生端审方系统的详细审查结果信息，同时药师审核问题标准可按医生端审方系统的审查项目和问题级别进行设置。</w:t>
            </w:r>
          </w:p>
        </w:tc>
      </w:tr>
      <w:tr w14:paraId="2E5D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8D99632">
            <w:pPr>
              <w:numPr>
                <w:ilvl w:val="0"/>
                <w:numId w:val="10"/>
              </w:numPr>
              <w:rPr>
                <w:rFonts w:asciiTheme="minorEastAsia" w:hAnsiTheme="minorEastAsia" w:eastAsiaTheme="minorEastAsia"/>
                <w:color w:val="auto"/>
                <w:szCs w:val="24"/>
                <w:highlight w:val="none"/>
              </w:rPr>
            </w:pPr>
          </w:p>
        </w:tc>
        <w:tc>
          <w:tcPr>
            <w:tcW w:w="0" w:type="auto"/>
            <w:vAlign w:val="center"/>
          </w:tcPr>
          <w:p w14:paraId="7E63EAAE">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统计分析</w:t>
            </w:r>
          </w:p>
        </w:tc>
        <w:tc>
          <w:tcPr>
            <w:tcW w:w="6136" w:type="dxa"/>
            <w:vAlign w:val="center"/>
          </w:tcPr>
          <w:p w14:paraId="5A2F1257">
            <w:pPr>
              <w:numPr>
                <w:ilvl w:val="0"/>
                <w:numId w:val="15"/>
              </w:numPr>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可以分别统计门诊、住院任务的审核率、干预率、合格率等重要指标，并可提供统计图。可按照科室、医生、药品、药师、药物类进行干预情况分类统计。</w:t>
            </w:r>
          </w:p>
          <w:p w14:paraId="5ADF7AA1">
            <w:pPr>
              <w:numPr>
                <w:ilvl w:val="0"/>
                <w:numId w:val="15"/>
              </w:numPr>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可以统计每个药师的监测时长、审核工作量、干预工作量和干预有效率，并可提供统计图。</w:t>
            </w:r>
          </w:p>
          <w:p w14:paraId="4A706953">
            <w:pPr>
              <w:numPr>
                <w:ilvl w:val="0"/>
                <w:numId w:val="15"/>
              </w:numPr>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可以提供不合理问题统计分析，支持按时间、问题类型、警示等级等条件进行统计，并可生成统计图。可以查看在人工审方时药师主动添加的问题的发生次数、发生率。</w:t>
            </w:r>
          </w:p>
          <w:p w14:paraId="55857223">
            <w:pPr>
              <w:numPr>
                <w:ilvl w:val="0"/>
                <w:numId w:val="15"/>
              </w:numPr>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可以分科室、医生、药品、问题类型提供干预效果追踪，并以统计图的方式体现干预效果。</w:t>
            </w:r>
          </w:p>
          <w:p w14:paraId="7B789283">
            <w:pPr>
              <w:numPr>
                <w:ilvl w:val="0"/>
                <w:numId w:val="15"/>
              </w:numPr>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可按不同的处方（医嘱）通过状态进行统计，并可生成统计图。</w:t>
            </w:r>
          </w:p>
          <w:p w14:paraId="5B9997B6">
            <w:pPr>
              <w:numPr>
                <w:ilvl w:val="0"/>
                <w:numId w:val="15"/>
              </w:num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医生端可通过用药自查，查看自身任务的审核干预相关统计数据。</w:t>
            </w:r>
          </w:p>
        </w:tc>
      </w:tr>
      <w:tr w14:paraId="0F55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712536E">
            <w:pPr>
              <w:numPr>
                <w:ilvl w:val="0"/>
                <w:numId w:val="10"/>
              </w:numPr>
              <w:rPr>
                <w:rFonts w:asciiTheme="minorEastAsia" w:hAnsiTheme="minorEastAsia" w:eastAsiaTheme="minorEastAsia"/>
                <w:color w:val="auto"/>
                <w:szCs w:val="24"/>
                <w:highlight w:val="none"/>
              </w:rPr>
            </w:pPr>
          </w:p>
        </w:tc>
        <w:tc>
          <w:tcPr>
            <w:tcW w:w="0" w:type="auto"/>
            <w:vAlign w:val="center"/>
          </w:tcPr>
          <w:p w14:paraId="4517A21D">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大屏展示功能</w:t>
            </w:r>
          </w:p>
        </w:tc>
        <w:tc>
          <w:tcPr>
            <w:tcW w:w="6136" w:type="dxa"/>
            <w:vAlign w:val="center"/>
          </w:tcPr>
          <w:p w14:paraId="36B315BE">
            <w:pPr>
              <w:rPr>
                <w:rFonts w:asciiTheme="minorEastAsia" w:hAnsiTheme="minorEastAsia" w:eastAsiaTheme="minorEastAsia"/>
                <w:bCs/>
                <w:color w:val="auto"/>
                <w:szCs w:val="24"/>
                <w:highlight w:val="none"/>
              </w:rPr>
            </w:pPr>
            <w:r>
              <w:rPr>
                <w:rFonts w:hint="eastAsia" w:asciiTheme="minorEastAsia" w:hAnsiTheme="minorEastAsia" w:eastAsiaTheme="minorEastAsia"/>
                <w:bCs/>
                <w:color w:val="auto"/>
                <w:szCs w:val="24"/>
                <w:highlight w:val="none"/>
              </w:rPr>
              <w:t>系统应支持将重要审方指标通过图表在用户大屏上展示。</w:t>
            </w:r>
          </w:p>
        </w:tc>
      </w:tr>
      <w:tr w14:paraId="18BA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tcBorders>
              <w:top w:val="single" w:color="auto" w:sz="4" w:space="0"/>
              <w:left w:val="single" w:color="auto" w:sz="4" w:space="0"/>
              <w:bottom w:val="single" w:color="auto" w:sz="4" w:space="0"/>
              <w:right w:val="single" w:color="auto" w:sz="4" w:space="0"/>
            </w:tcBorders>
            <w:vAlign w:val="center"/>
          </w:tcPr>
          <w:p w14:paraId="6C8DD894">
            <w:pPr>
              <w:rPr>
                <w:rFonts w:ascii="宋体" w:hAnsi="宋体" w:eastAsia="宋体" w:cs="Arial"/>
                <w:b/>
                <w:bCs/>
                <w:color w:val="auto"/>
                <w:szCs w:val="21"/>
                <w:highlight w:val="none"/>
              </w:rPr>
            </w:pPr>
            <w:r>
              <w:rPr>
                <w:rFonts w:hint="eastAsia" w:ascii="宋体" w:hAnsi="宋体" w:eastAsia="宋体" w:cs="Arial"/>
                <w:b/>
                <w:bCs/>
                <w:color w:val="auto"/>
                <w:szCs w:val="21"/>
                <w:highlight w:val="none"/>
              </w:rPr>
              <w:t>处方点评功能要求</w:t>
            </w:r>
          </w:p>
        </w:tc>
      </w:tr>
      <w:tr w14:paraId="5165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4B053246">
            <w:pPr>
              <w:pStyle w:val="25"/>
              <w:numPr>
                <w:ilvl w:val="0"/>
                <w:numId w:val="16"/>
              </w:numPr>
              <w:spacing w:line="360" w:lineRule="auto"/>
              <w:ind w:left="562"/>
              <w:rPr>
                <w:rFonts w:ascii="宋体" w:hAnsi="宋体" w:eastAsia="宋体"/>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166750F">
            <w:pPr>
              <w:rPr>
                <w:rFonts w:ascii="宋体" w:hAnsi="宋体" w:eastAsia="宋体"/>
                <w:color w:val="auto"/>
                <w:szCs w:val="24"/>
                <w:highlight w:val="none"/>
              </w:rPr>
            </w:pPr>
            <w:r>
              <w:rPr>
                <w:rFonts w:hint="eastAsia" w:ascii="宋体" w:hAnsi="宋体" w:eastAsia="宋体"/>
                <w:color w:val="auto"/>
                <w:szCs w:val="24"/>
                <w:highlight w:val="none"/>
              </w:rPr>
              <w:t>智慧中心</w:t>
            </w:r>
          </w:p>
        </w:tc>
        <w:tc>
          <w:tcPr>
            <w:tcW w:w="6136" w:type="dxa"/>
            <w:tcBorders>
              <w:top w:val="single" w:color="auto" w:sz="4" w:space="0"/>
              <w:left w:val="single" w:color="auto" w:sz="4" w:space="0"/>
              <w:bottom w:val="single" w:color="auto" w:sz="4" w:space="0"/>
              <w:right w:val="single" w:color="auto" w:sz="4" w:space="0"/>
            </w:tcBorders>
            <w:vAlign w:val="center"/>
          </w:tcPr>
          <w:p w14:paraId="72A57AD1">
            <w:pPr>
              <w:rPr>
                <w:rFonts w:ascii="宋体" w:hAnsi="宋体" w:eastAsia="宋体"/>
                <w:b/>
                <w:bCs/>
                <w:color w:val="auto"/>
                <w:szCs w:val="24"/>
                <w:highlight w:val="none"/>
              </w:rPr>
            </w:pPr>
            <w:r>
              <w:rPr>
                <w:rFonts w:hint="eastAsia" w:ascii="宋体" w:hAnsi="宋体" w:eastAsia="宋体" w:cs="宋体"/>
                <w:color w:val="auto"/>
                <w:szCs w:val="24"/>
                <w:highlight w:val="none"/>
              </w:rPr>
              <w:t>系统主页应能显示门诊</w:t>
            </w:r>
            <w:r>
              <w:rPr>
                <w:rFonts w:ascii="宋体" w:hAnsi="宋体" w:eastAsia="宋体"/>
                <w:color w:val="auto"/>
                <w:szCs w:val="24"/>
                <w:highlight w:val="none"/>
              </w:rPr>
              <w:t>/</w:t>
            </w:r>
            <w:r>
              <w:rPr>
                <w:rFonts w:hint="eastAsia" w:ascii="宋体" w:hAnsi="宋体" w:eastAsia="宋体" w:cs="宋体"/>
                <w:color w:val="auto"/>
                <w:szCs w:val="24"/>
                <w:highlight w:val="none"/>
              </w:rPr>
              <w:t>住院点评率、合理率、住</w:t>
            </w:r>
            <w:r>
              <w:rPr>
                <w:rFonts w:hint="eastAsia" w:ascii="宋体" w:hAnsi="宋体" w:eastAsia="宋体" w:cs="Arial"/>
                <w:color w:val="auto"/>
                <w:szCs w:val="24"/>
                <w:highlight w:val="none"/>
              </w:rPr>
              <w:t>院抗菌药物使用强度、门诊基本药物占比、住院静脉输液使用率等指标。</w:t>
            </w:r>
          </w:p>
        </w:tc>
      </w:tr>
      <w:tr w14:paraId="0518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4073990C">
            <w:pPr>
              <w:pStyle w:val="25"/>
              <w:numPr>
                <w:ilvl w:val="0"/>
                <w:numId w:val="16"/>
              </w:numPr>
              <w:spacing w:line="360" w:lineRule="auto"/>
              <w:ind w:left="562"/>
              <w:rPr>
                <w:rFonts w:ascii="宋体" w:hAnsi="宋体" w:eastAsia="宋体"/>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DC339A0">
            <w:pPr>
              <w:rPr>
                <w:rFonts w:ascii="宋体" w:hAnsi="宋体" w:eastAsia="宋体"/>
                <w:color w:val="auto"/>
                <w:szCs w:val="24"/>
                <w:highlight w:val="none"/>
              </w:rPr>
            </w:pPr>
            <w:r>
              <w:rPr>
                <w:rFonts w:hint="eastAsia" w:ascii="宋体" w:hAnsi="宋体" w:eastAsia="宋体" w:cs="Arial"/>
                <w:color w:val="auto"/>
                <w:szCs w:val="24"/>
                <w:highlight w:val="none"/>
              </w:rPr>
              <w:t>读取和查看病人信息</w:t>
            </w:r>
          </w:p>
        </w:tc>
        <w:tc>
          <w:tcPr>
            <w:tcW w:w="6136" w:type="dxa"/>
            <w:tcBorders>
              <w:top w:val="single" w:color="auto" w:sz="4" w:space="0"/>
              <w:left w:val="single" w:color="auto" w:sz="4" w:space="0"/>
              <w:bottom w:val="single" w:color="auto" w:sz="4" w:space="0"/>
              <w:right w:val="single" w:color="auto" w:sz="4" w:space="0"/>
            </w:tcBorders>
            <w:vAlign w:val="center"/>
          </w:tcPr>
          <w:p w14:paraId="358687EA">
            <w:pPr>
              <w:pStyle w:val="4"/>
              <w:keepNext w:val="0"/>
              <w:keepLines w:val="0"/>
              <w:rPr>
                <w:rFonts w:ascii="宋体" w:hAnsi="宋体" w:cs="Arial"/>
                <w:b w:val="0"/>
                <w:bCs w:val="0"/>
                <w:color w:val="auto"/>
                <w:szCs w:val="24"/>
                <w:highlight w:val="none"/>
              </w:rPr>
            </w:pPr>
            <w:r>
              <w:rPr>
                <w:rFonts w:hint="eastAsia" w:ascii="宋体" w:hAnsi="宋体" w:cs="Arial"/>
                <w:b w:val="0"/>
                <w:bCs w:val="0"/>
                <w:color w:val="auto"/>
                <w:szCs w:val="24"/>
                <w:highlight w:val="none"/>
              </w:rPr>
              <w:t>系统应能筛选患者并查看患者基本信息、医嘱、检查、检验、手术、费用、会诊、病程等信息，同时能提供EMR、PACS、LIS超链接功能，帮助药师快速切换。</w:t>
            </w:r>
          </w:p>
        </w:tc>
      </w:tr>
      <w:tr w14:paraId="67C0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2B03A757">
            <w:pPr>
              <w:pStyle w:val="25"/>
              <w:numPr>
                <w:ilvl w:val="0"/>
                <w:numId w:val="16"/>
              </w:numPr>
              <w:spacing w:line="360" w:lineRule="auto"/>
              <w:ind w:left="562"/>
              <w:rPr>
                <w:rFonts w:ascii="宋体" w:hAnsi="宋体" w:eastAsia="宋体"/>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6377D96">
            <w:pPr>
              <w:rPr>
                <w:rFonts w:ascii="宋体" w:hAnsi="宋体" w:eastAsia="宋体"/>
                <w:color w:val="auto"/>
                <w:szCs w:val="24"/>
                <w:highlight w:val="none"/>
              </w:rPr>
            </w:pPr>
            <w:r>
              <w:rPr>
                <w:rFonts w:hint="eastAsia" w:ascii="宋体" w:hAnsi="宋体" w:eastAsia="宋体" w:cs="Arial"/>
                <w:color w:val="auto"/>
                <w:szCs w:val="24"/>
                <w:highlight w:val="none"/>
              </w:rPr>
              <w:t>处方点评</w:t>
            </w:r>
          </w:p>
        </w:tc>
        <w:tc>
          <w:tcPr>
            <w:tcW w:w="6136" w:type="dxa"/>
            <w:tcBorders>
              <w:top w:val="single" w:color="auto" w:sz="4" w:space="0"/>
              <w:left w:val="single" w:color="auto" w:sz="4" w:space="0"/>
              <w:bottom w:val="single" w:color="auto" w:sz="4" w:space="0"/>
              <w:right w:val="single" w:color="auto" w:sz="4" w:space="0"/>
            </w:tcBorders>
            <w:vAlign w:val="center"/>
          </w:tcPr>
          <w:p w14:paraId="59D9BA2F">
            <w:pPr>
              <w:pStyle w:val="4"/>
              <w:keepNext w:val="0"/>
              <w:keepLines w:val="0"/>
              <w:numPr>
                <w:ilvl w:val="0"/>
                <w:numId w:val="17"/>
              </w:numPr>
              <w:ind w:left="0"/>
              <w:rPr>
                <w:rFonts w:ascii="宋体" w:hAnsi="宋体" w:cs="Arial"/>
                <w:b w:val="0"/>
                <w:color w:val="auto"/>
                <w:szCs w:val="24"/>
                <w:highlight w:val="none"/>
              </w:rPr>
            </w:pPr>
            <w:r>
              <w:rPr>
                <w:rFonts w:hint="eastAsia" w:ascii="宋体" w:hAnsi="宋体" w:cs="Arial"/>
                <w:b w:val="0"/>
                <w:color w:val="auto"/>
                <w:szCs w:val="24"/>
                <w:highlight w:val="none"/>
              </w:rPr>
              <w:t xml:space="preserve">系统应结合国家处方点评相关政策要求，实现对处方（医嘱）电子化评价功能。 </w:t>
            </w:r>
            <w:r>
              <w:rPr>
                <w:rFonts w:hint="eastAsia" w:ascii="宋体" w:hAnsi="宋体" w:cs="Arial"/>
                <w:bCs w:val="0"/>
                <w:color w:val="auto"/>
                <w:szCs w:val="24"/>
                <w:highlight w:val="none"/>
              </w:rPr>
              <w:t>▲</w:t>
            </w:r>
            <w:r>
              <w:rPr>
                <w:rFonts w:hint="eastAsia" w:ascii="宋体" w:hAnsi="宋体" w:cs="Arial"/>
                <w:b w:val="0"/>
                <w:color w:val="auto"/>
                <w:szCs w:val="24"/>
                <w:highlight w:val="none"/>
              </w:rPr>
              <w:t>应能对处方（医嘱）用药进行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14:paraId="10C87CFC">
            <w:pPr>
              <w:pStyle w:val="4"/>
              <w:keepNext w:val="0"/>
              <w:keepLines w:val="0"/>
              <w:numPr>
                <w:ilvl w:val="0"/>
                <w:numId w:val="17"/>
              </w:numPr>
              <w:ind w:left="0"/>
              <w:rPr>
                <w:rFonts w:ascii="宋体" w:hAnsi="宋体" w:cs="Arial"/>
                <w:b w:val="0"/>
                <w:color w:val="auto"/>
                <w:szCs w:val="24"/>
                <w:highlight w:val="none"/>
              </w:rPr>
            </w:pPr>
            <w:r>
              <w:rPr>
                <w:rFonts w:hint="eastAsia" w:ascii="宋体" w:hAnsi="宋体" w:cs="Arial"/>
                <w:b w:val="0"/>
                <w:color w:val="auto"/>
                <w:szCs w:val="24"/>
                <w:highlight w:val="none"/>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14:paraId="766F9634">
            <w:pPr>
              <w:pStyle w:val="4"/>
              <w:keepNext w:val="0"/>
              <w:keepLines w:val="0"/>
              <w:numPr>
                <w:ilvl w:val="0"/>
                <w:numId w:val="17"/>
              </w:numPr>
              <w:ind w:left="0"/>
              <w:rPr>
                <w:rFonts w:ascii="宋体" w:hAnsi="宋体" w:cs="Arial"/>
                <w:b w:val="0"/>
                <w:color w:val="auto"/>
                <w:szCs w:val="24"/>
                <w:highlight w:val="none"/>
              </w:rPr>
            </w:pPr>
            <w:r>
              <w:rPr>
                <w:rFonts w:hint="eastAsia" w:ascii="宋体" w:hAnsi="宋体" w:cs="Arial"/>
                <w:b w:val="0"/>
                <w:color w:val="auto"/>
                <w:szCs w:val="24"/>
                <w:highlight w:val="none"/>
              </w:rPr>
              <w:t>▲系统应提供双盲点评设置、医生处理点评结果逾期设置、</w:t>
            </w:r>
            <w:r>
              <w:rPr>
                <w:rFonts w:hint="eastAsia" w:ascii="宋体" w:hAnsi="宋体"/>
                <w:b w:val="0"/>
                <w:bCs w:val="0"/>
                <w:color w:val="auto"/>
                <w:szCs w:val="24"/>
                <w:highlight w:val="none"/>
              </w:rPr>
              <w:t>增补处方或病人</w:t>
            </w:r>
            <w:r>
              <w:rPr>
                <w:rFonts w:hint="eastAsia" w:ascii="宋体" w:hAnsi="宋体" w:cs="Arial"/>
                <w:b w:val="0"/>
                <w:bCs w:val="0"/>
                <w:color w:val="auto"/>
                <w:szCs w:val="24"/>
                <w:highlight w:val="none"/>
              </w:rPr>
              <w:t>、</w:t>
            </w:r>
            <w:r>
              <w:rPr>
                <w:rFonts w:hint="eastAsia" w:ascii="宋体" w:hAnsi="宋体" w:cs="Arial"/>
                <w:b w:val="0"/>
                <w:color w:val="auto"/>
                <w:szCs w:val="24"/>
                <w:highlight w:val="none"/>
              </w:rPr>
              <w:t xml:space="preserve">高亮显示被点评药品功能，方便药师点评。 </w:t>
            </w:r>
          </w:p>
          <w:p w14:paraId="31E22DBF">
            <w:pPr>
              <w:pStyle w:val="4"/>
              <w:keepNext w:val="0"/>
              <w:keepLines w:val="0"/>
              <w:numPr>
                <w:ilvl w:val="0"/>
                <w:numId w:val="17"/>
              </w:numPr>
              <w:ind w:left="0"/>
              <w:rPr>
                <w:rFonts w:ascii="宋体" w:hAnsi="宋体" w:cs="Arial"/>
                <w:b w:val="0"/>
                <w:color w:val="auto"/>
                <w:szCs w:val="24"/>
                <w:highlight w:val="none"/>
              </w:rPr>
            </w:pPr>
            <w:r>
              <w:rPr>
                <w:rFonts w:hint="eastAsia" w:ascii="宋体" w:hAnsi="宋体" w:cs="Arial"/>
                <w:b w:val="0"/>
                <w:color w:val="auto"/>
                <w:szCs w:val="24"/>
                <w:highlight w:val="none"/>
              </w:rPr>
              <w:t>▲系统应能自定义点评模板及点评点，实现个性化点评需求。</w:t>
            </w:r>
          </w:p>
          <w:p w14:paraId="4D01BEBE">
            <w:pPr>
              <w:pStyle w:val="4"/>
              <w:keepNext w:val="0"/>
              <w:keepLines w:val="0"/>
              <w:numPr>
                <w:ilvl w:val="0"/>
                <w:numId w:val="17"/>
              </w:numPr>
              <w:ind w:left="0"/>
              <w:rPr>
                <w:rFonts w:ascii="宋体" w:hAnsi="宋体" w:cs="Arial"/>
                <w:b w:val="0"/>
                <w:color w:val="auto"/>
                <w:szCs w:val="24"/>
                <w:highlight w:val="none"/>
              </w:rPr>
            </w:pPr>
            <w:r>
              <w:rPr>
                <w:rFonts w:hint="eastAsia" w:ascii="宋体" w:hAnsi="宋体" w:cs="Arial"/>
                <w:b w:val="0"/>
                <w:color w:val="auto"/>
                <w:szCs w:val="24"/>
                <w:highlight w:val="none"/>
              </w:rPr>
              <w:t>▲系统应能自动生成住院患者用药联用图、时序图，并支持自定义。住院患者时序图包含患者体征、用药、手术和检验信息等内容。</w:t>
            </w:r>
          </w:p>
          <w:p w14:paraId="56FF6E5E">
            <w:pPr>
              <w:pStyle w:val="4"/>
              <w:keepNext w:val="0"/>
              <w:keepLines w:val="0"/>
              <w:numPr>
                <w:ilvl w:val="0"/>
                <w:numId w:val="17"/>
              </w:numPr>
              <w:ind w:left="0"/>
              <w:rPr>
                <w:rFonts w:ascii="宋体" w:hAnsi="宋体" w:cs="Arial"/>
                <w:b w:val="0"/>
                <w:color w:val="auto"/>
                <w:szCs w:val="24"/>
                <w:highlight w:val="none"/>
              </w:rPr>
            </w:pPr>
            <w:r>
              <w:rPr>
                <w:rFonts w:hint="eastAsia" w:ascii="宋体" w:hAnsi="宋体" w:cs="Arial"/>
                <w:b w:val="0"/>
                <w:color w:val="auto"/>
                <w:szCs w:val="24"/>
                <w:highlight w:val="none"/>
              </w:rPr>
              <w:t>系统应能自动生成点评相关报表及任务完成情况等管理报表。</w:t>
            </w:r>
          </w:p>
          <w:p w14:paraId="2039E2D8">
            <w:pPr>
              <w:rPr>
                <w:rFonts w:ascii="宋体" w:hAnsi="宋体" w:eastAsia="宋体"/>
                <w:color w:val="auto"/>
                <w:szCs w:val="24"/>
                <w:highlight w:val="none"/>
              </w:rPr>
            </w:pPr>
            <w:r>
              <w:rPr>
                <w:rFonts w:ascii="宋体" w:hAnsi="宋体" w:eastAsia="宋体"/>
                <w:color w:val="auto"/>
                <w:szCs w:val="24"/>
                <w:highlight w:val="none"/>
              </w:rPr>
              <w:t xml:space="preserve">3.7 </w:t>
            </w:r>
            <w:r>
              <w:rPr>
                <w:rFonts w:hint="eastAsia" w:ascii="宋体" w:hAnsi="宋体" w:eastAsia="宋体" w:cs="宋体"/>
                <w:color w:val="auto"/>
                <w:szCs w:val="24"/>
                <w:highlight w:val="none"/>
              </w:rPr>
              <w:t>系统应包含全处方点评、全医嘱点评、门急诊</w:t>
            </w:r>
            <w:r>
              <w:rPr>
                <w:rFonts w:ascii="宋体" w:hAnsi="宋体" w:eastAsia="宋体"/>
                <w:color w:val="auto"/>
                <w:szCs w:val="24"/>
                <w:highlight w:val="none"/>
              </w:rPr>
              <w:t>/</w:t>
            </w:r>
            <w:r>
              <w:rPr>
                <w:rFonts w:hint="eastAsia" w:ascii="宋体" w:hAnsi="宋体" w:eastAsia="宋体" w:cs="宋体"/>
                <w:color w:val="auto"/>
                <w:szCs w:val="24"/>
                <w:highlight w:val="none"/>
              </w:rPr>
              <w:t>住院抗菌药物专项点评、围手术期抗菌药物专项点评、门急诊</w:t>
            </w:r>
            <w:r>
              <w:rPr>
                <w:rFonts w:ascii="宋体" w:hAnsi="宋体" w:eastAsia="宋体"/>
                <w:color w:val="auto"/>
                <w:szCs w:val="24"/>
                <w:highlight w:val="none"/>
              </w:rPr>
              <w:t>/</w:t>
            </w:r>
            <w:r>
              <w:rPr>
                <w:rFonts w:hint="eastAsia" w:ascii="宋体" w:hAnsi="宋体" w:eastAsia="宋体" w:cs="宋体"/>
                <w:color w:val="auto"/>
                <w:szCs w:val="24"/>
                <w:highlight w:val="none"/>
              </w:rPr>
              <w:t>住院专项药品点评、门急诊</w:t>
            </w:r>
            <w:r>
              <w:rPr>
                <w:rFonts w:ascii="宋体" w:hAnsi="宋体" w:eastAsia="宋体"/>
                <w:color w:val="auto"/>
                <w:szCs w:val="24"/>
                <w:highlight w:val="none"/>
              </w:rPr>
              <w:t>/</w:t>
            </w:r>
            <w:r>
              <w:rPr>
                <w:rFonts w:hint="eastAsia" w:ascii="宋体" w:hAnsi="宋体" w:eastAsia="宋体" w:cs="宋体"/>
                <w:color w:val="auto"/>
                <w:szCs w:val="24"/>
                <w:highlight w:val="none"/>
              </w:rPr>
              <w:t>住院抗肿瘤药物专项点评、住院病人特殊级抗菌药物专项点评、▲住院病人碳青霉烯类及替加环素专项点评、住院病人人血白蛋白专项点评、▲门（急）诊</w:t>
            </w:r>
            <w:r>
              <w:rPr>
                <w:rFonts w:ascii="宋体" w:hAnsi="宋体" w:eastAsia="宋体"/>
                <w:color w:val="auto"/>
                <w:szCs w:val="24"/>
                <w:highlight w:val="none"/>
              </w:rPr>
              <w:t>/</w:t>
            </w:r>
            <w:r>
              <w:rPr>
                <w:rFonts w:hint="eastAsia" w:ascii="宋体" w:hAnsi="宋体" w:eastAsia="宋体" w:cs="宋体"/>
                <w:color w:val="auto"/>
                <w:szCs w:val="24"/>
                <w:highlight w:val="none"/>
              </w:rPr>
              <w:t>住院中药饮片专项点评、门（急）诊中成药处方专项点评、▲用药排名医嘱点评、住院用药医嘱点评、出院带药医嘱点评、门（急）诊基本药物专项点评、▲住院病人肠外营养专项点评、住院病人自备药专项点评</w:t>
            </w:r>
            <w:r>
              <w:rPr>
                <w:rFonts w:hint="eastAsia" w:ascii="宋体" w:hAnsi="宋体" w:eastAsia="宋体" w:cstheme="majorBidi"/>
                <w:color w:val="auto"/>
                <w:szCs w:val="24"/>
                <w:highlight w:val="none"/>
              </w:rPr>
              <w:t>、门（急）诊外延处方点评</w:t>
            </w:r>
            <w:r>
              <w:rPr>
                <w:rFonts w:hint="eastAsia" w:ascii="宋体" w:hAnsi="宋体" w:eastAsia="宋体"/>
                <w:color w:val="auto"/>
                <w:szCs w:val="24"/>
                <w:highlight w:val="none"/>
              </w:rPr>
              <w:t>。</w:t>
            </w:r>
          </w:p>
        </w:tc>
      </w:tr>
      <w:tr w14:paraId="660A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34B8A1C">
            <w:pPr>
              <w:pStyle w:val="25"/>
              <w:numPr>
                <w:ilvl w:val="0"/>
                <w:numId w:val="16"/>
              </w:numPr>
              <w:spacing w:line="360" w:lineRule="auto"/>
              <w:ind w:left="562"/>
              <w:rPr>
                <w:rFonts w:ascii="宋体" w:hAnsi="宋体" w:eastAsia="宋体"/>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3FE3907">
            <w:pPr>
              <w:rPr>
                <w:rFonts w:ascii="宋体" w:hAnsi="宋体" w:eastAsia="宋体"/>
                <w:color w:val="auto"/>
                <w:szCs w:val="24"/>
                <w:highlight w:val="none"/>
              </w:rPr>
            </w:pPr>
            <w:r>
              <w:rPr>
                <w:rFonts w:hint="eastAsia" w:ascii="宋体" w:hAnsi="宋体" w:eastAsia="宋体"/>
                <w:color w:val="auto"/>
                <w:szCs w:val="24"/>
                <w:highlight w:val="none"/>
              </w:rPr>
              <w:t>抗菌药物临床应用监测</w:t>
            </w:r>
          </w:p>
        </w:tc>
        <w:tc>
          <w:tcPr>
            <w:tcW w:w="6136" w:type="dxa"/>
            <w:tcBorders>
              <w:top w:val="single" w:color="auto" w:sz="4" w:space="0"/>
              <w:left w:val="single" w:color="auto" w:sz="4" w:space="0"/>
              <w:bottom w:val="single" w:color="auto" w:sz="4" w:space="0"/>
              <w:right w:val="single" w:color="auto" w:sz="4" w:space="0"/>
            </w:tcBorders>
            <w:vAlign w:val="center"/>
          </w:tcPr>
          <w:p w14:paraId="1ADE87C1">
            <w:pPr>
              <w:rPr>
                <w:rFonts w:ascii="宋体" w:hAnsi="宋体" w:eastAsia="宋体"/>
                <w:color w:val="auto"/>
                <w:szCs w:val="24"/>
                <w:highlight w:val="none"/>
              </w:rPr>
            </w:pPr>
            <w:r>
              <w:rPr>
                <w:rFonts w:hint="eastAsia" w:ascii="宋体" w:hAnsi="宋体" w:eastAsia="宋体" w:cs="Arial"/>
                <w:bCs/>
                <w:color w:val="auto"/>
                <w:szCs w:val="24"/>
                <w:highlight w:val="none"/>
              </w:rPr>
              <w:t>系统应根据卫生部《抗菌药物临床应用监测方案》中的相关规定，完成抗菌药物临床应用监测网要求的抗菌药物使用情况统计及上报工作。▲系统应提供手术/非手术抗菌药物使用情况调查表、门诊/急诊/住院患者抗菌药物使用情况统计报表的离线上报功能，可直接上传文档至监测网完成填报工作，避免二次填写。</w:t>
            </w:r>
          </w:p>
        </w:tc>
      </w:tr>
      <w:tr w14:paraId="1D81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43618777">
            <w:pPr>
              <w:pStyle w:val="25"/>
              <w:numPr>
                <w:ilvl w:val="0"/>
                <w:numId w:val="16"/>
              </w:numPr>
              <w:spacing w:line="360" w:lineRule="auto"/>
              <w:ind w:left="562"/>
              <w:rPr>
                <w:rFonts w:ascii="宋体" w:hAnsi="宋体" w:eastAsia="宋体"/>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F96BF65">
            <w:pPr>
              <w:rPr>
                <w:rFonts w:ascii="宋体" w:hAnsi="宋体" w:eastAsia="宋体"/>
                <w:color w:val="auto"/>
                <w:szCs w:val="24"/>
                <w:highlight w:val="none"/>
              </w:rPr>
            </w:pPr>
            <w:r>
              <w:rPr>
                <w:rFonts w:hint="eastAsia" w:ascii="宋体" w:hAnsi="宋体" w:eastAsia="宋体"/>
                <w:color w:val="auto"/>
                <w:szCs w:val="24"/>
                <w:highlight w:val="none"/>
              </w:rPr>
              <w:t>电子药历</w:t>
            </w:r>
          </w:p>
        </w:tc>
        <w:tc>
          <w:tcPr>
            <w:tcW w:w="6136" w:type="dxa"/>
            <w:tcBorders>
              <w:top w:val="single" w:color="auto" w:sz="4" w:space="0"/>
              <w:left w:val="single" w:color="auto" w:sz="4" w:space="0"/>
              <w:bottom w:val="single" w:color="auto" w:sz="4" w:space="0"/>
              <w:right w:val="single" w:color="auto" w:sz="4" w:space="0"/>
            </w:tcBorders>
            <w:vAlign w:val="center"/>
          </w:tcPr>
          <w:p w14:paraId="25392D08">
            <w:pPr>
              <w:rPr>
                <w:rFonts w:ascii="宋体" w:hAnsi="宋体" w:eastAsia="宋体" w:cs="Arial"/>
                <w:bCs/>
                <w:color w:val="auto"/>
                <w:szCs w:val="24"/>
                <w:highlight w:val="none"/>
              </w:rPr>
            </w:pPr>
            <w:r>
              <w:rPr>
                <w:rFonts w:hint="eastAsia" w:ascii="宋体" w:hAnsi="宋体" w:eastAsia="宋体" w:cs="Arial"/>
                <w:bCs/>
                <w:color w:val="auto"/>
                <w:szCs w:val="24"/>
                <w:highlight w:val="none"/>
              </w:rPr>
              <w:t>系统应提供工作药历、教学药历填写模块，并提供▲自定义药历内容、药历审阅和工作量统计。</w:t>
            </w:r>
          </w:p>
        </w:tc>
      </w:tr>
      <w:tr w14:paraId="1DA3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047D2C5A">
            <w:pPr>
              <w:pStyle w:val="25"/>
              <w:numPr>
                <w:ilvl w:val="0"/>
                <w:numId w:val="16"/>
              </w:numPr>
              <w:spacing w:line="360" w:lineRule="auto"/>
              <w:ind w:left="562"/>
              <w:rPr>
                <w:rFonts w:ascii="宋体" w:hAnsi="宋体" w:eastAsia="宋体"/>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11B3097">
            <w:pPr>
              <w:rPr>
                <w:rFonts w:ascii="宋体" w:hAnsi="宋体" w:eastAsia="宋体"/>
                <w:color w:val="auto"/>
                <w:szCs w:val="24"/>
                <w:highlight w:val="none"/>
              </w:rPr>
            </w:pPr>
            <w:r>
              <w:rPr>
                <w:rFonts w:hint="eastAsia" w:ascii="宋体" w:hAnsi="宋体" w:eastAsia="宋体"/>
                <w:color w:val="auto"/>
                <w:szCs w:val="24"/>
                <w:highlight w:val="none"/>
              </w:rPr>
              <w:t>统计分析</w:t>
            </w:r>
          </w:p>
        </w:tc>
        <w:tc>
          <w:tcPr>
            <w:tcW w:w="6136" w:type="dxa"/>
            <w:tcBorders>
              <w:top w:val="single" w:color="auto" w:sz="4" w:space="0"/>
              <w:left w:val="single" w:color="auto" w:sz="4" w:space="0"/>
              <w:bottom w:val="single" w:color="auto" w:sz="4" w:space="0"/>
              <w:right w:val="single" w:color="auto" w:sz="4" w:space="0"/>
            </w:tcBorders>
            <w:vAlign w:val="center"/>
          </w:tcPr>
          <w:p w14:paraId="1B23FE07">
            <w:pPr>
              <w:rPr>
                <w:rFonts w:ascii="宋体" w:hAnsi="宋体" w:eastAsia="宋体" w:cs="Arial"/>
                <w:bCs/>
                <w:color w:val="auto"/>
                <w:szCs w:val="24"/>
                <w:highlight w:val="none"/>
              </w:rPr>
            </w:pPr>
            <w:r>
              <w:rPr>
                <w:rFonts w:hint="eastAsia" w:ascii="宋体" w:hAnsi="宋体" w:eastAsia="宋体" w:cs="Arial"/>
                <w:bCs/>
                <w:color w:val="auto"/>
                <w:szCs w:val="24"/>
                <w:highlight w:val="none"/>
              </w:rPr>
              <w:t>系统应提供对医院合理用药指标及药品使用情况的统计分析，并能自定义显示和导出。同时提供关键字检索功能，便于快速查询指标。</w:t>
            </w:r>
          </w:p>
          <w:p w14:paraId="4ED51EF8">
            <w:pPr>
              <w:pStyle w:val="4"/>
              <w:numPr>
                <w:ilvl w:val="0"/>
                <w:numId w:val="18"/>
              </w:numPr>
              <w:ind w:left="0" w:firstLine="0"/>
              <w:rPr>
                <w:rFonts w:ascii="宋体" w:hAnsi="宋体" w:cs="Arial"/>
                <w:b w:val="0"/>
                <w:bCs w:val="0"/>
                <w:color w:val="auto"/>
                <w:szCs w:val="24"/>
                <w:highlight w:val="none"/>
              </w:rPr>
            </w:pPr>
            <w:r>
              <w:rPr>
                <w:rFonts w:hint="eastAsia" w:ascii="宋体" w:hAnsi="宋体" w:cs="Arial"/>
                <w:b w:val="0"/>
                <w:bCs w:val="0"/>
                <w:color w:val="auto"/>
                <w:szCs w:val="24"/>
                <w:highlight w:val="none"/>
              </w:rPr>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w:t>
            </w:r>
            <w:r>
              <w:rPr>
                <w:rFonts w:hint="eastAsia" w:ascii="宋体" w:hAnsi="宋体"/>
                <w:b w:val="0"/>
                <w:bCs w:val="0"/>
                <w:color w:val="auto"/>
                <w:szCs w:val="24"/>
                <w:highlight w:val="none"/>
              </w:rPr>
              <w:t>应能实现抗菌药物使用强度、抗菌药物使用率、抗菌药物使用量、I类切口手术预防用抗菌药物百分率、国家基本药物药占比同比、环比分析。</w:t>
            </w:r>
          </w:p>
          <w:p w14:paraId="6111F46C">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自定义合理用药指标</w:t>
            </w:r>
          </w:p>
          <w:p w14:paraId="08DAB565">
            <w:pPr>
              <w:rPr>
                <w:rFonts w:ascii="宋体" w:hAnsi="宋体" w:eastAsia="宋体" w:cs="Arial"/>
                <w:bCs/>
                <w:color w:val="auto"/>
                <w:szCs w:val="24"/>
                <w:highlight w:val="none"/>
              </w:rPr>
            </w:pPr>
            <w:r>
              <w:rPr>
                <w:rFonts w:hint="eastAsia" w:ascii="宋体" w:hAnsi="宋体" w:eastAsia="宋体" w:cs="Arial"/>
                <w:bCs/>
                <w:color w:val="auto"/>
                <w:szCs w:val="24"/>
                <w:highlight w:val="none"/>
              </w:rPr>
              <w:t>▲系统应提供自定义合理用药指标功能，可自行设置指标分子、分母进行统计。自定义要素包含药品、治疗金额、药品金额、处方数、病人数、药品品种数、使用量DDDs、人天数、用药医嘱条目数。</w:t>
            </w:r>
          </w:p>
          <w:p w14:paraId="496D9538">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药品使用强度统计</w:t>
            </w:r>
          </w:p>
          <w:p w14:paraId="0C0261A9">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药品金额、数量、DDDs统计</w:t>
            </w:r>
          </w:p>
          <w:p w14:paraId="52693B7A">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药品使用人次统计</w:t>
            </w:r>
          </w:p>
          <w:p w14:paraId="2A1BA22B">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注射剂/大容量注射液统计</w:t>
            </w:r>
          </w:p>
          <w:p w14:paraId="01292637">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药品品种/费用构成统计</w:t>
            </w:r>
          </w:p>
          <w:p w14:paraId="22ABB03F">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门（急）诊大处方分析</w:t>
            </w:r>
          </w:p>
          <w:p w14:paraId="2F95376E">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抗菌药物使用清单及统计</w:t>
            </w:r>
          </w:p>
          <w:p w14:paraId="0A7C5470">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基本药物使用清单及统计</w:t>
            </w:r>
          </w:p>
          <w:p w14:paraId="5EC003DF">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麻精药品管理处方登记表</w:t>
            </w:r>
          </w:p>
          <w:p w14:paraId="07616688">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▲国家三级公立医院绩效考核</w:t>
            </w:r>
          </w:p>
          <w:p w14:paraId="3EA72967">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▲全国抗菌药物临床应用管理</w:t>
            </w:r>
          </w:p>
          <w:p w14:paraId="2DEC1E86">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▲国家卫生计生委抗菌药物临床应用管理数据上报</w:t>
            </w:r>
          </w:p>
          <w:p w14:paraId="565BC6CE">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▲全国合理用药监测系统</w:t>
            </w:r>
          </w:p>
          <w:p w14:paraId="19E6BBA8">
            <w:pPr>
              <w:pStyle w:val="4"/>
              <w:numPr>
                <w:ilvl w:val="0"/>
                <w:numId w:val="18"/>
              </w:numPr>
              <w:ind w:left="0" w:firstLine="0"/>
              <w:rPr>
                <w:rFonts w:ascii="宋体" w:hAnsi="宋体" w:cs="Arial"/>
                <w:b w:val="0"/>
                <w:color w:val="auto"/>
                <w:szCs w:val="24"/>
                <w:highlight w:val="none"/>
              </w:rPr>
            </w:pPr>
            <w:r>
              <w:rPr>
                <w:rFonts w:hint="eastAsia" w:ascii="宋体" w:hAnsi="宋体" w:cs="Arial"/>
                <w:b w:val="0"/>
                <w:color w:val="auto"/>
                <w:szCs w:val="24"/>
                <w:highlight w:val="none"/>
              </w:rPr>
              <w:t>▲抗肿瘤药物临床应用情况调查表</w:t>
            </w:r>
          </w:p>
          <w:p w14:paraId="5665E230">
            <w:pPr>
              <w:pStyle w:val="4"/>
              <w:numPr>
                <w:ilvl w:val="0"/>
                <w:numId w:val="18"/>
              </w:numPr>
              <w:ind w:left="0" w:firstLine="0"/>
              <w:rPr>
                <w:rFonts w:hint="eastAsia" w:ascii="宋体" w:hAnsi="宋体" w:cs="Arial"/>
                <w:b w:val="0"/>
                <w:color w:val="auto"/>
                <w:szCs w:val="24"/>
                <w:highlight w:val="none"/>
              </w:rPr>
            </w:pPr>
            <w:r>
              <w:rPr>
                <w:rFonts w:hint="eastAsia" w:ascii="宋体" w:hAnsi="宋体" w:cs="Arial"/>
                <w:b w:val="0"/>
                <w:color w:val="auto"/>
                <w:szCs w:val="24"/>
                <w:highlight w:val="none"/>
              </w:rPr>
              <w:t>住院患者静脉输液使用情况抽样</w:t>
            </w:r>
          </w:p>
        </w:tc>
      </w:tr>
      <w:tr w14:paraId="2585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7499896D">
            <w:pPr>
              <w:pStyle w:val="25"/>
              <w:numPr>
                <w:ilvl w:val="0"/>
                <w:numId w:val="16"/>
              </w:numPr>
              <w:spacing w:line="360" w:lineRule="auto"/>
              <w:ind w:left="562"/>
              <w:rPr>
                <w:rFonts w:ascii="宋体" w:hAnsi="宋体" w:eastAsia="宋体"/>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13A2285">
            <w:pPr>
              <w:rPr>
                <w:rFonts w:ascii="宋体" w:hAnsi="宋体" w:eastAsia="宋体"/>
                <w:color w:val="auto"/>
                <w:szCs w:val="24"/>
                <w:highlight w:val="none"/>
              </w:rPr>
            </w:pPr>
            <w:r>
              <w:rPr>
                <w:rFonts w:hint="eastAsia" w:ascii="宋体" w:hAnsi="宋体" w:eastAsia="宋体"/>
                <w:color w:val="auto"/>
                <w:szCs w:val="24"/>
                <w:highlight w:val="none"/>
              </w:rPr>
              <w:t>其它</w:t>
            </w:r>
          </w:p>
        </w:tc>
        <w:tc>
          <w:tcPr>
            <w:tcW w:w="6136" w:type="dxa"/>
            <w:tcBorders>
              <w:top w:val="single" w:color="auto" w:sz="4" w:space="0"/>
              <w:left w:val="single" w:color="auto" w:sz="4" w:space="0"/>
              <w:bottom w:val="single" w:color="auto" w:sz="4" w:space="0"/>
              <w:right w:val="single" w:color="auto" w:sz="4" w:space="0"/>
            </w:tcBorders>
            <w:vAlign w:val="center"/>
          </w:tcPr>
          <w:p w14:paraId="6E4B0EF9">
            <w:pPr>
              <w:pStyle w:val="25"/>
              <w:numPr>
                <w:ilvl w:val="0"/>
                <w:numId w:val="19"/>
              </w:numPr>
              <w:spacing w:line="360" w:lineRule="auto"/>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自维护功能</w:t>
            </w:r>
          </w:p>
          <w:p w14:paraId="508A4B4F">
            <w:pPr>
              <w:rPr>
                <w:rFonts w:ascii="宋体" w:hAnsi="宋体" w:eastAsia="宋体" w:cs="Arial"/>
                <w:bCs/>
                <w:color w:val="auto"/>
                <w:szCs w:val="24"/>
                <w:highlight w:val="none"/>
              </w:rPr>
            </w:pPr>
            <w:r>
              <w:rPr>
                <w:rFonts w:hint="eastAsia" w:ascii="宋体" w:hAnsi="宋体" w:eastAsia="宋体" w:cs="Arial"/>
                <w:bCs/>
                <w:color w:val="auto"/>
                <w:szCs w:val="24"/>
                <w:highlight w:val="none"/>
              </w:rPr>
              <w:t>▲系统应对医院药品属性、</w:t>
            </w:r>
            <w:r>
              <w:rPr>
                <w:rFonts w:hint="eastAsia" w:ascii="宋体" w:hAnsi="宋体" w:eastAsia="宋体"/>
                <w:color w:val="auto"/>
                <w:szCs w:val="24"/>
                <w:highlight w:val="none"/>
              </w:rPr>
              <w:t>给药途径、给药频次、感染疾病类型、检验申请/结果/收费项目类型、手术分类、科室类型、医生抗菌药物权限、围术期用药</w:t>
            </w:r>
            <w:r>
              <w:rPr>
                <w:rFonts w:hint="eastAsia" w:ascii="宋体" w:hAnsi="宋体" w:eastAsia="宋体" w:cs="Arial"/>
                <w:bCs/>
                <w:color w:val="auto"/>
                <w:szCs w:val="24"/>
                <w:highlight w:val="none"/>
              </w:rPr>
              <w:t>等基础数据进行程序自动维护。</w:t>
            </w:r>
          </w:p>
          <w:p w14:paraId="6478026B">
            <w:pPr>
              <w:pStyle w:val="25"/>
              <w:numPr>
                <w:ilvl w:val="0"/>
                <w:numId w:val="19"/>
              </w:numPr>
              <w:spacing w:line="360" w:lineRule="auto"/>
              <w:jc w:val="lef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权限管理</w:t>
            </w:r>
          </w:p>
          <w:p w14:paraId="6B01B236">
            <w:pPr>
              <w:pStyle w:val="5"/>
              <w:numPr>
                <w:ilvl w:val="0"/>
                <w:numId w:val="20"/>
              </w:numPr>
              <w:ind w:left="0" w:firstLine="0"/>
              <w:rPr>
                <w:rFonts w:ascii="宋体" w:hAnsi="宋体" w:cs="Arial"/>
                <w:b w:val="0"/>
                <w:bCs w:val="0"/>
                <w:color w:val="auto"/>
                <w:szCs w:val="24"/>
                <w:highlight w:val="none"/>
              </w:rPr>
            </w:pPr>
            <w:r>
              <w:rPr>
                <w:rFonts w:hint="eastAsia" w:ascii="宋体" w:hAnsi="宋体" w:cs="Arial"/>
                <w:b w:val="0"/>
                <w:bCs w:val="0"/>
                <w:color w:val="auto"/>
                <w:szCs w:val="24"/>
                <w:highlight w:val="none"/>
              </w:rPr>
              <w:t>系统应对各项功能设置严格的权限管理，包括处方点评权限、报表的统计权限、打印/导出权限等。</w:t>
            </w:r>
          </w:p>
          <w:p w14:paraId="3B1EBEAC">
            <w:pPr>
              <w:pStyle w:val="5"/>
              <w:numPr>
                <w:ilvl w:val="0"/>
                <w:numId w:val="20"/>
              </w:numPr>
              <w:ind w:left="0" w:firstLine="0"/>
              <w:rPr>
                <w:rFonts w:ascii="宋体" w:hAnsi="宋体" w:cs="Arial"/>
                <w:color w:val="auto"/>
                <w:szCs w:val="24"/>
                <w:highlight w:val="none"/>
              </w:rPr>
            </w:pPr>
            <w:r>
              <w:rPr>
                <w:rFonts w:hint="eastAsia" w:ascii="宋体" w:hAnsi="宋体" w:cs="Arial"/>
                <w:b w:val="0"/>
                <w:bCs w:val="0"/>
                <w:color w:val="auto"/>
                <w:szCs w:val="24"/>
                <w:highlight w:val="none"/>
              </w:rPr>
              <w:t>▲系统应提供用户操作日志、版本更新内容查询功能。</w:t>
            </w:r>
          </w:p>
        </w:tc>
      </w:tr>
    </w:tbl>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51"/>
        <w:gridCol w:w="6379"/>
      </w:tblGrid>
      <w:tr w14:paraId="010A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gridSpan w:val="3"/>
            <w:tcBorders>
              <w:top w:val="single" w:color="auto" w:sz="4" w:space="0"/>
              <w:left w:val="single" w:color="auto" w:sz="4" w:space="0"/>
              <w:bottom w:val="single" w:color="auto" w:sz="4" w:space="0"/>
              <w:right w:val="single" w:color="auto" w:sz="4" w:space="0"/>
            </w:tcBorders>
            <w:vAlign w:val="center"/>
          </w:tcPr>
          <w:p w14:paraId="14364539">
            <w:pPr>
              <w:adjustRightInd w:val="0"/>
              <w:snapToGrid w:val="0"/>
              <w:rPr>
                <w:rFonts w:ascii="宋体" w:hAnsi="宋体" w:eastAsia="宋体" w:cs="宋体"/>
                <w:b/>
                <w:color w:val="auto"/>
                <w:szCs w:val="24"/>
                <w:highlight w:val="none"/>
              </w:rPr>
            </w:pPr>
            <w:r>
              <w:rPr>
                <w:rFonts w:hint="eastAsia" w:ascii="宋体" w:hAnsi="宋体" w:eastAsia="宋体" w:cs="宋体"/>
                <w:b/>
                <w:color w:val="auto"/>
                <w:szCs w:val="24"/>
                <w:highlight w:val="none"/>
              </w:rPr>
              <w:t>药物信息查询功能要求</w:t>
            </w:r>
          </w:p>
        </w:tc>
      </w:tr>
      <w:tr w14:paraId="48EC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049503DA">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3C179B7">
            <w:pPr>
              <w:adjustRightInd w:val="0"/>
              <w:snapToGrid w:val="0"/>
              <w:jc w:val="center"/>
              <w:rPr>
                <w:rFonts w:ascii="宋体" w:hAnsi="宋体" w:eastAsia="宋体" w:cs="宋体"/>
                <w:bCs/>
                <w:color w:val="auto"/>
                <w:szCs w:val="24"/>
                <w:highlight w:val="none"/>
              </w:rPr>
            </w:pPr>
            <w:r>
              <w:rPr>
                <w:rFonts w:hint="eastAsia" w:ascii="宋体" w:hAnsi="宋体" w:eastAsia="宋体" w:cs="Arial"/>
                <w:color w:val="auto"/>
                <w:szCs w:val="24"/>
                <w:highlight w:val="none"/>
              </w:rPr>
              <w:t>▲</w:t>
            </w:r>
            <w:r>
              <w:rPr>
                <w:rFonts w:hint="eastAsia" w:ascii="宋体" w:hAnsi="宋体" w:eastAsia="宋体" w:cs="宋体"/>
                <w:bCs/>
                <w:color w:val="auto"/>
                <w:szCs w:val="24"/>
                <w:highlight w:val="none"/>
              </w:rPr>
              <w:t>药物信息参考</w:t>
            </w:r>
          </w:p>
        </w:tc>
        <w:tc>
          <w:tcPr>
            <w:tcW w:w="6379" w:type="dxa"/>
            <w:tcBorders>
              <w:top w:val="single" w:color="auto" w:sz="4" w:space="0"/>
              <w:left w:val="single" w:color="auto" w:sz="4" w:space="0"/>
              <w:bottom w:val="single" w:color="auto" w:sz="4" w:space="0"/>
              <w:right w:val="single" w:color="auto" w:sz="4" w:space="0"/>
            </w:tcBorders>
            <w:vAlign w:val="center"/>
          </w:tcPr>
          <w:p w14:paraId="10675DAC">
            <w:pPr>
              <w:pStyle w:val="25"/>
              <w:numPr>
                <w:ilvl w:val="0"/>
                <w:numId w:val="22"/>
              </w:numPr>
              <w:tabs>
                <w:tab w:val="left" w:pos="0"/>
              </w:tabs>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、“系统”应提供国内外上市药品的详细临床用药信息，内容包括药物的各种名称、临床应用、用法与用量、注意事项、不良反应、药物相互作用、给药说明、药理、制剂与规格等信息。</w:t>
            </w:r>
          </w:p>
          <w:p w14:paraId="68815132">
            <w:pPr>
              <w:pStyle w:val="25"/>
              <w:numPr>
                <w:ilvl w:val="0"/>
                <w:numId w:val="22"/>
              </w:numPr>
              <w:tabs>
                <w:tab w:val="left" w:pos="709"/>
              </w:tabs>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、应可查看特殊人群（老人、儿童、妊娠期妇女、哺乳期妇女）及特殊疾病状态（如肝功能不全、肾功能不全、心力衰竭等）患者用药的注意事项。</w:t>
            </w:r>
          </w:p>
          <w:p w14:paraId="4414D078">
            <w:pPr>
              <w:pStyle w:val="25"/>
              <w:numPr>
                <w:ilvl w:val="0"/>
                <w:numId w:val="22"/>
              </w:numPr>
              <w:tabs>
                <w:tab w:val="left" w:pos="709"/>
              </w:tabs>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、应提供与药物临床应用密切相关的信息如不良反应处理方法、药物对检验值或诊断的影响等。 </w:t>
            </w:r>
          </w:p>
          <w:p w14:paraId="6D8E553F">
            <w:pPr>
              <w:pStyle w:val="25"/>
              <w:numPr>
                <w:ilvl w:val="0"/>
                <w:numId w:val="22"/>
              </w:numPr>
              <w:tabs>
                <w:tab w:val="left" w:pos="709"/>
              </w:tabs>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、应提供高警讯药物、国外专科信息供临床参考。</w:t>
            </w:r>
          </w:p>
          <w:p w14:paraId="086940EF">
            <w:pPr>
              <w:pStyle w:val="25"/>
              <w:numPr>
                <w:ilvl w:val="0"/>
                <w:numId w:val="22"/>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所有信息均应提供参考文献。</w:t>
            </w:r>
          </w:p>
        </w:tc>
      </w:tr>
      <w:tr w14:paraId="6B8F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3F5302B6">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E9BE365">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药品说明书</w:t>
            </w:r>
          </w:p>
        </w:tc>
        <w:tc>
          <w:tcPr>
            <w:tcW w:w="6379" w:type="dxa"/>
            <w:tcBorders>
              <w:top w:val="single" w:color="auto" w:sz="4" w:space="0"/>
              <w:left w:val="single" w:color="auto" w:sz="4" w:space="0"/>
              <w:bottom w:val="single" w:color="auto" w:sz="4" w:space="0"/>
              <w:right w:val="single" w:color="auto" w:sz="4" w:space="0"/>
            </w:tcBorders>
            <w:vAlign w:val="center"/>
          </w:tcPr>
          <w:p w14:paraId="6D6F8D61">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“系统”应提供国家药品监督管理局（NMPA）批准的厂家药品说明书，应可查看NMPA发布的说明书修订通知。还应提供高级检索的功能。</w:t>
            </w:r>
          </w:p>
        </w:tc>
      </w:tr>
      <w:tr w14:paraId="3B92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01FE5F03">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168FB329">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▲妊娠哺乳</w:t>
            </w:r>
          </w:p>
          <w:p w14:paraId="21D8E0CC">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用药</w:t>
            </w:r>
          </w:p>
        </w:tc>
        <w:tc>
          <w:tcPr>
            <w:tcW w:w="6379" w:type="dxa"/>
            <w:tcBorders>
              <w:top w:val="single" w:color="auto" w:sz="4" w:space="0"/>
              <w:left w:val="single" w:color="auto" w:sz="4" w:space="0"/>
              <w:bottom w:val="single" w:color="auto" w:sz="4" w:space="0"/>
              <w:right w:val="single" w:color="auto" w:sz="4" w:space="0"/>
            </w:tcBorders>
            <w:vAlign w:val="center"/>
          </w:tcPr>
          <w:p w14:paraId="1834C5BB">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基于循证医学原则评价国内外药品说明书、专业数据库、专著、研究文献，对妊娠期和哺乳期药物暴露风险进行评估，提出用药建议。提供药代动力学、文献报道等供临床参考。所有信息均应提供参考文献。</w:t>
            </w:r>
          </w:p>
        </w:tc>
      </w:tr>
      <w:tr w14:paraId="6508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7A53C0BD">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7A160E83">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用药教育</w:t>
            </w:r>
          </w:p>
        </w:tc>
        <w:tc>
          <w:tcPr>
            <w:tcW w:w="6379" w:type="dxa"/>
            <w:tcBorders>
              <w:top w:val="single" w:color="auto" w:sz="4" w:space="0"/>
              <w:left w:val="single" w:color="auto" w:sz="4" w:space="0"/>
              <w:bottom w:val="single" w:color="auto" w:sz="4" w:space="0"/>
              <w:right w:val="single" w:color="auto" w:sz="4" w:space="0"/>
            </w:tcBorders>
            <w:vAlign w:val="center"/>
          </w:tcPr>
          <w:p w14:paraId="3B37C189">
            <w:pPr>
              <w:tabs>
                <w:tab w:val="left" w:pos="709"/>
              </w:tabs>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“系统”应为专业人员提供便于辅导病人用药的信息，以通俗易懂的语言，借助图片等形式描述药品的用途、副作用、用药期间注意事项、特殊给药方式图示等信息。</w:t>
            </w:r>
          </w:p>
        </w:tc>
      </w:tr>
      <w:tr w14:paraId="5C73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0E7E5FEC">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21328ED1">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ICD</w:t>
            </w:r>
          </w:p>
        </w:tc>
        <w:tc>
          <w:tcPr>
            <w:tcW w:w="6379" w:type="dxa"/>
            <w:tcBorders>
              <w:top w:val="single" w:color="auto" w:sz="4" w:space="0"/>
              <w:left w:val="single" w:color="auto" w:sz="4" w:space="0"/>
              <w:bottom w:val="single" w:color="auto" w:sz="4" w:space="0"/>
              <w:right w:val="single" w:color="auto" w:sz="4" w:space="0"/>
            </w:tcBorders>
            <w:vAlign w:val="center"/>
          </w:tcPr>
          <w:p w14:paraId="2B9DB69A">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“系统”应提供ICD10、ICD-9-CM-3、肿瘤形态学编码、ICD-11和国家医疗保障DRG分组的查询功能。</w:t>
            </w:r>
          </w:p>
        </w:tc>
      </w:tr>
      <w:tr w14:paraId="6C67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42FFC20E">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8C47637">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ATC编码与DDD值</w:t>
            </w:r>
          </w:p>
        </w:tc>
        <w:tc>
          <w:tcPr>
            <w:tcW w:w="6379" w:type="dxa"/>
            <w:tcBorders>
              <w:top w:val="single" w:color="auto" w:sz="4" w:space="0"/>
              <w:left w:val="single" w:color="auto" w:sz="4" w:space="0"/>
              <w:bottom w:val="single" w:color="auto" w:sz="4" w:space="0"/>
              <w:right w:val="single" w:color="auto" w:sz="4" w:space="0"/>
            </w:tcBorders>
            <w:vAlign w:val="center"/>
          </w:tcPr>
          <w:p w14:paraId="53F801BB">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“系统”应提供国内外权威机构发布的药物ATC编码与DDD值，应可查看药物对应的上市药品信息。</w:t>
            </w:r>
          </w:p>
        </w:tc>
      </w:tr>
      <w:tr w14:paraId="10B0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536A5D5F">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328CE8F1">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检验值</w:t>
            </w:r>
          </w:p>
        </w:tc>
        <w:tc>
          <w:tcPr>
            <w:tcW w:w="6379" w:type="dxa"/>
            <w:tcBorders>
              <w:top w:val="single" w:color="auto" w:sz="4" w:space="0"/>
              <w:left w:val="single" w:color="auto" w:sz="4" w:space="0"/>
              <w:bottom w:val="single" w:color="auto" w:sz="4" w:space="0"/>
              <w:right w:val="single" w:color="auto" w:sz="4" w:space="0"/>
            </w:tcBorders>
            <w:vAlign w:val="center"/>
          </w:tcPr>
          <w:p w14:paraId="62D140D0">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“系统”应提供常用检验项目信息，应包含检验项目正常参考值范围、结果及临床意义、药物对检验结果的影响等内容。可按检验类别查询，也可按检验名称查询检验值信息。</w:t>
            </w:r>
          </w:p>
        </w:tc>
      </w:tr>
      <w:tr w14:paraId="5D30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56C20250">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BDF8C67">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药品基本信息</w:t>
            </w:r>
          </w:p>
        </w:tc>
        <w:tc>
          <w:tcPr>
            <w:tcW w:w="6379" w:type="dxa"/>
            <w:tcBorders>
              <w:top w:val="single" w:color="auto" w:sz="4" w:space="0"/>
              <w:left w:val="single" w:color="auto" w:sz="4" w:space="0"/>
              <w:bottom w:val="single" w:color="auto" w:sz="4" w:space="0"/>
              <w:right w:val="single" w:color="auto" w:sz="4" w:space="0"/>
            </w:tcBorders>
            <w:vAlign w:val="center"/>
          </w:tcPr>
          <w:p w14:paraId="7A1A4759">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国家药品监督管理局（NMPA）批准上市药品的信息，包括药品的通用名、商品名、剂型、规格、批准文号/药品编码、生产厂家，并标注基本药物、社保品种、OTC药物、兴奋药品、精神类药品、麻醉类药品、原研药、仿制药等。可查询药品生产企业获批生产的药品信息，并可查看药品说明书。可查询国家集采药品数据及替代药品参考监测范围、兴奋剂目录、国家重点监控合理用药药品目录。</w:t>
            </w:r>
          </w:p>
        </w:tc>
      </w:tr>
      <w:tr w14:paraId="6E17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17477BC4">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2C63C5CD">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临床路径</w:t>
            </w:r>
          </w:p>
        </w:tc>
        <w:tc>
          <w:tcPr>
            <w:tcW w:w="6379" w:type="dxa"/>
            <w:tcBorders>
              <w:top w:val="single" w:color="auto" w:sz="4" w:space="0"/>
              <w:left w:val="single" w:color="auto" w:sz="4" w:space="0"/>
              <w:bottom w:val="single" w:color="auto" w:sz="4" w:space="0"/>
              <w:right w:val="single" w:color="auto" w:sz="4" w:space="0"/>
            </w:tcBorders>
            <w:vAlign w:val="center"/>
          </w:tcPr>
          <w:p w14:paraId="0AA81AC6">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“系统”应提供国家卫健委发布的临床路径，应覆盖临床常见疾病品种。可按临床科室分类浏览，也可按疾病关键词检索临床路径。</w:t>
            </w:r>
          </w:p>
        </w:tc>
      </w:tr>
      <w:tr w14:paraId="3610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233F2F27">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4A00B51F">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医药公式</w:t>
            </w:r>
          </w:p>
        </w:tc>
        <w:tc>
          <w:tcPr>
            <w:tcW w:w="6379" w:type="dxa"/>
            <w:tcBorders>
              <w:top w:val="single" w:color="auto" w:sz="4" w:space="0"/>
              <w:left w:val="single" w:color="auto" w:sz="4" w:space="0"/>
              <w:bottom w:val="single" w:color="auto" w:sz="4" w:space="0"/>
              <w:right w:val="single" w:color="auto" w:sz="4" w:space="0"/>
            </w:tcBorders>
            <w:vAlign w:val="center"/>
          </w:tcPr>
          <w:p w14:paraId="18314AD1">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“系统”应提供常用医药公式、评分、分级标准量表等，内容涵盖了内科、外科、妇产科、儿科、神经科等，公式应提供计算功能。可按临床科室分类浏览，也可按公式名称检索。</w:t>
            </w:r>
          </w:p>
        </w:tc>
      </w:tr>
      <w:tr w14:paraId="0AD2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1F8E39A8">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2E46991B">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医药时讯</w:t>
            </w:r>
          </w:p>
        </w:tc>
        <w:tc>
          <w:tcPr>
            <w:tcW w:w="6379" w:type="dxa"/>
            <w:tcBorders>
              <w:top w:val="single" w:color="auto" w:sz="4" w:space="0"/>
              <w:left w:val="single" w:color="auto" w:sz="4" w:space="0"/>
              <w:bottom w:val="single" w:color="auto" w:sz="4" w:space="0"/>
              <w:right w:val="single" w:color="auto" w:sz="4" w:space="0"/>
            </w:tcBorders>
            <w:vAlign w:val="center"/>
          </w:tcPr>
          <w:p w14:paraId="656C67B0">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“系统”应提供国内外政府网站和医药学专业数据库、核心期刊发布的最新药物研究成果、药物警戒信息、新药研发和上市资讯等内容。</w:t>
            </w:r>
          </w:p>
        </w:tc>
      </w:tr>
      <w:tr w14:paraId="629F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52D0C0DF">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2D840D8B">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医药法规</w:t>
            </w:r>
          </w:p>
        </w:tc>
        <w:tc>
          <w:tcPr>
            <w:tcW w:w="6379" w:type="dxa"/>
            <w:tcBorders>
              <w:top w:val="single" w:color="auto" w:sz="4" w:space="0"/>
              <w:left w:val="single" w:color="auto" w:sz="4" w:space="0"/>
              <w:bottom w:val="single" w:color="auto" w:sz="4" w:space="0"/>
              <w:right w:val="single" w:color="auto" w:sz="4" w:space="0"/>
            </w:tcBorders>
            <w:vAlign w:val="center"/>
          </w:tcPr>
          <w:p w14:paraId="3E0861DE">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14:paraId="6451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13CDFB62">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6031917A">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国家基本药物</w:t>
            </w:r>
          </w:p>
        </w:tc>
        <w:tc>
          <w:tcPr>
            <w:tcW w:w="6379" w:type="dxa"/>
            <w:tcBorders>
              <w:top w:val="single" w:color="auto" w:sz="4" w:space="0"/>
              <w:left w:val="single" w:color="auto" w:sz="4" w:space="0"/>
              <w:bottom w:val="single" w:color="auto" w:sz="4" w:space="0"/>
              <w:right w:val="single" w:color="auto" w:sz="4" w:space="0"/>
            </w:tcBorders>
            <w:vAlign w:val="center"/>
          </w:tcPr>
          <w:p w14:paraId="68A6DBF8">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“系统”应提供最新版《国家基本药物目录》中的信息，包括目录中的化学药品、生物制品以及中成药品种。▲应可查看国家基本药物目录对应的上市药品品种的信息（包括生产厂家、批准文号等）。</w:t>
            </w:r>
          </w:p>
        </w:tc>
      </w:tr>
      <w:tr w14:paraId="5318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2D5E345F">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120BE214">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FDA妊娠用药安全性分级</w:t>
            </w:r>
          </w:p>
        </w:tc>
        <w:tc>
          <w:tcPr>
            <w:tcW w:w="6379" w:type="dxa"/>
            <w:tcBorders>
              <w:top w:val="single" w:color="auto" w:sz="4" w:space="0"/>
              <w:left w:val="single" w:color="auto" w:sz="4" w:space="0"/>
              <w:bottom w:val="single" w:color="auto" w:sz="4" w:space="0"/>
              <w:right w:val="single" w:color="auto" w:sz="4" w:space="0"/>
            </w:tcBorders>
            <w:vAlign w:val="center"/>
          </w:tcPr>
          <w:p w14:paraId="6CECCA44">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“系统”应提供美国食品药品监督管理局（FDA）根据药物对动物和妊娠期妇女致畸危险而作的妊娠期用药安全性分级，可通过药理分类或药名检索的方式实现，查询范围为临床各科室常用药物。</w:t>
            </w:r>
          </w:p>
        </w:tc>
      </w:tr>
      <w:tr w14:paraId="3F82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6F97EDBC">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3288347E">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▲中医药</w:t>
            </w:r>
          </w:p>
        </w:tc>
        <w:tc>
          <w:tcPr>
            <w:tcW w:w="6379" w:type="dxa"/>
            <w:tcBorders>
              <w:top w:val="single" w:color="auto" w:sz="4" w:space="0"/>
              <w:left w:val="single" w:color="auto" w:sz="4" w:space="0"/>
              <w:bottom w:val="single" w:color="auto" w:sz="4" w:space="0"/>
              <w:right w:val="single" w:color="auto" w:sz="4" w:space="0"/>
            </w:tcBorders>
            <w:vAlign w:val="center"/>
          </w:tcPr>
          <w:p w14:paraId="2E528E88">
            <w:pPr>
              <w:pStyle w:val="25"/>
              <w:numPr>
                <w:ilvl w:val="0"/>
                <w:numId w:val="23"/>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“系统”应提供中药材、中医方剂、中医诊疗方案、中医临床路径、中医标准术语、中医病证分类与代码等中医药信息内容。</w:t>
            </w:r>
          </w:p>
          <w:p w14:paraId="3032B932">
            <w:pPr>
              <w:pStyle w:val="25"/>
              <w:numPr>
                <w:ilvl w:val="0"/>
                <w:numId w:val="23"/>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中药材：应包含权威专著中的品种信息，内容应侧重于中药材的基本属性和临床应用指导，应可便捷的查看毒性药材和妊娠期禁慎用药材。</w:t>
            </w:r>
          </w:p>
          <w:p w14:paraId="24F77913">
            <w:pPr>
              <w:pStyle w:val="25"/>
              <w:numPr>
                <w:ilvl w:val="0"/>
                <w:numId w:val="23"/>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中医方剂：应包括临床常用方、中医经典方等方剂，应可查看方剂相关的附方及中成药信息。</w:t>
            </w:r>
          </w:p>
          <w:p w14:paraId="44EC9370">
            <w:pPr>
              <w:pStyle w:val="25"/>
              <w:numPr>
                <w:ilvl w:val="0"/>
                <w:numId w:val="23"/>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中医诊疗方案：应收录国家中医药管理局发布的诊疗方案。</w:t>
            </w:r>
          </w:p>
          <w:p w14:paraId="42E0F8BE">
            <w:pPr>
              <w:pStyle w:val="25"/>
              <w:numPr>
                <w:ilvl w:val="0"/>
                <w:numId w:val="23"/>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中医临床路径：应收录国家中医药管理局发布的临床路径。</w:t>
            </w:r>
          </w:p>
          <w:p w14:paraId="4BB36EAF">
            <w:pPr>
              <w:pStyle w:val="25"/>
              <w:numPr>
                <w:ilvl w:val="0"/>
                <w:numId w:val="23"/>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中医标准术语：应收录国家中医药管理局发布的各种临床标准术语。</w:t>
            </w:r>
          </w:p>
          <w:p w14:paraId="3DAA0B5D">
            <w:pPr>
              <w:pStyle w:val="25"/>
              <w:numPr>
                <w:ilvl w:val="0"/>
                <w:numId w:val="23"/>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中医病症分类与代码：应收录国家中医药管理局发布中医病证分类与代码。</w:t>
            </w:r>
          </w:p>
        </w:tc>
      </w:tr>
      <w:tr w14:paraId="7D1F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1485F443">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71F85FF1">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▲EMA药品说明书</w:t>
            </w:r>
          </w:p>
        </w:tc>
        <w:tc>
          <w:tcPr>
            <w:tcW w:w="6379" w:type="dxa"/>
            <w:tcBorders>
              <w:top w:val="single" w:color="auto" w:sz="4" w:space="0"/>
              <w:left w:val="single" w:color="auto" w:sz="4" w:space="0"/>
              <w:bottom w:val="single" w:color="auto" w:sz="4" w:space="0"/>
              <w:right w:val="single" w:color="auto" w:sz="4" w:space="0"/>
            </w:tcBorders>
            <w:vAlign w:val="center"/>
          </w:tcPr>
          <w:p w14:paraId="608583D4">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“系统”应提供欧洲药品管理局（EMA）发布的英文原文药品说明书，英文说明书应提供中文翻译，并可便捷的查看对应的中文药品说明书。</w:t>
            </w:r>
          </w:p>
        </w:tc>
      </w:tr>
      <w:tr w14:paraId="7BBD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3544777C">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1EA8A2FF">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▲FDA药品说明书</w:t>
            </w:r>
          </w:p>
        </w:tc>
        <w:tc>
          <w:tcPr>
            <w:tcW w:w="6379" w:type="dxa"/>
            <w:tcBorders>
              <w:top w:val="single" w:color="auto" w:sz="4" w:space="0"/>
              <w:left w:val="single" w:color="auto" w:sz="4" w:space="0"/>
              <w:bottom w:val="single" w:color="auto" w:sz="4" w:space="0"/>
              <w:right w:val="single" w:color="auto" w:sz="4" w:space="0"/>
            </w:tcBorders>
            <w:vAlign w:val="center"/>
          </w:tcPr>
          <w:p w14:paraId="4681C709">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 xml:space="preserve"> “系统”应提供美国食品药品监督管理局(FDA)发布的英文原文药品说明书，英文说明书应提供中文翻译，并可便捷的查看对应的中文药品说明书。</w:t>
            </w:r>
          </w:p>
        </w:tc>
      </w:tr>
      <w:tr w14:paraId="1FCE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2EDE1261">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1873F014">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▲超说明用药</w:t>
            </w:r>
          </w:p>
        </w:tc>
        <w:tc>
          <w:tcPr>
            <w:tcW w:w="6379" w:type="dxa"/>
            <w:tcBorders>
              <w:top w:val="single" w:color="auto" w:sz="4" w:space="0"/>
              <w:left w:val="single" w:color="auto" w:sz="4" w:space="0"/>
              <w:bottom w:val="single" w:color="auto" w:sz="4" w:space="0"/>
              <w:right w:val="single" w:color="auto" w:sz="4" w:space="0"/>
            </w:tcBorders>
            <w:vAlign w:val="center"/>
          </w:tcPr>
          <w:p w14:paraId="32CDE4C4">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“系统”应提供权威的超说明书用药信息，内容应包括用药类型、适应症、用法用量、循证医学证据等。</w:t>
            </w:r>
          </w:p>
        </w:tc>
      </w:tr>
      <w:tr w14:paraId="1667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3D11051A">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50FD8EC9">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▲儿童用药</w:t>
            </w:r>
          </w:p>
        </w:tc>
        <w:tc>
          <w:tcPr>
            <w:tcW w:w="6379" w:type="dxa"/>
            <w:tcBorders>
              <w:top w:val="single" w:color="auto" w:sz="4" w:space="0"/>
              <w:left w:val="single" w:color="auto" w:sz="4" w:space="0"/>
              <w:bottom w:val="single" w:color="auto" w:sz="4" w:space="0"/>
              <w:right w:val="single" w:color="auto" w:sz="4" w:space="0"/>
            </w:tcBorders>
            <w:vAlign w:val="center"/>
          </w:tcPr>
          <w:p w14:paraId="2A5B94C8">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“系统”应提供婴幼儿或儿童的用药相关信息，内容应包括儿童用药的注意事项、用法用量、药代动力学等。并提供婴幼儿或儿童用药剂量计算功能。</w:t>
            </w:r>
          </w:p>
        </w:tc>
      </w:tr>
      <w:tr w14:paraId="2709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1A0ED0F9">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4573A5EA">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药物相互作用审查</w:t>
            </w:r>
          </w:p>
        </w:tc>
        <w:tc>
          <w:tcPr>
            <w:tcW w:w="6379" w:type="dxa"/>
            <w:tcBorders>
              <w:top w:val="single" w:color="auto" w:sz="4" w:space="0"/>
              <w:left w:val="single" w:color="auto" w:sz="4" w:space="0"/>
              <w:bottom w:val="single" w:color="auto" w:sz="4" w:space="0"/>
              <w:right w:val="single" w:color="auto" w:sz="4" w:space="0"/>
            </w:tcBorders>
            <w:vAlign w:val="center"/>
          </w:tcPr>
          <w:p w14:paraId="00B0EA76">
            <w:pPr>
              <w:pStyle w:val="25"/>
              <w:numPr>
                <w:ilvl w:val="0"/>
                <w:numId w:val="24"/>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“系统”应提供药物-药物、药物-食物、▲药物-咖啡因、药物-酒精、药物-保健品、保健品-保健品之间的相互作用信息，应提供西药和西药、中药和中药、中药和西药的相互作用信息。</w:t>
            </w:r>
          </w:p>
          <w:p w14:paraId="1E1F6C4A">
            <w:pPr>
              <w:pStyle w:val="25"/>
              <w:numPr>
                <w:ilvl w:val="0"/>
                <w:numId w:val="24"/>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▲内容应包括药物相互作用的结果、机制、临床处理、严重级别、案例评价及讨论等内容。</w:t>
            </w:r>
          </w:p>
          <w:p w14:paraId="368A07EF">
            <w:pPr>
              <w:pStyle w:val="25"/>
              <w:numPr>
                <w:ilvl w:val="0"/>
                <w:numId w:val="24"/>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▲应可实现单药相互作用分析及多药相互作用审查。</w:t>
            </w:r>
          </w:p>
          <w:p w14:paraId="685F31E1">
            <w:pPr>
              <w:pStyle w:val="25"/>
              <w:numPr>
                <w:ilvl w:val="0"/>
                <w:numId w:val="24"/>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▲参考文献应包含国内外的期刊文献、数据库等。</w:t>
            </w:r>
          </w:p>
        </w:tc>
      </w:tr>
      <w:tr w14:paraId="4799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2E27BDCF">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45A97AA0">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注射剂配伍审查</w:t>
            </w:r>
          </w:p>
        </w:tc>
        <w:tc>
          <w:tcPr>
            <w:tcW w:w="6379" w:type="dxa"/>
            <w:tcBorders>
              <w:top w:val="single" w:color="auto" w:sz="4" w:space="0"/>
              <w:left w:val="single" w:color="auto" w:sz="4" w:space="0"/>
              <w:bottom w:val="single" w:color="auto" w:sz="4" w:space="0"/>
              <w:right w:val="single" w:color="auto" w:sz="4" w:space="0"/>
            </w:tcBorders>
            <w:vAlign w:val="center"/>
          </w:tcPr>
          <w:p w14:paraId="11D23075">
            <w:pPr>
              <w:adjustRightInd w:val="0"/>
              <w:snapToGrid w:val="0"/>
              <w:rPr>
                <w:rFonts w:ascii="宋体" w:hAnsi="宋体" w:eastAsia="宋体" w:cs="宋体"/>
                <w:bCs/>
                <w:color w:val="auto"/>
                <w:szCs w:val="24"/>
                <w:highlight w:val="none"/>
              </w:rPr>
            </w:pPr>
            <w:r>
              <w:rPr>
                <w:rFonts w:hint="eastAsia" w:ascii="宋体" w:hAnsi="宋体" w:eastAsia="宋体" w:cs="宋体"/>
                <w:bCs/>
                <w:color w:val="auto"/>
                <w:szCs w:val="24"/>
                <w:highlight w:val="none"/>
              </w:rPr>
              <w:t>“系统”应提供注射药物配伍的信息，内容包括了注射药物配伍的物理化学变化及药效学变化、支持配伍结论的实验数据等。▲应可实现单药注射剂配伍分析及多药注射配伍进行审查。</w:t>
            </w:r>
          </w:p>
        </w:tc>
      </w:tr>
      <w:tr w14:paraId="5E56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6EA69F7F">
            <w:pPr>
              <w:pStyle w:val="25"/>
              <w:widowControl/>
              <w:numPr>
                <w:ilvl w:val="0"/>
                <w:numId w:val="21"/>
              </w:numPr>
              <w:adjustRightInd w:val="0"/>
              <w:snapToGrid w:val="0"/>
              <w:spacing w:line="360" w:lineRule="auto"/>
              <w:jc w:val="center"/>
              <w:rPr>
                <w:rFonts w:ascii="宋体" w:hAnsi="宋体" w:eastAsia="宋体" w:cs="宋体"/>
                <w:bCs/>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0941CDD1">
            <w:pPr>
              <w:adjustRightInd w:val="0"/>
              <w:snapToGrid w:val="0"/>
              <w:jc w:val="center"/>
              <w:rPr>
                <w:rFonts w:ascii="宋体" w:hAnsi="宋体" w:eastAsia="宋体" w:cs="宋体"/>
                <w:bCs/>
                <w:color w:val="auto"/>
                <w:szCs w:val="24"/>
                <w:highlight w:val="none"/>
              </w:rPr>
            </w:pPr>
            <w:r>
              <w:rPr>
                <w:rFonts w:hint="eastAsia" w:ascii="宋体" w:hAnsi="宋体" w:eastAsia="宋体" w:cs="宋体"/>
                <w:bCs/>
                <w:color w:val="auto"/>
                <w:szCs w:val="24"/>
                <w:highlight w:val="none"/>
              </w:rPr>
              <w:t>其他功能</w:t>
            </w:r>
          </w:p>
        </w:tc>
        <w:tc>
          <w:tcPr>
            <w:tcW w:w="6379" w:type="dxa"/>
            <w:tcBorders>
              <w:top w:val="single" w:color="auto" w:sz="4" w:space="0"/>
              <w:left w:val="single" w:color="auto" w:sz="4" w:space="0"/>
              <w:bottom w:val="single" w:color="auto" w:sz="4" w:space="0"/>
              <w:right w:val="single" w:color="auto" w:sz="4" w:space="0"/>
            </w:tcBorders>
            <w:vAlign w:val="center"/>
          </w:tcPr>
          <w:p w14:paraId="3C817603">
            <w:pPr>
              <w:pStyle w:val="25"/>
              <w:numPr>
                <w:ilvl w:val="0"/>
                <w:numId w:val="25"/>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系统应支持分类浏览、关键词检索，可通过适应症、禁忌症、不良反应、全文检索等方式检索，支持名称及拼音简码检索，支持单数据库检索及多数据库检索。</w:t>
            </w:r>
          </w:p>
          <w:p w14:paraId="4D991593">
            <w:pPr>
              <w:pStyle w:val="25"/>
              <w:numPr>
                <w:ilvl w:val="0"/>
                <w:numId w:val="25"/>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系统应支持对药物信息进行比较。</w:t>
            </w:r>
          </w:p>
          <w:p w14:paraId="04DD82FF">
            <w:pPr>
              <w:pStyle w:val="25"/>
              <w:numPr>
                <w:ilvl w:val="0"/>
                <w:numId w:val="25"/>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系统应支持数据库之间相互关联和快速跳转。</w:t>
            </w:r>
          </w:p>
          <w:p w14:paraId="40F714E7">
            <w:pPr>
              <w:pStyle w:val="25"/>
              <w:numPr>
                <w:ilvl w:val="0"/>
                <w:numId w:val="25"/>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▲支持手机APP在线访问。</w:t>
            </w:r>
          </w:p>
          <w:p w14:paraId="61E9B875">
            <w:pPr>
              <w:pStyle w:val="25"/>
              <w:numPr>
                <w:ilvl w:val="0"/>
                <w:numId w:val="25"/>
              </w:numPr>
              <w:adjustRightInd w:val="0"/>
              <w:snapToGrid w:val="0"/>
              <w:spacing w:line="360" w:lineRule="auto"/>
              <w:ind w:left="0" w:firstLine="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▲定期更新，更新频率应不少于10次/年。</w:t>
            </w:r>
          </w:p>
        </w:tc>
      </w:tr>
    </w:tbl>
    <w:p w14:paraId="1F98E7F2">
      <w:pPr>
        <w:rPr>
          <w:rFonts w:asciiTheme="minorEastAsia" w:hAnsiTheme="minorEastAsia" w:eastAsiaTheme="minorEastAsia"/>
          <w:color w:val="auto"/>
          <w:szCs w:val="24"/>
        </w:rPr>
      </w:pPr>
    </w:p>
    <w:p w14:paraId="5C247F04">
      <w:pPr>
        <w:pStyle w:val="25"/>
        <w:keepNext/>
        <w:keepLines/>
        <w:numPr>
          <w:ilvl w:val="0"/>
          <w:numId w:val="2"/>
        </w:numPr>
        <w:spacing w:after="240" w:afterLines="100"/>
        <w:outlineLvl w:val="1"/>
        <w:rPr>
          <w:rFonts w:asciiTheme="minorEastAsia" w:hAnsiTheme="minorEastAsia"/>
          <w:b/>
          <w:bCs/>
          <w:color w:val="auto"/>
          <w:sz w:val="24"/>
          <w:szCs w:val="24"/>
        </w:rPr>
      </w:pPr>
      <w:r>
        <w:rPr>
          <w:rFonts w:hint="eastAsia" w:asciiTheme="minorEastAsia" w:hAnsiTheme="minorEastAsia"/>
          <w:b/>
          <w:bCs/>
          <w:color w:val="auto"/>
          <w:sz w:val="24"/>
          <w:szCs w:val="24"/>
        </w:rPr>
        <w:t>对“系统”的其它要求</w:t>
      </w:r>
    </w:p>
    <w:tbl>
      <w:tblPr>
        <w:tblStyle w:val="3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36"/>
        <w:gridCol w:w="6481"/>
      </w:tblGrid>
      <w:tr w14:paraId="603B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0" w:type="dxa"/>
            <w:gridSpan w:val="3"/>
          </w:tcPr>
          <w:p w14:paraId="7ECB81B0">
            <w:pPr>
              <w:adjustRightInd w:val="0"/>
              <w:snapToGrid w:val="0"/>
              <w:rPr>
                <w:rFonts w:cs="宋体" w:asciiTheme="minorEastAsia" w:hAnsiTheme="minorEastAsia" w:eastAsiaTheme="minorEastAsia"/>
                <w:bCs/>
                <w:color w:val="auto"/>
                <w:szCs w:val="24"/>
              </w:rPr>
            </w:pPr>
            <w:r>
              <w:rPr>
                <w:rFonts w:hint="eastAsia" w:cs="Times New Roman" w:asciiTheme="minorEastAsia" w:hAnsiTheme="minorEastAsia" w:eastAsiaTheme="minorEastAsia"/>
                <w:color w:val="auto"/>
                <w:szCs w:val="24"/>
              </w:rPr>
              <w:t>对“系统”的其它要求</w:t>
            </w:r>
          </w:p>
        </w:tc>
      </w:tr>
      <w:tr w14:paraId="5E8B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8DA121A">
            <w:pPr>
              <w:pStyle w:val="25"/>
              <w:widowControl/>
              <w:numPr>
                <w:ilvl w:val="0"/>
                <w:numId w:val="26"/>
              </w:numPr>
              <w:adjustRightInd w:val="0"/>
              <w:snapToGrid w:val="0"/>
              <w:spacing w:line="360" w:lineRule="auto"/>
              <w:rPr>
                <w:rFonts w:cs="宋体" w:asciiTheme="minorEastAsia" w:hAnsiTheme="minorEastAsia"/>
                <w:bCs/>
                <w:color w:val="auto"/>
                <w:sz w:val="24"/>
                <w:szCs w:val="24"/>
              </w:rPr>
            </w:pPr>
          </w:p>
        </w:tc>
        <w:tc>
          <w:tcPr>
            <w:tcW w:w="1436" w:type="dxa"/>
            <w:vAlign w:val="center"/>
          </w:tcPr>
          <w:p w14:paraId="70F53D4B">
            <w:pPr>
              <w:adjustRightInd w:val="0"/>
              <w:snapToGrid w:val="0"/>
              <w:jc w:val="both"/>
              <w:rPr>
                <w:rFonts w:cs="宋体" w:asciiTheme="minorEastAsia" w:hAnsiTheme="minorEastAsia" w:eastAsiaTheme="minorEastAsia"/>
                <w:bCs/>
                <w:color w:val="auto"/>
                <w:szCs w:val="24"/>
              </w:rPr>
            </w:pPr>
            <w:r>
              <w:rPr>
                <w:rFonts w:hint="eastAsia" w:cs="宋体" w:asciiTheme="minorEastAsia" w:hAnsiTheme="minorEastAsia" w:eastAsiaTheme="minorEastAsia"/>
                <w:bCs/>
                <w:color w:val="auto"/>
                <w:szCs w:val="24"/>
              </w:rPr>
              <w:t>软件技术的要求</w:t>
            </w:r>
          </w:p>
        </w:tc>
        <w:tc>
          <w:tcPr>
            <w:tcW w:w="6481" w:type="dxa"/>
          </w:tcPr>
          <w:p w14:paraId="0B3D5BE3">
            <w:pPr>
              <w:pStyle w:val="25"/>
              <w:numPr>
                <w:ilvl w:val="0"/>
                <w:numId w:val="27"/>
              </w:numPr>
              <w:adjustRightInd w:val="0"/>
              <w:snapToGrid w:val="0"/>
              <w:spacing w:line="360" w:lineRule="auto"/>
              <w:ind w:left="0" w:firstLine="0"/>
              <w:rPr>
                <w:rFonts w:cs="宋体" w:asciiTheme="minorEastAsia" w:hAnsiTheme="minorEastAsia"/>
                <w:bCs/>
                <w:color w:val="auto"/>
                <w:sz w:val="24"/>
                <w:szCs w:val="24"/>
              </w:rPr>
            </w:pPr>
            <w:r>
              <w:rPr>
                <w:rFonts w:hint="eastAsia" w:cs="宋体" w:asciiTheme="minorEastAsia" w:hAnsiTheme="minorEastAsia"/>
                <w:bCs/>
                <w:color w:val="auto"/>
                <w:sz w:val="24"/>
                <w:szCs w:val="24"/>
              </w:rPr>
              <w:t>“系统”应具有良好的稳定性、兼容性、安全性</w:t>
            </w:r>
            <w:r>
              <w:rPr>
                <w:rFonts w:hint="eastAsia" w:cs="宋体" w:asciiTheme="minorEastAsia" w:hAnsiTheme="minorEastAsia"/>
                <w:bCs/>
                <w:color w:val="auto"/>
                <w:sz w:val="24"/>
                <w:szCs w:val="24"/>
                <w:lang w:eastAsia="zh-CN"/>
              </w:rPr>
              <w:t>，系统支持、</w:t>
            </w:r>
            <w:r>
              <w:rPr>
                <w:rFonts w:hint="eastAsia" w:cs="宋体" w:asciiTheme="minorEastAsia" w:hAnsiTheme="minorEastAsia"/>
                <w:bCs/>
                <w:color w:val="auto"/>
                <w:sz w:val="24"/>
                <w:szCs w:val="24"/>
                <w:lang w:val="en-US" w:eastAsia="zh-CN"/>
              </w:rPr>
              <w:t>适配</w:t>
            </w:r>
            <w:r>
              <w:rPr>
                <w:rFonts w:hint="eastAsia" w:cs="宋体" w:asciiTheme="minorEastAsia" w:hAnsiTheme="minorEastAsia"/>
                <w:bCs/>
                <w:color w:val="auto"/>
                <w:sz w:val="24"/>
                <w:szCs w:val="24"/>
                <w:lang w:eastAsia="zh-CN"/>
              </w:rPr>
              <w:t>国产操作系统和国产数据库的应用环境，并提供证明</w:t>
            </w:r>
            <w:r>
              <w:rPr>
                <w:rFonts w:hint="eastAsia" w:cs="宋体" w:asciiTheme="minorEastAsia" w:hAnsiTheme="minorEastAsia"/>
                <w:bCs/>
                <w:color w:val="auto"/>
                <w:sz w:val="24"/>
                <w:szCs w:val="24"/>
              </w:rPr>
              <w:t>。</w:t>
            </w:r>
          </w:p>
          <w:p w14:paraId="4BFACDD5">
            <w:pPr>
              <w:pStyle w:val="25"/>
              <w:numPr>
                <w:ilvl w:val="0"/>
                <w:numId w:val="27"/>
              </w:numPr>
              <w:adjustRightInd w:val="0"/>
              <w:snapToGrid w:val="0"/>
              <w:spacing w:line="360" w:lineRule="auto"/>
              <w:ind w:left="0" w:firstLine="0"/>
              <w:rPr>
                <w:rFonts w:cs="宋体" w:asciiTheme="minorEastAsia" w:hAnsiTheme="minorEastAsia"/>
                <w:bCs/>
                <w:color w:val="auto"/>
                <w:sz w:val="24"/>
                <w:szCs w:val="24"/>
              </w:rPr>
            </w:pPr>
            <w:r>
              <w:rPr>
                <w:rFonts w:hint="eastAsia" w:cs="宋体" w:asciiTheme="minorEastAsia" w:hAnsiTheme="minorEastAsia"/>
                <w:bCs/>
                <w:color w:val="auto"/>
                <w:sz w:val="24"/>
                <w:szCs w:val="24"/>
              </w:rPr>
              <w:t>“系统”应具有良好的架构，易于扩展和维护。</w:t>
            </w:r>
          </w:p>
          <w:p w14:paraId="6FB75152">
            <w:pPr>
              <w:pStyle w:val="25"/>
              <w:numPr>
                <w:ilvl w:val="0"/>
                <w:numId w:val="27"/>
              </w:numPr>
              <w:adjustRightInd w:val="0"/>
              <w:snapToGrid w:val="0"/>
              <w:spacing w:line="360" w:lineRule="auto"/>
              <w:ind w:left="0" w:firstLine="0"/>
              <w:rPr>
                <w:rFonts w:cs="宋体" w:asciiTheme="minorEastAsia" w:hAnsiTheme="minorEastAsia"/>
                <w:bCs/>
                <w:color w:val="auto"/>
                <w:sz w:val="24"/>
                <w:szCs w:val="24"/>
              </w:rPr>
            </w:pPr>
            <w:r>
              <w:rPr>
                <w:rFonts w:hint="eastAsia" w:cs="宋体" w:asciiTheme="minorEastAsia" w:hAnsiTheme="minorEastAsia"/>
                <w:bCs/>
                <w:color w:val="auto"/>
                <w:sz w:val="24"/>
                <w:szCs w:val="24"/>
                <w:lang w:val="en-US" w:eastAsia="zh-CN"/>
              </w:rPr>
              <w:t>与医院相关信息系统、集成平台无缝对接，满足或根据医院要求完成电子病历五级、互联互通标准化成熟度四级甲等、智慧医院三级的测评、改造，实现数据互联互通</w:t>
            </w:r>
            <w:r>
              <w:rPr>
                <w:rFonts w:hint="eastAsia" w:cs="宋体" w:asciiTheme="minorEastAsia" w:hAnsiTheme="minorEastAsia"/>
                <w:bCs/>
                <w:color w:val="auto"/>
                <w:sz w:val="24"/>
                <w:szCs w:val="24"/>
              </w:rPr>
              <w:t>：“系统”应提供可集成到医院其它系统的标准接口，能在Win XP / Win 7 / Windows Vista简体中文操作系统平台上运行。接口应成熟、稳定，集成方便。</w:t>
            </w:r>
          </w:p>
          <w:p w14:paraId="66B7BB09">
            <w:pPr>
              <w:pStyle w:val="25"/>
              <w:numPr>
                <w:ilvl w:val="0"/>
                <w:numId w:val="27"/>
              </w:numPr>
              <w:adjustRightInd w:val="0"/>
              <w:snapToGrid w:val="0"/>
              <w:spacing w:line="360" w:lineRule="auto"/>
              <w:ind w:left="0" w:firstLine="0"/>
              <w:rPr>
                <w:rFonts w:cs="宋体" w:asciiTheme="minorEastAsia" w:hAnsiTheme="minorEastAsia"/>
                <w:bCs/>
                <w:color w:val="auto"/>
                <w:sz w:val="24"/>
                <w:szCs w:val="24"/>
              </w:rPr>
            </w:pPr>
            <w:r>
              <w:rPr>
                <w:rFonts w:hint="eastAsia" w:cs="宋体" w:asciiTheme="minorEastAsia" w:hAnsiTheme="minorEastAsia"/>
                <w:bCs/>
                <w:color w:val="auto"/>
                <w:sz w:val="24"/>
                <w:szCs w:val="24"/>
              </w:rPr>
              <w:t>使用要求：界面友好，操作方便，结果清晰明了，允许操作使用人员根据自己的习惯对相关功能进行个性化设置；“系统”运行速度快，无明显的并发延迟。</w:t>
            </w:r>
          </w:p>
          <w:p w14:paraId="318F390A">
            <w:pPr>
              <w:pStyle w:val="25"/>
              <w:numPr>
                <w:ilvl w:val="0"/>
                <w:numId w:val="27"/>
              </w:numPr>
              <w:adjustRightInd w:val="0"/>
              <w:snapToGrid w:val="0"/>
              <w:spacing w:line="360" w:lineRule="auto"/>
              <w:ind w:left="0" w:firstLine="0"/>
              <w:rPr>
                <w:rFonts w:cs="宋体" w:asciiTheme="minorEastAsia" w:hAnsiTheme="minorEastAsia"/>
                <w:bCs/>
                <w:color w:val="auto"/>
                <w:sz w:val="24"/>
                <w:szCs w:val="24"/>
              </w:rPr>
            </w:pPr>
            <w:r>
              <w:rPr>
                <w:rFonts w:hint="eastAsia" w:cs="宋体" w:asciiTheme="minorEastAsia" w:hAnsiTheme="minorEastAsia"/>
                <w:bCs/>
                <w:color w:val="auto"/>
                <w:sz w:val="24"/>
                <w:szCs w:val="24"/>
              </w:rPr>
              <w:t>“系统”应通过对数据进行预处理等手段以提高系统运行和统计效率。</w:t>
            </w:r>
          </w:p>
        </w:tc>
      </w:tr>
      <w:tr w14:paraId="4737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A739367">
            <w:pPr>
              <w:pStyle w:val="25"/>
              <w:widowControl/>
              <w:numPr>
                <w:ilvl w:val="0"/>
                <w:numId w:val="26"/>
              </w:numPr>
              <w:adjustRightInd w:val="0"/>
              <w:snapToGrid w:val="0"/>
              <w:spacing w:line="360" w:lineRule="auto"/>
              <w:rPr>
                <w:rFonts w:cs="宋体" w:asciiTheme="minorEastAsia" w:hAnsiTheme="minorEastAsia"/>
                <w:bCs/>
                <w:color w:val="auto"/>
                <w:sz w:val="24"/>
                <w:szCs w:val="24"/>
              </w:rPr>
            </w:pPr>
          </w:p>
        </w:tc>
        <w:tc>
          <w:tcPr>
            <w:tcW w:w="1436" w:type="dxa"/>
            <w:vAlign w:val="center"/>
          </w:tcPr>
          <w:p w14:paraId="7EEAA431">
            <w:pPr>
              <w:adjustRightInd w:val="0"/>
              <w:snapToGrid w:val="0"/>
              <w:jc w:val="both"/>
              <w:rPr>
                <w:rFonts w:cs="宋体" w:asciiTheme="minorEastAsia" w:hAnsiTheme="minorEastAsia" w:eastAsiaTheme="minorEastAsia"/>
                <w:bCs/>
                <w:color w:val="auto"/>
                <w:szCs w:val="24"/>
              </w:rPr>
            </w:pPr>
            <w:r>
              <w:rPr>
                <w:rFonts w:hint="eastAsia" w:cs="宋体" w:asciiTheme="minorEastAsia" w:hAnsiTheme="minorEastAsia" w:eastAsiaTheme="minorEastAsia"/>
                <w:bCs/>
                <w:color w:val="auto"/>
                <w:szCs w:val="24"/>
              </w:rPr>
              <w:t>售后服务要求</w:t>
            </w:r>
          </w:p>
        </w:tc>
        <w:tc>
          <w:tcPr>
            <w:tcW w:w="6481" w:type="dxa"/>
          </w:tcPr>
          <w:p w14:paraId="0AA9DA79">
            <w:pPr>
              <w:pStyle w:val="25"/>
              <w:numPr>
                <w:ilvl w:val="0"/>
                <w:numId w:val="28"/>
              </w:numPr>
              <w:adjustRightInd w:val="0"/>
              <w:snapToGrid w:val="0"/>
              <w:spacing w:line="360" w:lineRule="auto"/>
              <w:ind w:left="0" w:firstLine="0"/>
              <w:rPr>
                <w:rFonts w:cs="宋体" w:asciiTheme="minorEastAsia" w:hAnsiTheme="minorEastAsia"/>
                <w:bCs/>
                <w:color w:val="auto"/>
                <w:sz w:val="24"/>
                <w:szCs w:val="24"/>
              </w:rPr>
            </w:pPr>
            <w:r>
              <w:rPr>
                <w:rFonts w:hint="eastAsia" w:cs="宋体" w:asciiTheme="minorEastAsia" w:hAnsiTheme="minorEastAsia"/>
                <w:bCs/>
                <w:color w:val="auto"/>
                <w:sz w:val="24"/>
                <w:szCs w:val="24"/>
              </w:rPr>
              <w:t>专业的售后服务工程师</w:t>
            </w:r>
            <w:r>
              <w:rPr>
                <w:rFonts w:hint="eastAsia" w:cs="宋体" w:asciiTheme="minorEastAsia" w:hAnsiTheme="minorEastAsia"/>
                <w:bCs/>
                <w:color w:val="auto"/>
                <w:sz w:val="24"/>
                <w:szCs w:val="24"/>
                <w:lang w:val="en-US" w:eastAsia="zh-CN"/>
              </w:rPr>
              <w:t>免费维保3年</w:t>
            </w:r>
            <w:r>
              <w:rPr>
                <w:rFonts w:hint="eastAsia" w:cs="宋体" w:asciiTheme="minorEastAsia" w:hAnsiTheme="minorEastAsia"/>
                <w:bCs/>
                <w:color w:val="auto"/>
                <w:sz w:val="24"/>
                <w:szCs w:val="24"/>
              </w:rPr>
              <w:t>，能为医院提供及时的售后服务，解决医院在“系统”使用中遇到的问题</w:t>
            </w:r>
            <w:r>
              <w:rPr>
                <w:rFonts w:hint="eastAsia" w:cs="宋体" w:asciiTheme="minorEastAsia" w:hAnsiTheme="minorEastAsia"/>
                <w:bCs/>
                <w:color w:val="auto"/>
                <w:sz w:val="24"/>
                <w:szCs w:val="24"/>
                <w:lang w:eastAsia="zh-CN"/>
              </w:rPr>
              <w:t>；</w:t>
            </w:r>
            <w:r>
              <w:rPr>
                <w:rFonts w:hint="eastAsia" w:cs="宋体" w:asciiTheme="minorEastAsia" w:hAnsiTheme="minorEastAsia"/>
                <w:bCs/>
                <w:color w:val="auto"/>
                <w:sz w:val="24"/>
                <w:szCs w:val="24"/>
                <w:lang w:val="en-US" w:eastAsia="zh-CN"/>
              </w:rPr>
              <w:t>免费维保到期后，维保费每年不超过合同总金额的8%，具体以双方协商为主。</w:t>
            </w:r>
            <w:r>
              <w:rPr>
                <w:rFonts w:hint="eastAsia" w:cs="宋体" w:asciiTheme="minorEastAsia" w:hAnsiTheme="minorEastAsia"/>
                <w:bCs/>
                <w:color w:val="auto"/>
                <w:sz w:val="24"/>
                <w:szCs w:val="24"/>
              </w:rPr>
              <w:t>。</w:t>
            </w:r>
          </w:p>
          <w:p w14:paraId="312F1260">
            <w:pPr>
              <w:pStyle w:val="25"/>
              <w:numPr>
                <w:ilvl w:val="0"/>
                <w:numId w:val="28"/>
              </w:numPr>
              <w:adjustRightInd w:val="0"/>
              <w:snapToGrid w:val="0"/>
              <w:spacing w:line="360" w:lineRule="auto"/>
              <w:ind w:left="0" w:firstLine="0"/>
              <w:rPr>
                <w:rFonts w:cs="宋体" w:asciiTheme="minorEastAsia" w:hAnsiTheme="minorEastAsia"/>
                <w:bCs/>
                <w:color w:val="auto"/>
                <w:sz w:val="24"/>
                <w:szCs w:val="24"/>
              </w:rPr>
            </w:pPr>
            <w:r>
              <w:rPr>
                <w:rFonts w:hint="eastAsia" w:cs="宋体" w:asciiTheme="minorEastAsia" w:hAnsiTheme="minorEastAsia"/>
                <w:bCs/>
                <w:color w:val="auto"/>
                <w:sz w:val="24"/>
                <w:szCs w:val="24"/>
              </w:rPr>
              <w:t>培训：在“系统”安装实施完成并正式交付医院使用之前，负责培训医院相关的操作使用人员，保证“系统”的使用效果。</w:t>
            </w:r>
          </w:p>
          <w:p w14:paraId="75E0AC1D">
            <w:pPr>
              <w:pStyle w:val="25"/>
              <w:numPr>
                <w:ilvl w:val="0"/>
                <w:numId w:val="28"/>
              </w:numPr>
              <w:adjustRightInd w:val="0"/>
              <w:snapToGrid w:val="0"/>
              <w:spacing w:line="360" w:lineRule="auto"/>
              <w:ind w:left="0" w:firstLine="0"/>
              <w:rPr>
                <w:rFonts w:cs="宋体" w:asciiTheme="minorEastAsia" w:hAnsiTheme="minorEastAsia"/>
                <w:bCs/>
                <w:color w:val="auto"/>
                <w:sz w:val="24"/>
                <w:szCs w:val="24"/>
              </w:rPr>
            </w:pPr>
            <w:r>
              <w:rPr>
                <w:rFonts w:hint="eastAsia" w:cs="宋体" w:asciiTheme="minorEastAsia" w:hAnsiTheme="minorEastAsia"/>
                <w:bCs/>
                <w:color w:val="auto"/>
                <w:sz w:val="24"/>
                <w:szCs w:val="24"/>
              </w:rPr>
              <w:t>系统实施完成后，提供详细的产品说明、操作规程、维护方法等相关技术资料。</w:t>
            </w:r>
          </w:p>
        </w:tc>
      </w:tr>
      <w:bookmarkEnd w:id="0"/>
    </w:tbl>
    <w:p w14:paraId="3991CC0C">
      <w:pPr>
        <w:widowControl/>
        <w:spacing w:line="240" w:lineRule="auto"/>
        <w:rPr>
          <w:rFonts w:cs="Arial" w:asciiTheme="minorEastAsia" w:hAnsiTheme="minorEastAsia" w:eastAsiaTheme="minorEastAsia"/>
          <w:color w:val="auto"/>
          <w:szCs w:val="24"/>
        </w:rPr>
      </w:pPr>
    </w:p>
    <w:sectPr>
      <w:footerReference r:id="rId5" w:type="first"/>
      <w:pgSz w:w="11906" w:h="16838"/>
      <w:pgMar w:top="1440" w:right="1800" w:bottom="1440" w:left="1800" w:header="720" w:footer="720"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EB92">
    <w:pPr>
      <w:pStyle w:val="11"/>
      <w:jc w:val="center"/>
    </w:pPr>
  </w:p>
  <w:p w14:paraId="600A129C">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238B"/>
    <w:multiLevelType w:val="multilevel"/>
    <w:tmpl w:val="01DD23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4A2A9B"/>
    <w:multiLevelType w:val="multilevel"/>
    <w:tmpl w:val="044A2A9B"/>
    <w:lvl w:ilvl="0" w:tentative="0">
      <w:start w:val="1"/>
      <w:numFmt w:val="decimal"/>
      <w:lvlText w:val="7.%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7409FA"/>
    <w:multiLevelType w:val="multilevel"/>
    <w:tmpl w:val="047409FA"/>
    <w:lvl w:ilvl="0" w:tentative="0">
      <w:start w:val="1"/>
      <w:numFmt w:val="decimal"/>
      <w:lvlText w:val="%1"/>
      <w:lvlJc w:val="left"/>
      <w:pPr>
        <w:ind w:left="360" w:hanging="360"/>
      </w:pPr>
      <w:rPr>
        <w:rFonts w:hint="default"/>
      </w:rPr>
    </w:lvl>
    <w:lvl w:ilvl="1" w:tentative="0">
      <w:start w:val="1"/>
      <w:numFmt w:val="decimal"/>
      <w:suff w:val="space"/>
      <w:lvlText w:val="1.%2"/>
      <w:lvlJc w:val="left"/>
      <w:pPr>
        <w:ind w:left="0" w:firstLine="0"/>
      </w:pPr>
      <w:rPr>
        <w:rFonts w:hint="eastAsia"/>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0B207EE0"/>
    <w:multiLevelType w:val="multilevel"/>
    <w:tmpl w:val="0B207EE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173BC0"/>
    <w:multiLevelType w:val="multilevel"/>
    <w:tmpl w:val="15173BC0"/>
    <w:lvl w:ilvl="0" w:tentative="0">
      <w:start w:val="1"/>
      <w:numFmt w:val="decimal"/>
      <w:lvlText w:val="8.%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7F625E"/>
    <w:multiLevelType w:val="multilevel"/>
    <w:tmpl w:val="157F625E"/>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112F95"/>
    <w:multiLevelType w:val="multilevel"/>
    <w:tmpl w:val="16112F95"/>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81748D"/>
    <w:multiLevelType w:val="multilevel"/>
    <w:tmpl w:val="1781748D"/>
    <w:lvl w:ilvl="0" w:tentative="0">
      <w:start w:val="1"/>
      <w:numFmt w:val="decimal"/>
      <w:lvlText w:val="8.%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8028C8"/>
    <w:multiLevelType w:val="multilevel"/>
    <w:tmpl w:val="238028C8"/>
    <w:lvl w:ilvl="0" w:tentative="0">
      <w:start w:val="1"/>
      <w:numFmt w:val="decimal"/>
      <w:suff w:val="space"/>
      <w:lvlText w:val="（%1）"/>
      <w:lvlJc w:val="left"/>
      <w:pPr>
        <w:ind w:left="250" w:hanging="25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E161EB"/>
    <w:multiLevelType w:val="multilevel"/>
    <w:tmpl w:val="25E161EB"/>
    <w:lvl w:ilvl="0" w:tentative="0">
      <w:start w:val="1"/>
      <w:numFmt w:val="decimal"/>
      <w:lvlText w:val="6.%1"/>
      <w:lvlJc w:val="left"/>
      <w:pPr>
        <w:ind w:left="440" w:hanging="440"/>
      </w:pPr>
      <w:rPr>
        <w:rFonts w:hint="eastAsia" w:asciiTheme="minorEastAsia" w:hAnsiTheme="minorEastAsia" w:eastAsiaTheme="minorEastAsia"/>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7AF10EB"/>
    <w:multiLevelType w:val="multilevel"/>
    <w:tmpl w:val="27AF10EB"/>
    <w:lvl w:ilvl="0" w:tentative="0">
      <w:start w:val="1"/>
      <w:numFmt w:val="decimal"/>
      <w:suff w:val="space"/>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25D595F"/>
    <w:multiLevelType w:val="multilevel"/>
    <w:tmpl w:val="325D595F"/>
    <w:lvl w:ilvl="0" w:tentative="0">
      <w:start w:val="1"/>
      <w:numFmt w:val="decimal"/>
      <w:suff w:val="space"/>
      <w:lvlText w:val="1.%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FB72B2"/>
    <w:multiLevelType w:val="multilevel"/>
    <w:tmpl w:val="32FB72B2"/>
    <w:lvl w:ilvl="0" w:tentative="0">
      <w:start w:val="1"/>
      <w:numFmt w:val="decimal"/>
      <w:suff w:val="space"/>
      <w:lvlText w:val="3.%1"/>
      <w:lvlJc w:val="left"/>
      <w:pPr>
        <w:ind w:left="170" w:firstLine="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FD61ED"/>
    <w:multiLevelType w:val="multilevel"/>
    <w:tmpl w:val="35FD61ED"/>
    <w:lvl w:ilvl="0" w:tentative="0">
      <w:start w:val="1"/>
      <w:numFmt w:val="decimal"/>
      <w:suff w:val="space"/>
      <w:lvlText w:val="2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A906B61"/>
    <w:multiLevelType w:val="multilevel"/>
    <w:tmpl w:val="3A906B61"/>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306C11"/>
    <w:multiLevelType w:val="multilevel"/>
    <w:tmpl w:val="42306C11"/>
    <w:lvl w:ilvl="0" w:tentative="0">
      <w:start w:val="1"/>
      <w:numFmt w:val="decimal"/>
      <w:suff w:val="space"/>
      <w:lvlText w:val="(%1)"/>
      <w:lvlJc w:val="left"/>
      <w:pPr>
        <w:ind w:left="420" w:hanging="420"/>
      </w:pPr>
      <w:rPr>
        <w:rFonts w:hint="eastAsia" w:ascii="宋体" w:eastAsia="宋体"/>
        <w:b w:val="0"/>
        <w:i w:val="0"/>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6">
    <w:nsid w:val="43DC0987"/>
    <w:multiLevelType w:val="multilevel"/>
    <w:tmpl w:val="43DC0987"/>
    <w:lvl w:ilvl="0" w:tentative="0">
      <w:start w:val="1"/>
      <w:numFmt w:val="decimal"/>
      <w:lvlText w:val="%1."/>
      <w:lvlJc w:val="left"/>
      <w:rPr>
        <w:rFonts w:ascii="仿宋" w:hAnsi="仿宋" w:eastAsia="仿宋"/>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ind w:left="0" w:firstLine="0"/>
      </w:pPr>
      <w:rPr>
        <w:rFonts w:hint="eastAsia" w:ascii="仿宋" w:hAnsi="仿宋" w:eastAsia="仿宋"/>
        <w:b/>
        <w:color w:val="auto"/>
      </w:rPr>
    </w:lvl>
    <w:lvl w:ilvl="2" w:tentative="0">
      <w:start w:val="1"/>
      <w:numFmt w:val="decimal"/>
      <w:lvlText w:val="%1.%2.%3."/>
      <w:lvlJc w:val="left"/>
      <w:pPr>
        <w:ind w:left="0" w:firstLine="0"/>
      </w:pPr>
      <w:rPr>
        <w:rFonts w:hint="eastAsia" w:ascii="仿宋" w:hAnsi="仿宋" w:eastAsia="仿宋"/>
      </w:rPr>
    </w:lvl>
    <w:lvl w:ilvl="3" w:tentative="0">
      <w:start w:val="1"/>
      <w:numFmt w:val="decimal"/>
      <w:pStyle w:val="6"/>
      <w:lvlText w:val="%1.%2.%3.%4."/>
      <w:lvlJc w:val="left"/>
      <w:pPr>
        <w:ind w:left="0" w:firstLine="0"/>
      </w:pPr>
      <w:rPr>
        <w:rFonts w:hint="eastAsia" w:ascii="仿宋" w:hAnsi="仿宋" w:eastAsia="仿宋"/>
      </w:rPr>
    </w:lvl>
    <w:lvl w:ilvl="4" w:tentative="0">
      <w:start w:val="1"/>
      <w:numFmt w:val="decimal"/>
      <w:pStyle w:val="7"/>
      <w:lvlText w:val="%1.%2.%3.%4.%5."/>
      <w:lvlJc w:val="left"/>
      <w:pPr>
        <w:ind w:left="0" w:firstLine="0"/>
      </w:pPr>
      <w:rPr>
        <w:rFonts w:hint="eastAsia"/>
      </w:rPr>
    </w:lvl>
    <w:lvl w:ilvl="5" w:tentative="0">
      <w:start w:val="1"/>
      <w:numFmt w:val="decimal"/>
      <w:pStyle w:val="8"/>
      <w:lvlText w:val="%1.%2.%3.%4.%5.%6."/>
      <w:lvlJc w:val="left"/>
      <w:pPr>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569009D9"/>
    <w:multiLevelType w:val="multilevel"/>
    <w:tmpl w:val="569009D9"/>
    <w:lvl w:ilvl="0" w:tentative="0">
      <w:start w:val="1"/>
      <w:numFmt w:val="decimal"/>
      <w:lvlText w:val="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E87014"/>
    <w:multiLevelType w:val="multilevel"/>
    <w:tmpl w:val="64E870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52E5E59"/>
    <w:multiLevelType w:val="multilevel"/>
    <w:tmpl w:val="652E5E59"/>
    <w:lvl w:ilvl="0" w:tentative="0">
      <w:start w:val="1"/>
      <w:numFmt w:val="decimal"/>
      <w:suff w:val="space"/>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84F7082"/>
    <w:multiLevelType w:val="multilevel"/>
    <w:tmpl w:val="684F7082"/>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70078A"/>
    <w:multiLevelType w:val="multilevel"/>
    <w:tmpl w:val="6B7007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E8155B"/>
    <w:multiLevelType w:val="multilevel"/>
    <w:tmpl w:val="71E8155B"/>
    <w:lvl w:ilvl="0" w:tentative="0">
      <w:start w:val="1"/>
      <w:numFmt w:val="decimal"/>
      <w:suff w:val="space"/>
      <w:lvlText w:val="1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9951150"/>
    <w:multiLevelType w:val="multilevel"/>
    <w:tmpl w:val="79951150"/>
    <w:lvl w:ilvl="0" w:tentative="0">
      <w:start w:val="1"/>
      <w:numFmt w:val="decimal"/>
      <w:lvlText w:val="3.%1"/>
      <w:lvlJc w:val="left"/>
      <w:pPr>
        <w:ind w:left="420" w:hanging="420"/>
      </w:pPr>
      <w:rPr>
        <w:rFonts w:hint="default" w:cs="Times New Roman" w:asciiTheme="minorEastAsia" w:hAnsiTheme="minorEastAsia" w:eastAsiaTheme="minorEastAsia"/>
        <w:b w:val="0"/>
        <w:b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AE321E6"/>
    <w:multiLevelType w:val="multilevel"/>
    <w:tmpl w:val="7AE321E6"/>
    <w:lvl w:ilvl="0" w:tentative="0">
      <w:start w:val="1"/>
      <w:numFmt w:val="decimal"/>
      <w:lvlText w:val="2.%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B4D0224"/>
    <w:multiLevelType w:val="multilevel"/>
    <w:tmpl w:val="7B4D0224"/>
    <w:lvl w:ilvl="0" w:tentative="0">
      <w:start w:val="1"/>
      <w:numFmt w:val="decimal"/>
      <w:suff w:val="space"/>
      <w:lvlText w:val="6.%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21"/>
  </w:num>
  <w:num w:numId="3">
    <w:abstractNumId w:val="20"/>
  </w:num>
  <w:num w:numId="4">
    <w:abstractNumId w:val="2"/>
  </w:num>
  <w:num w:numId="5">
    <w:abstractNumId w:val="12"/>
  </w:num>
  <w:num w:numId="6">
    <w:abstractNumId w:val="9"/>
  </w:num>
  <w:num w:numId="7">
    <w:abstractNumId w:val="7"/>
  </w:num>
  <w:num w:numId="8">
    <w:abstractNumId w:val="8"/>
  </w:num>
  <w:num w:numId="9">
    <w:abstractNumId w:val="5"/>
  </w:num>
  <w:num w:numId="10">
    <w:abstractNumId w:val="6"/>
  </w:num>
  <w:num w:numId="11">
    <w:abstractNumId w:val="10"/>
  </w:num>
  <w:num w:numId="12">
    <w:abstractNumId w:val="23"/>
  </w:num>
  <w:num w:numId="13">
    <w:abstractNumId w:val="14"/>
  </w:num>
  <w:num w:numId="14">
    <w:abstractNumId w:val="3"/>
  </w:num>
  <w:num w:numId="15">
    <w:abstractNumId w:val="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mMjE4MGMwMmFjNDdjZTJlNjU5YzM4YWI0Nzk3NGUifQ=="/>
  </w:docVars>
  <w:rsids>
    <w:rsidRoot w:val="00A9552E"/>
    <w:rsid w:val="000020A1"/>
    <w:rsid w:val="000035A4"/>
    <w:rsid w:val="00003A12"/>
    <w:rsid w:val="00007553"/>
    <w:rsid w:val="000134C7"/>
    <w:rsid w:val="000161AC"/>
    <w:rsid w:val="00021C22"/>
    <w:rsid w:val="000471DE"/>
    <w:rsid w:val="00063A8F"/>
    <w:rsid w:val="00075931"/>
    <w:rsid w:val="000844FC"/>
    <w:rsid w:val="00092C90"/>
    <w:rsid w:val="000A073A"/>
    <w:rsid w:val="000A4DDF"/>
    <w:rsid w:val="000A54B1"/>
    <w:rsid w:val="000A5F1C"/>
    <w:rsid w:val="000B3026"/>
    <w:rsid w:val="000B4451"/>
    <w:rsid w:val="000C2D44"/>
    <w:rsid w:val="000C3358"/>
    <w:rsid w:val="000C64FF"/>
    <w:rsid w:val="000D3478"/>
    <w:rsid w:val="000E7452"/>
    <w:rsid w:val="000F2518"/>
    <w:rsid w:val="000F569B"/>
    <w:rsid w:val="000F5F18"/>
    <w:rsid w:val="0010356A"/>
    <w:rsid w:val="00106200"/>
    <w:rsid w:val="00106979"/>
    <w:rsid w:val="00122C1E"/>
    <w:rsid w:val="00124CD2"/>
    <w:rsid w:val="00125893"/>
    <w:rsid w:val="00127361"/>
    <w:rsid w:val="001448DD"/>
    <w:rsid w:val="00150588"/>
    <w:rsid w:val="001570D7"/>
    <w:rsid w:val="0018168E"/>
    <w:rsid w:val="00186C56"/>
    <w:rsid w:val="00187E45"/>
    <w:rsid w:val="001B30FA"/>
    <w:rsid w:val="001B47D8"/>
    <w:rsid w:val="001C014E"/>
    <w:rsid w:val="001C6177"/>
    <w:rsid w:val="001D01E7"/>
    <w:rsid w:val="001D084D"/>
    <w:rsid w:val="001D0ECA"/>
    <w:rsid w:val="001D157A"/>
    <w:rsid w:val="001D4D52"/>
    <w:rsid w:val="001E56D6"/>
    <w:rsid w:val="001F4134"/>
    <w:rsid w:val="001F4FBD"/>
    <w:rsid w:val="00212B4F"/>
    <w:rsid w:val="00217988"/>
    <w:rsid w:val="00226965"/>
    <w:rsid w:val="00245CC9"/>
    <w:rsid w:val="00250FC0"/>
    <w:rsid w:val="002525D4"/>
    <w:rsid w:val="00277969"/>
    <w:rsid w:val="00277E2B"/>
    <w:rsid w:val="00282423"/>
    <w:rsid w:val="002838A6"/>
    <w:rsid w:val="00283C03"/>
    <w:rsid w:val="0028462F"/>
    <w:rsid w:val="002A0893"/>
    <w:rsid w:val="002A6B49"/>
    <w:rsid w:val="002B5A34"/>
    <w:rsid w:val="002C69C4"/>
    <w:rsid w:val="002C7726"/>
    <w:rsid w:val="002D06F8"/>
    <w:rsid w:val="002D4DDE"/>
    <w:rsid w:val="002E5EBF"/>
    <w:rsid w:val="002F7329"/>
    <w:rsid w:val="0030545F"/>
    <w:rsid w:val="003126B3"/>
    <w:rsid w:val="003259E6"/>
    <w:rsid w:val="00325B55"/>
    <w:rsid w:val="0034386E"/>
    <w:rsid w:val="00351AD4"/>
    <w:rsid w:val="00364128"/>
    <w:rsid w:val="00375DCE"/>
    <w:rsid w:val="00384D1C"/>
    <w:rsid w:val="003A215F"/>
    <w:rsid w:val="003A49C8"/>
    <w:rsid w:val="003B1BCC"/>
    <w:rsid w:val="003B63BC"/>
    <w:rsid w:val="003B7B58"/>
    <w:rsid w:val="003F4456"/>
    <w:rsid w:val="003F77A3"/>
    <w:rsid w:val="00403523"/>
    <w:rsid w:val="00414562"/>
    <w:rsid w:val="00417881"/>
    <w:rsid w:val="00445571"/>
    <w:rsid w:val="0044657A"/>
    <w:rsid w:val="00454B5A"/>
    <w:rsid w:val="004600D3"/>
    <w:rsid w:val="00460C98"/>
    <w:rsid w:val="004A571B"/>
    <w:rsid w:val="004A64B5"/>
    <w:rsid w:val="004B1585"/>
    <w:rsid w:val="004B43E1"/>
    <w:rsid w:val="004B497E"/>
    <w:rsid w:val="004C01F6"/>
    <w:rsid w:val="004C02EA"/>
    <w:rsid w:val="004C249F"/>
    <w:rsid w:val="004C521A"/>
    <w:rsid w:val="004D3D91"/>
    <w:rsid w:val="004D3DE5"/>
    <w:rsid w:val="004D410A"/>
    <w:rsid w:val="004E075B"/>
    <w:rsid w:val="004E37ED"/>
    <w:rsid w:val="005015CD"/>
    <w:rsid w:val="005038E4"/>
    <w:rsid w:val="005128E3"/>
    <w:rsid w:val="00513D2A"/>
    <w:rsid w:val="00534AF3"/>
    <w:rsid w:val="005350CF"/>
    <w:rsid w:val="005421C6"/>
    <w:rsid w:val="00546C25"/>
    <w:rsid w:val="0054717C"/>
    <w:rsid w:val="0057014E"/>
    <w:rsid w:val="00571293"/>
    <w:rsid w:val="005849D9"/>
    <w:rsid w:val="00593A91"/>
    <w:rsid w:val="005A2448"/>
    <w:rsid w:val="005B3C64"/>
    <w:rsid w:val="005C11F8"/>
    <w:rsid w:val="005C3257"/>
    <w:rsid w:val="005D4A53"/>
    <w:rsid w:val="005D5573"/>
    <w:rsid w:val="005E5022"/>
    <w:rsid w:val="005E6114"/>
    <w:rsid w:val="005F1574"/>
    <w:rsid w:val="0061287A"/>
    <w:rsid w:val="0061558D"/>
    <w:rsid w:val="00624324"/>
    <w:rsid w:val="00645260"/>
    <w:rsid w:val="00656880"/>
    <w:rsid w:val="00656886"/>
    <w:rsid w:val="00657BE4"/>
    <w:rsid w:val="0066771A"/>
    <w:rsid w:val="006677A5"/>
    <w:rsid w:val="0067046A"/>
    <w:rsid w:val="00674169"/>
    <w:rsid w:val="0068702D"/>
    <w:rsid w:val="0069172D"/>
    <w:rsid w:val="006954C8"/>
    <w:rsid w:val="00697524"/>
    <w:rsid w:val="006A3293"/>
    <w:rsid w:val="006C750A"/>
    <w:rsid w:val="006D0597"/>
    <w:rsid w:val="006D07A1"/>
    <w:rsid w:val="006D460D"/>
    <w:rsid w:val="006F56B0"/>
    <w:rsid w:val="00712768"/>
    <w:rsid w:val="007237F3"/>
    <w:rsid w:val="00741DCA"/>
    <w:rsid w:val="007469EE"/>
    <w:rsid w:val="00756EF4"/>
    <w:rsid w:val="007605F9"/>
    <w:rsid w:val="00771165"/>
    <w:rsid w:val="007743AA"/>
    <w:rsid w:val="00774D78"/>
    <w:rsid w:val="00782358"/>
    <w:rsid w:val="00787C5F"/>
    <w:rsid w:val="007A7051"/>
    <w:rsid w:val="007C2FFF"/>
    <w:rsid w:val="007C554E"/>
    <w:rsid w:val="007C6FFA"/>
    <w:rsid w:val="007D5ED1"/>
    <w:rsid w:val="007D619F"/>
    <w:rsid w:val="00802D51"/>
    <w:rsid w:val="008145C7"/>
    <w:rsid w:val="00816E02"/>
    <w:rsid w:val="0083297B"/>
    <w:rsid w:val="00864E47"/>
    <w:rsid w:val="008748F8"/>
    <w:rsid w:val="0089243F"/>
    <w:rsid w:val="0089250D"/>
    <w:rsid w:val="008A358A"/>
    <w:rsid w:val="008B2B6E"/>
    <w:rsid w:val="008B412D"/>
    <w:rsid w:val="008C3B0C"/>
    <w:rsid w:val="008D220C"/>
    <w:rsid w:val="008E0AD6"/>
    <w:rsid w:val="008F1570"/>
    <w:rsid w:val="00907F10"/>
    <w:rsid w:val="009103F7"/>
    <w:rsid w:val="00911673"/>
    <w:rsid w:val="00911F4A"/>
    <w:rsid w:val="00917C5F"/>
    <w:rsid w:val="00924555"/>
    <w:rsid w:val="00933810"/>
    <w:rsid w:val="00936D15"/>
    <w:rsid w:val="00942814"/>
    <w:rsid w:val="00944BE2"/>
    <w:rsid w:val="00946FDC"/>
    <w:rsid w:val="00951C8C"/>
    <w:rsid w:val="00957CA0"/>
    <w:rsid w:val="00964141"/>
    <w:rsid w:val="0096704E"/>
    <w:rsid w:val="00971834"/>
    <w:rsid w:val="00991337"/>
    <w:rsid w:val="009B5237"/>
    <w:rsid w:val="009D7C65"/>
    <w:rsid w:val="009E6F63"/>
    <w:rsid w:val="009F04CE"/>
    <w:rsid w:val="00A04891"/>
    <w:rsid w:val="00A0768A"/>
    <w:rsid w:val="00A2030C"/>
    <w:rsid w:val="00A352F7"/>
    <w:rsid w:val="00A54D9A"/>
    <w:rsid w:val="00A5537A"/>
    <w:rsid w:val="00A7259C"/>
    <w:rsid w:val="00A82301"/>
    <w:rsid w:val="00A9552E"/>
    <w:rsid w:val="00A958BF"/>
    <w:rsid w:val="00AB4FF5"/>
    <w:rsid w:val="00AB5B0C"/>
    <w:rsid w:val="00AB77DD"/>
    <w:rsid w:val="00AB7A1B"/>
    <w:rsid w:val="00AC5337"/>
    <w:rsid w:val="00AD07D2"/>
    <w:rsid w:val="00AD5781"/>
    <w:rsid w:val="00AE75EF"/>
    <w:rsid w:val="00AF4363"/>
    <w:rsid w:val="00B04A34"/>
    <w:rsid w:val="00B10854"/>
    <w:rsid w:val="00B25A18"/>
    <w:rsid w:val="00B2727F"/>
    <w:rsid w:val="00B55484"/>
    <w:rsid w:val="00B64F2D"/>
    <w:rsid w:val="00B70220"/>
    <w:rsid w:val="00B87DA6"/>
    <w:rsid w:val="00B91600"/>
    <w:rsid w:val="00BA047C"/>
    <w:rsid w:val="00BB72DF"/>
    <w:rsid w:val="00BC068D"/>
    <w:rsid w:val="00BD34A1"/>
    <w:rsid w:val="00C037A8"/>
    <w:rsid w:val="00C2080A"/>
    <w:rsid w:val="00C275A3"/>
    <w:rsid w:val="00C4387C"/>
    <w:rsid w:val="00C536EF"/>
    <w:rsid w:val="00C54DCB"/>
    <w:rsid w:val="00C6054C"/>
    <w:rsid w:val="00C64AF9"/>
    <w:rsid w:val="00C657F5"/>
    <w:rsid w:val="00C75517"/>
    <w:rsid w:val="00C9173C"/>
    <w:rsid w:val="00C95099"/>
    <w:rsid w:val="00CA20B7"/>
    <w:rsid w:val="00CB037C"/>
    <w:rsid w:val="00CB0F18"/>
    <w:rsid w:val="00CC6CB0"/>
    <w:rsid w:val="00CE11AF"/>
    <w:rsid w:val="00CE6073"/>
    <w:rsid w:val="00D044C6"/>
    <w:rsid w:val="00D2321C"/>
    <w:rsid w:val="00D41017"/>
    <w:rsid w:val="00D52727"/>
    <w:rsid w:val="00D54B5A"/>
    <w:rsid w:val="00D551C5"/>
    <w:rsid w:val="00D6050D"/>
    <w:rsid w:val="00D61FA4"/>
    <w:rsid w:val="00D705B7"/>
    <w:rsid w:val="00D7107E"/>
    <w:rsid w:val="00D831B6"/>
    <w:rsid w:val="00DA427D"/>
    <w:rsid w:val="00DA67CE"/>
    <w:rsid w:val="00DB3BF3"/>
    <w:rsid w:val="00DB4465"/>
    <w:rsid w:val="00DC02E8"/>
    <w:rsid w:val="00DE05CB"/>
    <w:rsid w:val="00DE30F4"/>
    <w:rsid w:val="00DE5146"/>
    <w:rsid w:val="00E0361A"/>
    <w:rsid w:val="00E140C9"/>
    <w:rsid w:val="00E2706C"/>
    <w:rsid w:val="00E37402"/>
    <w:rsid w:val="00E57D61"/>
    <w:rsid w:val="00E6619D"/>
    <w:rsid w:val="00E85AC0"/>
    <w:rsid w:val="00EA3AA9"/>
    <w:rsid w:val="00ED1BE0"/>
    <w:rsid w:val="00ED418B"/>
    <w:rsid w:val="00EE6BEB"/>
    <w:rsid w:val="00EF38DD"/>
    <w:rsid w:val="00EF64F1"/>
    <w:rsid w:val="00F0210F"/>
    <w:rsid w:val="00F049B0"/>
    <w:rsid w:val="00F068AE"/>
    <w:rsid w:val="00F37601"/>
    <w:rsid w:val="00F433C2"/>
    <w:rsid w:val="00F4504E"/>
    <w:rsid w:val="00F555CB"/>
    <w:rsid w:val="00F57021"/>
    <w:rsid w:val="00F63EA1"/>
    <w:rsid w:val="00F765F0"/>
    <w:rsid w:val="00F93332"/>
    <w:rsid w:val="00FA139B"/>
    <w:rsid w:val="00FA6B59"/>
    <w:rsid w:val="00FA7991"/>
    <w:rsid w:val="00FB1630"/>
    <w:rsid w:val="00FB2677"/>
    <w:rsid w:val="00FB4E80"/>
    <w:rsid w:val="00FC7B00"/>
    <w:rsid w:val="00FF26E7"/>
    <w:rsid w:val="043B2D0B"/>
    <w:rsid w:val="0A766BCC"/>
    <w:rsid w:val="18916B8E"/>
    <w:rsid w:val="21D40771"/>
    <w:rsid w:val="375810A4"/>
    <w:rsid w:val="39CA7ADF"/>
    <w:rsid w:val="3AC93BBC"/>
    <w:rsid w:val="3DCB7B9F"/>
    <w:rsid w:val="4F9667B6"/>
    <w:rsid w:val="4FE47521"/>
    <w:rsid w:val="5EC073AC"/>
    <w:rsid w:val="6E07347E"/>
    <w:rsid w:val="6E68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eastAsia="仿宋" w:asciiTheme="minorHAnsi" w:hAnsiTheme="minorHAnsi" w:cstheme="minorBidi"/>
      <w:kern w:val="2"/>
      <w:sz w:val="24"/>
      <w:szCs w:val="22"/>
      <w:lang w:val="en-US" w:eastAsia="zh-CN" w:bidi="ar-SA"/>
    </w:rPr>
  </w:style>
  <w:style w:type="paragraph" w:styleId="2">
    <w:name w:val="heading 2"/>
    <w:basedOn w:val="1"/>
    <w:next w:val="1"/>
    <w:link w:val="29"/>
    <w:unhideWhenUsed/>
    <w:qFormat/>
    <w:uiPriority w:val="0"/>
    <w:pPr>
      <w:keepNext/>
      <w:keepLines/>
      <w:spacing w:before="260" w:after="260" w:line="416" w:lineRule="auto"/>
      <w:jc w:val="both"/>
      <w:outlineLvl w:val="1"/>
    </w:pPr>
    <w:rPr>
      <w:rFonts w:ascii="Cambria" w:hAnsi="Cambria" w:eastAsia="宋体" w:cs="Times New Roman"/>
      <w:b/>
      <w:bCs/>
      <w:sz w:val="32"/>
      <w:szCs w:val="32"/>
    </w:rPr>
  </w:style>
  <w:style w:type="paragraph" w:styleId="3">
    <w:name w:val="heading 3"/>
    <w:basedOn w:val="1"/>
    <w:next w:val="1"/>
    <w:link w:val="28"/>
    <w:unhideWhenUsed/>
    <w:qFormat/>
    <w:uiPriority w:val="0"/>
    <w:pPr>
      <w:keepNext/>
      <w:keepLines/>
      <w:spacing w:before="260" w:after="260" w:line="416" w:lineRule="auto"/>
      <w:jc w:val="both"/>
      <w:outlineLvl w:val="2"/>
    </w:pPr>
    <w:rPr>
      <w:rFonts w:ascii="Arial" w:hAnsi="Arial" w:eastAsia="仿宋_GB2312"/>
      <w:b/>
      <w:bCs/>
      <w:sz w:val="32"/>
      <w:szCs w:val="32"/>
    </w:rPr>
  </w:style>
  <w:style w:type="paragraph" w:styleId="4">
    <w:name w:val="heading 4"/>
    <w:basedOn w:val="1"/>
    <w:next w:val="1"/>
    <w:link w:val="18"/>
    <w:unhideWhenUsed/>
    <w:qFormat/>
    <w:uiPriority w:val="9"/>
    <w:pPr>
      <w:keepNext/>
      <w:keepLines/>
      <w:outlineLvl w:val="3"/>
    </w:pPr>
    <w:rPr>
      <w:rFonts w:eastAsia="宋体" w:asciiTheme="majorHAnsi" w:hAnsiTheme="majorHAnsi" w:cstheme="majorBidi"/>
      <w:b/>
      <w:bCs/>
      <w:szCs w:val="28"/>
    </w:rPr>
  </w:style>
  <w:style w:type="paragraph" w:styleId="5">
    <w:name w:val="heading 5"/>
    <w:basedOn w:val="1"/>
    <w:next w:val="1"/>
    <w:link w:val="19"/>
    <w:unhideWhenUsed/>
    <w:qFormat/>
    <w:uiPriority w:val="9"/>
    <w:pPr>
      <w:keepNext/>
      <w:keepLines/>
      <w:outlineLvl w:val="4"/>
    </w:pPr>
    <w:rPr>
      <w:rFonts w:eastAsia="宋体"/>
      <w:b/>
      <w:bCs/>
      <w:szCs w:val="28"/>
    </w:rPr>
  </w:style>
  <w:style w:type="paragraph" w:styleId="6">
    <w:name w:val="heading 6"/>
    <w:basedOn w:val="1"/>
    <w:next w:val="1"/>
    <w:link w:val="20"/>
    <w:unhideWhenUsed/>
    <w:qFormat/>
    <w:uiPriority w:val="9"/>
    <w:pPr>
      <w:keepNext/>
      <w:keepLines/>
      <w:numPr>
        <w:ilvl w:val="3"/>
        <w:numId w:val="1"/>
      </w:numPr>
      <w:outlineLvl w:val="5"/>
    </w:pPr>
    <w:rPr>
      <w:rFonts w:asciiTheme="majorHAnsi" w:hAnsiTheme="majorHAnsi" w:cstheme="majorBidi"/>
      <w:b/>
      <w:bCs/>
      <w:szCs w:val="24"/>
    </w:rPr>
  </w:style>
  <w:style w:type="paragraph" w:styleId="7">
    <w:name w:val="heading 7"/>
    <w:basedOn w:val="1"/>
    <w:next w:val="1"/>
    <w:link w:val="21"/>
    <w:unhideWhenUsed/>
    <w:qFormat/>
    <w:uiPriority w:val="9"/>
    <w:pPr>
      <w:keepNext/>
      <w:keepLines/>
      <w:numPr>
        <w:ilvl w:val="4"/>
        <w:numId w:val="1"/>
      </w:numPr>
      <w:spacing w:before="240" w:after="64" w:line="320" w:lineRule="auto"/>
      <w:outlineLvl w:val="6"/>
    </w:pPr>
    <w:rPr>
      <w:b/>
      <w:bCs/>
      <w:szCs w:val="24"/>
    </w:rPr>
  </w:style>
  <w:style w:type="paragraph" w:styleId="8">
    <w:name w:val="heading 8"/>
    <w:basedOn w:val="1"/>
    <w:next w:val="1"/>
    <w:link w:val="22"/>
    <w:unhideWhenUsed/>
    <w:qFormat/>
    <w:uiPriority w:val="9"/>
    <w:pPr>
      <w:keepNext/>
      <w:keepLines/>
      <w:numPr>
        <w:ilvl w:val="5"/>
        <w:numId w:val="1"/>
      </w:numPr>
      <w:spacing w:before="240" w:after="64" w:line="320" w:lineRule="auto"/>
      <w:outlineLvl w:val="7"/>
    </w:pPr>
    <w:rPr>
      <w:rFonts w:asciiTheme="majorHAnsi" w:hAnsiTheme="majorHAnsi" w:eastAsiaTheme="majorEastAsia" w:cstheme="majorBidi"/>
      <w:szCs w:val="24"/>
    </w:rPr>
  </w:style>
  <w:style w:type="paragraph" w:styleId="9">
    <w:name w:val="heading 9"/>
    <w:basedOn w:val="1"/>
    <w:next w:val="1"/>
    <w:link w:val="23"/>
    <w:unhideWhenUsed/>
    <w:qFormat/>
    <w:uiPriority w:val="9"/>
    <w:pPr>
      <w:keepNext/>
      <w:keepLines/>
      <w:numPr>
        <w:ilvl w:val="6"/>
        <w:numId w:val="1"/>
      </w:numPr>
      <w:spacing w:before="240" w:after="64" w:line="320" w:lineRule="auto"/>
      <w:outlineLvl w:val="8"/>
    </w:pPr>
    <w:rPr>
      <w:rFonts w:asciiTheme="majorHAnsi" w:hAnsiTheme="majorHAnsi" w:eastAsiaTheme="majorEastAsia" w:cstheme="majorBidi"/>
      <w:szCs w:val="21"/>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27"/>
    <w:qFormat/>
    <w:uiPriority w:val="99"/>
    <w:pPr>
      <w:spacing w:line="240" w:lineRule="auto"/>
    </w:pPr>
    <w:rPr>
      <w:rFonts w:ascii="Times New Roman" w:hAnsi="Times New Roman" w:eastAsia="宋体" w:cs="Times New Roman"/>
      <w:sz w:val="21"/>
      <w:szCs w:val="24"/>
    </w:rPr>
  </w:style>
  <w:style w:type="paragraph" w:styleId="11">
    <w:name w:val="footer"/>
    <w:basedOn w:val="1"/>
    <w:link w:val="24"/>
    <w:unhideWhenUsed/>
    <w:qFormat/>
    <w:uiPriority w:val="0"/>
    <w:pPr>
      <w:tabs>
        <w:tab w:val="center" w:pos="4153"/>
        <w:tab w:val="right" w:pos="8306"/>
      </w:tabs>
      <w:snapToGrid w:val="0"/>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annotation subject"/>
    <w:basedOn w:val="10"/>
    <w:next w:val="10"/>
    <w:link w:val="34"/>
    <w:semiHidden/>
    <w:unhideWhenUsed/>
    <w:qFormat/>
    <w:uiPriority w:val="99"/>
    <w:pPr>
      <w:spacing w:line="360" w:lineRule="auto"/>
    </w:pPr>
    <w:rPr>
      <w:rFonts w:eastAsia="仿宋" w:asciiTheme="minorHAnsi" w:hAnsiTheme="minorHAnsi" w:cstheme="minorBidi"/>
      <w:b/>
      <w:bCs/>
      <w:sz w:val="24"/>
      <w:szCs w:val="22"/>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99"/>
    <w:rPr>
      <w:sz w:val="21"/>
      <w:szCs w:val="21"/>
    </w:rPr>
  </w:style>
  <w:style w:type="character" w:customStyle="1" w:styleId="18">
    <w:name w:val="标题 4 字符"/>
    <w:basedOn w:val="16"/>
    <w:link w:val="4"/>
    <w:qFormat/>
    <w:uiPriority w:val="9"/>
    <w:rPr>
      <w:rFonts w:eastAsia="宋体" w:asciiTheme="majorHAnsi" w:hAnsiTheme="majorHAnsi" w:cstheme="majorBidi"/>
      <w:b/>
      <w:bCs/>
      <w:sz w:val="24"/>
      <w:szCs w:val="28"/>
    </w:rPr>
  </w:style>
  <w:style w:type="character" w:customStyle="1" w:styleId="19">
    <w:name w:val="标题 5 字符"/>
    <w:basedOn w:val="16"/>
    <w:link w:val="5"/>
    <w:qFormat/>
    <w:uiPriority w:val="9"/>
    <w:rPr>
      <w:rFonts w:eastAsia="宋体"/>
      <w:b/>
      <w:bCs/>
      <w:sz w:val="24"/>
      <w:szCs w:val="28"/>
    </w:rPr>
  </w:style>
  <w:style w:type="character" w:customStyle="1" w:styleId="20">
    <w:name w:val="标题 6 字符"/>
    <w:basedOn w:val="16"/>
    <w:link w:val="6"/>
    <w:qFormat/>
    <w:uiPriority w:val="0"/>
    <w:rPr>
      <w:rFonts w:eastAsia="仿宋" w:asciiTheme="majorHAnsi" w:hAnsiTheme="majorHAnsi" w:cstheme="majorBidi"/>
      <w:b/>
      <w:bCs/>
      <w:sz w:val="24"/>
      <w:szCs w:val="24"/>
    </w:rPr>
  </w:style>
  <w:style w:type="character" w:customStyle="1" w:styleId="21">
    <w:name w:val="标题 7 字符"/>
    <w:basedOn w:val="16"/>
    <w:link w:val="7"/>
    <w:qFormat/>
    <w:uiPriority w:val="0"/>
    <w:rPr>
      <w:rFonts w:eastAsia="仿宋"/>
      <w:b/>
      <w:bCs/>
      <w:sz w:val="24"/>
      <w:szCs w:val="24"/>
    </w:rPr>
  </w:style>
  <w:style w:type="character" w:customStyle="1" w:styleId="22">
    <w:name w:val="标题 8 字符"/>
    <w:basedOn w:val="16"/>
    <w:link w:val="8"/>
    <w:uiPriority w:val="0"/>
    <w:rPr>
      <w:rFonts w:asciiTheme="majorHAnsi" w:hAnsiTheme="majorHAnsi" w:eastAsiaTheme="majorEastAsia" w:cstheme="majorBidi"/>
      <w:sz w:val="24"/>
      <w:szCs w:val="24"/>
    </w:rPr>
  </w:style>
  <w:style w:type="character" w:customStyle="1" w:styleId="23">
    <w:name w:val="标题 9 字符"/>
    <w:basedOn w:val="16"/>
    <w:link w:val="9"/>
    <w:qFormat/>
    <w:uiPriority w:val="9"/>
    <w:rPr>
      <w:rFonts w:asciiTheme="majorHAnsi" w:hAnsiTheme="majorHAnsi" w:eastAsiaTheme="majorEastAsia" w:cstheme="majorBidi"/>
      <w:sz w:val="24"/>
      <w:szCs w:val="21"/>
    </w:rPr>
  </w:style>
  <w:style w:type="character" w:customStyle="1" w:styleId="24">
    <w:name w:val="页脚 字符"/>
    <w:basedOn w:val="16"/>
    <w:link w:val="11"/>
    <w:qFormat/>
    <w:uiPriority w:val="0"/>
    <w:rPr>
      <w:rFonts w:eastAsia="仿宋"/>
      <w:sz w:val="18"/>
      <w:szCs w:val="18"/>
    </w:rPr>
  </w:style>
  <w:style w:type="paragraph" w:styleId="25">
    <w:name w:val="List Paragraph"/>
    <w:basedOn w:val="1"/>
    <w:link w:val="26"/>
    <w:qFormat/>
    <w:uiPriority w:val="34"/>
    <w:pPr>
      <w:spacing w:line="240" w:lineRule="auto"/>
      <w:ind w:firstLine="420"/>
      <w:jc w:val="both"/>
    </w:pPr>
    <w:rPr>
      <w:rFonts w:eastAsiaTheme="minorEastAsia"/>
      <w:sz w:val="21"/>
    </w:rPr>
  </w:style>
  <w:style w:type="character" w:customStyle="1" w:styleId="26">
    <w:name w:val="列表段落 字符"/>
    <w:link w:val="25"/>
    <w:qFormat/>
    <w:uiPriority w:val="34"/>
  </w:style>
  <w:style w:type="character" w:customStyle="1" w:styleId="27">
    <w:name w:val="批注文字 字符"/>
    <w:basedOn w:val="16"/>
    <w:link w:val="10"/>
    <w:qFormat/>
    <w:uiPriority w:val="99"/>
    <w:rPr>
      <w:rFonts w:ascii="Times New Roman" w:hAnsi="Times New Roman" w:eastAsia="宋体" w:cs="Times New Roman"/>
      <w:szCs w:val="24"/>
    </w:rPr>
  </w:style>
  <w:style w:type="character" w:customStyle="1" w:styleId="28">
    <w:name w:val="标题 3 字符"/>
    <w:basedOn w:val="16"/>
    <w:link w:val="3"/>
    <w:uiPriority w:val="0"/>
    <w:rPr>
      <w:rFonts w:ascii="Arial" w:hAnsi="Arial" w:eastAsia="仿宋_GB2312"/>
      <w:b/>
      <w:bCs/>
      <w:sz w:val="32"/>
      <w:szCs w:val="32"/>
    </w:rPr>
  </w:style>
  <w:style w:type="character" w:customStyle="1" w:styleId="29">
    <w:name w:val="标题 2 字符"/>
    <w:basedOn w:val="16"/>
    <w:link w:val="2"/>
    <w:qFormat/>
    <w:uiPriority w:val="0"/>
    <w:rPr>
      <w:rFonts w:ascii="Cambria" w:hAnsi="Cambria" w:eastAsia="宋体" w:cs="Times New Roman"/>
      <w:b/>
      <w:bCs/>
      <w:sz w:val="32"/>
      <w:szCs w:val="32"/>
    </w:rPr>
  </w:style>
  <w:style w:type="character" w:customStyle="1" w:styleId="30">
    <w:name w:val="Default Char"/>
    <w:link w:val="31"/>
    <w:qFormat/>
    <w:uiPriority w:val="0"/>
    <w:rPr>
      <w:rFonts w:ascii="宋体" w:cs="宋体"/>
      <w:color w:val="000000"/>
    </w:rPr>
  </w:style>
  <w:style w:type="paragraph" w:customStyle="1" w:styleId="31">
    <w:name w:val="Default"/>
    <w:link w:val="30"/>
    <w:qFormat/>
    <w:uiPriority w:val="0"/>
    <w:pPr>
      <w:widowControl w:val="0"/>
      <w:autoSpaceDE w:val="0"/>
      <w:autoSpaceDN w:val="0"/>
      <w:adjustRightInd w:val="0"/>
    </w:pPr>
    <w:rPr>
      <w:rFonts w:ascii="宋体" w:cs="宋体" w:hAnsiTheme="minorHAnsi" w:eastAsiaTheme="minorEastAsia"/>
      <w:color w:val="000000"/>
      <w:kern w:val="2"/>
      <w:sz w:val="21"/>
      <w:szCs w:val="22"/>
      <w:lang w:val="en-US" w:eastAsia="zh-CN" w:bidi="ar-SA"/>
    </w:rPr>
  </w:style>
  <w:style w:type="character" w:customStyle="1" w:styleId="32">
    <w:name w:val="页眉 字符"/>
    <w:basedOn w:val="16"/>
    <w:link w:val="12"/>
    <w:qFormat/>
    <w:uiPriority w:val="99"/>
    <w:rPr>
      <w:rFonts w:eastAsia="仿宋"/>
      <w:sz w:val="18"/>
      <w:szCs w:val="18"/>
    </w:rPr>
  </w:style>
  <w:style w:type="paragraph" w:customStyle="1" w:styleId="33">
    <w:name w:val="Revision"/>
    <w:hidden/>
    <w:semiHidden/>
    <w:qFormat/>
    <w:uiPriority w:val="99"/>
    <w:rPr>
      <w:rFonts w:eastAsia="仿宋" w:asciiTheme="minorHAnsi" w:hAnsiTheme="minorHAnsi" w:cstheme="minorBidi"/>
      <w:kern w:val="2"/>
      <w:sz w:val="24"/>
      <w:szCs w:val="22"/>
      <w:lang w:val="en-US" w:eastAsia="zh-CN" w:bidi="ar-SA"/>
    </w:rPr>
  </w:style>
  <w:style w:type="character" w:customStyle="1" w:styleId="34">
    <w:name w:val="批注主题 字符"/>
    <w:basedOn w:val="27"/>
    <w:link w:val="13"/>
    <w:semiHidden/>
    <w:qFormat/>
    <w:uiPriority w:val="99"/>
    <w:rPr>
      <w:rFonts w:ascii="Times New Roman" w:hAnsi="Times New Roman" w:eastAsia="仿宋" w:cs="Times New Roman"/>
      <w:b/>
      <w:bCs/>
      <w:sz w:val="24"/>
      <w:szCs w:val="24"/>
    </w:rPr>
  </w:style>
  <w:style w:type="table" w:customStyle="1" w:styleId="35">
    <w:name w:val="网格型1"/>
    <w:basedOn w:val="14"/>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2"/>
    <w:basedOn w:val="14"/>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3"/>
    <w:basedOn w:val="14"/>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4"/>
    <w:basedOn w:val="14"/>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5"/>
    <w:basedOn w:val="14"/>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7442</Words>
  <Characters>7549</Characters>
  <Lines>67</Lines>
  <Paragraphs>18</Paragraphs>
  <TotalTime>12</TotalTime>
  <ScaleCrop>false</ScaleCrop>
  <LinksUpToDate>false</LinksUpToDate>
  <CharactersWithSpaces>7562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2023-12-11T03:10:00Z</dcterms:created>
  <dc:creator>wuyushu</dc:creator>
  <cp:lastModifiedBy>安</cp:lastModifiedBy>
  <dcterms:modified xsi:type="dcterms:W3CDTF">2024-11-20T05:12:19Z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9B0FE6D6191B4F58B6AD1143EC764BAA_13</vt:lpwstr>
  </property>
</Properties>
</file>