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DE9A0">
      <w:pPr>
        <w:numPr>
          <w:ilvl w:val="0"/>
          <w:numId w:val="1"/>
        </w:numPr>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产品清单</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4012"/>
        <w:gridCol w:w="1445"/>
        <w:gridCol w:w="2031"/>
      </w:tblGrid>
      <w:tr w14:paraId="3690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5" w:type="pct"/>
            <w:tcBorders>
              <w:top w:val="single" w:color="auto" w:sz="4" w:space="0"/>
              <w:left w:val="single" w:color="auto" w:sz="4" w:space="0"/>
              <w:right w:val="single" w:color="auto" w:sz="4" w:space="0"/>
            </w:tcBorders>
            <w:shd w:val="clear" w:color="auto" w:fill="BFBFBF"/>
            <w:vAlign w:val="center"/>
          </w:tcPr>
          <w:p w14:paraId="75FACDFB">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序号</w:t>
            </w:r>
          </w:p>
        </w:tc>
        <w:tc>
          <w:tcPr>
            <w:tcW w:w="2354" w:type="pct"/>
            <w:tcBorders>
              <w:top w:val="single" w:color="auto" w:sz="4" w:space="0"/>
              <w:left w:val="single" w:color="auto" w:sz="4" w:space="0"/>
              <w:right w:val="single" w:color="auto" w:sz="4" w:space="0"/>
            </w:tcBorders>
            <w:shd w:val="clear" w:color="auto" w:fill="BFBFBF"/>
            <w:vAlign w:val="center"/>
          </w:tcPr>
          <w:p w14:paraId="07019190">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货物名称</w:t>
            </w:r>
          </w:p>
        </w:tc>
        <w:tc>
          <w:tcPr>
            <w:tcW w:w="848" w:type="pct"/>
            <w:tcBorders>
              <w:top w:val="single" w:color="auto" w:sz="4" w:space="0"/>
              <w:left w:val="single" w:color="auto" w:sz="4" w:space="0"/>
              <w:right w:val="single" w:color="auto" w:sz="4" w:space="0"/>
            </w:tcBorders>
            <w:shd w:val="clear" w:color="auto" w:fill="BFBFBF"/>
            <w:vAlign w:val="center"/>
          </w:tcPr>
          <w:p w14:paraId="535C7609">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单位</w:t>
            </w:r>
          </w:p>
        </w:tc>
        <w:tc>
          <w:tcPr>
            <w:tcW w:w="1192" w:type="pct"/>
            <w:tcBorders>
              <w:top w:val="single" w:color="auto" w:sz="4" w:space="0"/>
              <w:left w:val="single" w:color="auto" w:sz="4" w:space="0"/>
              <w:right w:val="single" w:color="auto" w:sz="4" w:space="0"/>
            </w:tcBorders>
            <w:shd w:val="clear" w:color="auto" w:fill="BFBFBF"/>
            <w:vAlign w:val="center"/>
          </w:tcPr>
          <w:p w14:paraId="17C1667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数量</w:t>
            </w:r>
          </w:p>
        </w:tc>
      </w:tr>
      <w:tr w14:paraId="4E5D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05" w:type="pct"/>
            <w:tcBorders>
              <w:top w:val="single" w:color="auto" w:sz="4" w:space="0"/>
              <w:left w:val="single" w:color="auto" w:sz="4" w:space="0"/>
              <w:bottom w:val="single" w:color="auto" w:sz="4" w:space="0"/>
              <w:right w:val="single" w:color="auto" w:sz="4" w:space="0"/>
            </w:tcBorders>
            <w:vAlign w:val="center"/>
          </w:tcPr>
          <w:p w14:paraId="1FFE969A">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354" w:type="pct"/>
            <w:tcBorders>
              <w:top w:val="single" w:color="auto" w:sz="4" w:space="0"/>
              <w:left w:val="single" w:color="auto" w:sz="4" w:space="0"/>
              <w:bottom w:val="single" w:color="auto" w:sz="4" w:space="0"/>
              <w:right w:val="single" w:color="auto" w:sz="4" w:space="0"/>
            </w:tcBorders>
            <w:vAlign w:val="center"/>
          </w:tcPr>
          <w:p w14:paraId="0A205CC9">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血液超融合一体机</w:t>
            </w:r>
          </w:p>
        </w:tc>
        <w:tc>
          <w:tcPr>
            <w:tcW w:w="848" w:type="pct"/>
            <w:tcBorders>
              <w:top w:val="single" w:color="auto" w:sz="4" w:space="0"/>
              <w:left w:val="single" w:color="auto" w:sz="4" w:space="0"/>
              <w:bottom w:val="single" w:color="auto" w:sz="4" w:space="0"/>
              <w:right w:val="single" w:color="auto" w:sz="4" w:space="0"/>
            </w:tcBorders>
            <w:vAlign w:val="center"/>
          </w:tcPr>
          <w:p w14:paraId="60BC6169">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1192" w:type="pct"/>
            <w:tcBorders>
              <w:top w:val="single" w:color="auto" w:sz="4" w:space="0"/>
              <w:left w:val="single" w:color="auto" w:sz="4" w:space="0"/>
              <w:bottom w:val="single" w:color="auto" w:sz="4" w:space="0"/>
              <w:right w:val="single" w:color="auto" w:sz="4" w:space="0"/>
            </w:tcBorders>
            <w:vAlign w:val="center"/>
          </w:tcPr>
          <w:p w14:paraId="45524225">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r>
    </w:tbl>
    <w:p w14:paraId="1827BD9C">
      <w:pPr>
        <w:numPr>
          <w:ilvl w:val="0"/>
          <w:numId w:val="1"/>
        </w:numPr>
        <w:ind w:left="0" w:leftChars="0" w:firstLine="0" w:firstLineChars="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产品参数</w:t>
      </w:r>
    </w:p>
    <w:tbl>
      <w:tblPr>
        <w:tblStyle w:val="11"/>
        <w:tblW w:w="5096" w:type="pct"/>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907"/>
        <w:gridCol w:w="1065"/>
        <w:gridCol w:w="5141"/>
        <w:gridCol w:w="798"/>
      </w:tblGrid>
      <w:tr w14:paraId="61A1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6" w:type="pct"/>
            <w:tcBorders>
              <w:top w:val="single" w:color="auto" w:sz="4" w:space="0"/>
              <w:left w:val="single" w:color="auto" w:sz="4" w:space="0"/>
              <w:right w:val="single" w:color="auto" w:sz="4" w:space="0"/>
            </w:tcBorders>
            <w:vAlign w:val="center"/>
          </w:tcPr>
          <w:p w14:paraId="1C8B820A">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序号</w:t>
            </w:r>
          </w:p>
        </w:tc>
        <w:tc>
          <w:tcPr>
            <w:tcW w:w="522" w:type="pct"/>
            <w:tcBorders>
              <w:top w:val="single" w:color="auto" w:sz="4" w:space="0"/>
              <w:left w:val="single" w:color="auto" w:sz="4" w:space="0"/>
              <w:right w:val="single" w:color="auto" w:sz="4" w:space="0"/>
            </w:tcBorders>
            <w:vAlign w:val="center"/>
          </w:tcPr>
          <w:p w14:paraId="70C97597">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名称</w:t>
            </w:r>
          </w:p>
        </w:tc>
        <w:tc>
          <w:tcPr>
            <w:tcW w:w="613" w:type="pct"/>
            <w:tcBorders>
              <w:top w:val="single" w:color="auto" w:sz="4" w:space="0"/>
              <w:left w:val="single" w:color="auto" w:sz="4" w:space="0"/>
              <w:bottom w:val="single" w:color="auto" w:sz="4" w:space="0"/>
              <w:right w:val="single" w:color="auto" w:sz="4" w:space="0"/>
            </w:tcBorders>
            <w:vAlign w:val="center"/>
          </w:tcPr>
          <w:p w14:paraId="43DE3975">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指标项</w:t>
            </w:r>
          </w:p>
        </w:tc>
        <w:tc>
          <w:tcPr>
            <w:tcW w:w="2959" w:type="pct"/>
            <w:tcBorders>
              <w:top w:val="single" w:color="auto" w:sz="4" w:space="0"/>
              <w:left w:val="single" w:color="auto" w:sz="4" w:space="0"/>
              <w:bottom w:val="single" w:color="auto" w:sz="4" w:space="0"/>
              <w:right w:val="single" w:color="auto" w:sz="4" w:space="0"/>
            </w:tcBorders>
            <w:vAlign w:val="center"/>
          </w:tcPr>
          <w:p w14:paraId="60CEC7CB">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主要配置</w:t>
            </w:r>
          </w:p>
        </w:tc>
        <w:tc>
          <w:tcPr>
            <w:tcW w:w="459" w:type="pct"/>
            <w:tcBorders>
              <w:top w:val="single" w:color="auto" w:sz="4" w:space="0"/>
              <w:left w:val="single" w:color="auto" w:sz="4" w:space="0"/>
              <w:right w:val="single" w:color="auto" w:sz="4" w:space="0"/>
            </w:tcBorders>
            <w:noWrap/>
            <w:vAlign w:val="center"/>
          </w:tcPr>
          <w:p w14:paraId="581F2625">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数量</w:t>
            </w:r>
          </w:p>
        </w:tc>
      </w:tr>
      <w:tr w14:paraId="2A8E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6" w:type="pct"/>
            <w:vMerge w:val="restart"/>
            <w:tcBorders>
              <w:top w:val="single" w:color="auto" w:sz="4" w:space="0"/>
              <w:left w:val="single" w:color="auto" w:sz="4" w:space="0"/>
              <w:bottom w:val="single" w:color="auto" w:sz="4" w:space="0"/>
              <w:right w:val="single" w:color="auto" w:sz="4" w:space="0"/>
            </w:tcBorders>
            <w:vAlign w:val="center"/>
          </w:tcPr>
          <w:p w14:paraId="4841C708">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22" w:type="pct"/>
            <w:vMerge w:val="restart"/>
            <w:tcBorders>
              <w:top w:val="single" w:color="auto" w:sz="4" w:space="0"/>
              <w:left w:val="single" w:color="auto" w:sz="4" w:space="0"/>
              <w:bottom w:val="single" w:color="auto" w:sz="4" w:space="0"/>
              <w:right w:val="single" w:color="auto" w:sz="4" w:space="0"/>
            </w:tcBorders>
            <w:vAlign w:val="center"/>
          </w:tcPr>
          <w:p w14:paraId="0048E6D1">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超融合</w:t>
            </w:r>
            <w:r>
              <w:rPr>
                <w:rFonts w:hint="eastAsia" w:ascii="宋体" w:hAnsi="宋体" w:eastAsia="宋体" w:cs="宋体"/>
                <w:color w:val="000000"/>
                <w:kern w:val="0"/>
                <w:sz w:val="21"/>
                <w:szCs w:val="21"/>
                <w:lang w:bidi="ar"/>
              </w:rPr>
              <w:t>资源池</w:t>
            </w:r>
            <w:r>
              <w:rPr>
                <w:rFonts w:hint="eastAsia" w:ascii="宋体" w:hAnsi="宋体" w:eastAsia="宋体" w:cs="宋体"/>
                <w:color w:val="000000"/>
                <w:kern w:val="0"/>
                <w:sz w:val="21"/>
                <w:szCs w:val="21"/>
                <w:lang w:val="en-US" w:eastAsia="zh-CN" w:bidi="ar"/>
              </w:rPr>
              <w:t>一体机</w:t>
            </w:r>
          </w:p>
        </w:tc>
        <w:tc>
          <w:tcPr>
            <w:tcW w:w="613" w:type="pct"/>
            <w:tcBorders>
              <w:top w:val="single" w:color="auto" w:sz="4" w:space="0"/>
              <w:left w:val="single" w:color="auto" w:sz="4" w:space="0"/>
              <w:bottom w:val="single" w:color="auto" w:sz="4" w:space="0"/>
              <w:right w:val="single" w:color="auto" w:sz="4" w:space="0"/>
            </w:tcBorders>
            <w:vAlign w:val="center"/>
          </w:tcPr>
          <w:p w14:paraId="03B83295">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规格</w:t>
            </w:r>
          </w:p>
        </w:tc>
        <w:tc>
          <w:tcPr>
            <w:tcW w:w="2959" w:type="pct"/>
            <w:tcBorders>
              <w:top w:val="single" w:color="auto" w:sz="4" w:space="0"/>
              <w:left w:val="single" w:color="auto" w:sz="4" w:space="0"/>
              <w:bottom w:val="single" w:color="auto" w:sz="4" w:space="0"/>
              <w:right w:val="single" w:color="auto" w:sz="4" w:space="0"/>
            </w:tcBorders>
            <w:noWrap/>
            <w:vAlign w:val="center"/>
          </w:tcPr>
          <w:p w14:paraId="637CAF58">
            <w:pPr>
              <w:keepNext w:val="0"/>
              <w:keepLines w:val="0"/>
              <w:pageBreakBefore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≥2U机架式服务器</w:t>
            </w:r>
          </w:p>
        </w:tc>
        <w:tc>
          <w:tcPr>
            <w:tcW w:w="459" w:type="pct"/>
            <w:vMerge w:val="restart"/>
            <w:tcBorders>
              <w:top w:val="single" w:color="auto" w:sz="4" w:space="0"/>
              <w:left w:val="single" w:color="auto" w:sz="4" w:space="0"/>
              <w:bottom w:val="single" w:color="auto" w:sz="4" w:space="0"/>
              <w:right w:val="single" w:color="auto" w:sz="4" w:space="0"/>
            </w:tcBorders>
            <w:noWrap/>
            <w:vAlign w:val="center"/>
          </w:tcPr>
          <w:p w14:paraId="27286B00">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2台</w:t>
            </w:r>
          </w:p>
          <w:p w14:paraId="3F785C92">
            <w:pPr>
              <w:keepNext w:val="0"/>
              <w:keepLines w:val="0"/>
              <w:pageBreakBefore w:val="0"/>
              <w:kinsoku/>
              <w:wordWrap/>
              <w:overflowPunct/>
              <w:topLinePunct w:val="0"/>
              <w:autoSpaceDE/>
              <w:autoSpaceDN/>
              <w:bidi w:val="0"/>
              <w:adjustRightInd/>
              <w:snapToGrid/>
              <w:ind w:firstLine="0" w:firstLineChars="0"/>
              <w:textAlignment w:val="center"/>
              <w:rPr>
                <w:rFonts w:hint="eastAsia" w:ascii="宋体" w:hAnsi="宋体" w:eastAsia="宋体" w:cs="宋体"/>
                <w:color w:val="000000"/>
                <w:kern w:val="0"/>
                <w:sz w:val="21"/>
                <w:szCs w:val="21"/>
                <w:lang w:val="en-US" w:eastAsia="zh-CN" w:bidi="ar"/>
              </w:rPr>
            </w:pPr>
          </w:p>
          <w:p w14:paraId="5828B9E7">
            <w:pPr>
              <w:keepNext w:val="0"/>
              <w:keepLines w:val="0"/>
              <w:pageBreakBefore w:val="0"/>
              <w:kinsoku/>
              <w:wordWrap/>
              <w:overflowPunct/>
              <w:topLinePunct w:val="0"/>
              <w:autoSpaceDE/>
              <w:autoSpaceDN/>
              <w:bidi w:val="0"/>
              <w:adjustRightInd/>
              <w:snapToGrid/>
              <w:ind w:firstLine="0" w:firstLineChars="0"/>
              <w:textAlignment w:val="center"/>
              <w:rPr>
                <w:rFonts w:hint="eastAsia" w:ascii="宋体" w:hAnsi="宋体" w:eastAsia="宋体" w:cs="宋体"/>
                <w:color w:val="000000"/>
                <w:kern w:val="0"/>
                <w:sz w:val="21"/>
                <w:szCs w:val="21"/>
                <w:lang w:val="en-US" w:eastAsia="zh-CN" w:bidi="ar"/>
              </w:rPr>
            </w:pPr>
          </w:p>
          <w:p w14:paraId="5AA0E9CC">
            <w:pPr>
              <w:keepNext w:val="0"/>
              <w:keepLines w:val="0"/>
              <w:pageBreakBefore w:val="0"/>
              <w:kinsoku/>
              <w:wordWrap/>
              <w:overflowPunct/>
              <w:topLinePunct w:val="0"/>
              <w:autoSpaceDE/>
              <w:autoSpaceDN/>
              <w:bidi w:val="0"/>
              <w:adjustRightInd/>
              <w:snapToGrid/>
              <w:ind w:firstLine="0" w:firstLineChars="0"/>
              <w:textAlignment w:val="center"/>
              <w:rPr>
                <w:rFonts w:hint="eastAsia" w:ascii="宋体" w:hAnsi="宋体" w:eastAsia="宋体" w:cs="宋体"/>
                <w:color w:val="000000"/>
                <w:kern w:val="0"/>
                <w:sz w:val="21"/>
                <w:szCs w:val="21"/>
                <w:lang w:val="en-US" w:eastAsia="zh-CN" w:bidi="ar"/>
              </w:rPr>
            </w:pPr>
          </w:p>
          <w:p w14:paraId="79563870">
            <w:pPr>
              <w:keepNext w:val="0"/>
              <w:keepLines w:val="0"/>
              <w:pageBreakBefore w:val="0"/>
              <w:kinsoku/>
              <w:wordWrap/>
              <w:overflowPunct/>
              <w:topLinePunct w:val="0"/>
              <w:autoSpaceDE/>
              <w:autoSpaceDN/>
              <w:bidi w:val="0"/>
              <w:adjustRightInd/>
              <w:snapToGrid/>
              <w:ind w:firstLine="0" w:firstLineChars="0"/>
              <w:textAlignment w:val="center"/>
              <w:rPr>
                <w:rFonts w:hint="eastAsia" w:ascii="宋体" w:hAnsi="宋体" w:eastAsia="宋体" w:cs="宋体"/>
                <w:color w:val="000000"/>
                <w:kern w:val="0"/>
                <w:sz w:val="21"/>
                <w:szCs w:val="21"/>
                <w:lang w:val="en-US" w:eastAsia="zh-CN" w:bidi="ar"/>
              </w:rPr>
            </w:pPr>
          </w:p>
          <w:p w14:paraId="5E85CE34">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1"/>
                <w:szCs w:val="21"/>
              </w:rPr>
            </w:pPr>
          </w:p>
        </w:tc>
      </w:tr>
      <w:tr w14:paraId="2EF0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6" w:type="pct"/>
            <w:vMerge w:val="continue"/>
            <w:tcBorders>
              <w:top w:val="single" w:color="auto" w:sz="4" w:space="0"/>
              <w:left w:val="single" w:color="auto" w:sz="4" w:space="0"/>
              <w:bottom w:val="single" w:color="auto" w:sz="4" w:space="0"/>
              <w:right w:val="single" w:color="auto" w:sz="4" w:space="0"/>
            </w:tcBorders>
            <w:vAlign w:val="center"/>
          </w:tcPr>
          <w:p w14:paraId="23D67601">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6BCB87B9">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613" w:type="pct"/>
            <w:tcBorders>
              <w:top w:val="single" w:color="auto" w:sz="4" w:space="0"/>
              <w:left w:val="single" w:color="auto" w:sz="4" w:space="0"/>
              <w:bottom w:val="single" w:color="auto" w:sz="4" w:space="0"/>
              <w:right w:val="single" w:color="auto" w:sz="4" w:space="0"/>
            </w:tcBorders>
            <w:vAlign w:val="center"/>
          </w:tcPr>
          <w:p w14:paraId="6F61DDD7">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CPU</w:t>
            </w:r>
          </w:p>
        </w:tc>
        <w:tc>
          <w:tcPr>
            <w:tcW w:w="2959" w:type="pct"/>
            <w:tcBorders>
              <w:top w:val="single" w:color="auto" w:sz="4" w:space="0"/>
              <w:left w:val="single" w:color="auto" w:sz="4" w:space="0"/>
              <w:bottom w:val="single" w:color="auto" w:sz="4" w:space="0"/>
              <w:right w:val="single" w:color="auto" w:sz="4" w:space="0"/>
            </w:tcBorders>
            <w:noWrap/>
            <w:vAlign w:val="center"/>
          </w:tcPr>
          <w:p w14:paraId="614279A4">
            <w:pPr>
              <w:keepNext w:val="0"/>
              <w:keepLines w:val="0"/>
              <w:widowControl/>
              <w:suppressLineNumbers w:val="0"/>
              <w:ind w:left="0" w:leftChars="0"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lang w:eastAsia="zh-CN"/>
              </w:rPr>
              <w:t>★</w:t>
            </w:r>
            <w:r>
              <w:rPr>
                <w:rFonts w:hint="eastAsia" w:ascii="宋体" w:hAnsi="宋体" w:eastAsia="宋体" w:cs="宋体"/>
                <w:color w:val="000000"/>
                <w:kern w:val="0"/>
                <w:sz w:val="21"/>
                <w:szCs w:val="21"/>
                <w:lang w:bidi="ar"/>
              </w:rPr>
              <w:t>配置≥</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颗</w:t>
            </w:r>
            <w:r>
              <w:rPr>
                <w:rFonts w:hint="eastAsia" w:ascii="宋体" w:hAnsi="宋体" w:eastAsia="宋体" w:cs="宋体"/>
                <w:color w:val="000000"/>
                <w:kern w:val="0"/>
                <w:sz w:val="21"/>
                <w:szCs w:val="21"/>
                <w:lang w:val="en-US" w:eastAsia="zh-CN" w:bidi="ar"/>
              </w:rPr>
              <w:t>国产化海光高性能</w:t>
            </w:r>
            <w:r>
              <w:rPr>
                <w:rFonts w:hint="eastAsia" w:ascii="宋体" w:hAnsi="宋体" w:eastAsia="宋体" w:cs="宋体"/>
                <w:color w:val="000000"/>
                <w:kern w:val="0"/>
                <w:sz w:val="21"/>
                <w:szCs w:val="21"/>
                <w:lang w:bidi="ar"/>
              </w:rPr>
              <w:t>处理器</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单颗处理器核心≥</w:t>
            </w:r>
            <w:r>
              <w:rPr>
                <w:rFonts w:hint="eastAsia" w:ascii="宋体" w:hAnsi="宋体" w:eastAsia="宋体" w:cs="宋体"/>
                <w:color w:val="000000"/>
                <w:kern w:val="0"/>
                <w:sz w:val="21"/>
                <w:szCs w:val="21"/>
                <w:lang w:val="en-US" w:eastAsia="zh-CN" w:bidi="ar"/>
              </w:rPr>
              <w:t>16</w:t>
            </w:r>
            <w:r>
              <w:rPr>
                <w:rFonts w:hint="eastAsia" w:ascii="宋体" w:hAnsi="宋体" w:eastAsia="宋体" w:cs="宋体"/>
                <w:color w:val="000000"/>
                <w:kern w:val="0"/>
                <w:sz w:val="21"/>
                <w:szCs w:val="21"/>
                <w:lang w:bidi="ar"/>
              </w:rPr>
              <w:t>核，主频≥2.</w:t>
            </w: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GHz</w:t>
            </w:r>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4A737425">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r>
      <w:tr w14:paraId="2CF4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6" w:type="pct"/>
            <w:vMerge w:val="continue"/>
            <w:tcBorders>
              <w:top w:val="single" w:color="auto" w:sz="4" w:space="0"/>
              <w:left w:val="single" w:color="auto" w:sz="4" w:space="0"/>
              <w:bottom w:val="single" w:color="auto" w:sz="4" w:space="0"/>
              <w:right w:val="single" w:color="auto" w:sz="4" w:space="0"/>
            </w:tcBorders>
            <w:vAlign w:val="center"/>
          </w:tcPr>
          <w:p w14:paraId="2DEBF0A4">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7597C492">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613" w:type="pct"/>
            <w:tcBorders>
              <w:top w:val="single" w:color="auto" w:sz="4" w:space="0"/>
              <w:left w:val="single" w:color="auto" w:sz="4" w:space="0"/>
              <w:bottom w:val="single" w:color="auto" w:sz="4" w:space="0"/>
              <w:right w:val="single" w:color="auto" w:sz="4" w:space="0"/>
            </w:tcBorders>
            <w:vAlign w:val="center"/>
          </w:tcPr>
          <w:p w14:paraId="11DB2568">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内存</w:t>
            </w:r>
          </w:p>
        </w:tc>
        <w:tc>
          <w:tcPr>
            <w:tcW w:w="2959" w:type="pct"/>
            <w:tcBorders>
              <w:top w:val="single" w:color="auto" w:sz="4" w:space="0"/>
              <w:left w:val="single" w:color="auto" w:sz="4" w:space="0"/>
              <w:bottom w:val="single" w:color="auto" w:sz="4" w:space="0"/>
              <w:right w:val="single" w:color="auto" w:sz="4" w:space="0"/>
            </w:tcBorders>
            <w:noWrap/>
            <w:vAlign w:val="center"/>
          </w:tcPr>
          <w:p w14:paraId="01C66D85">
            <w:pPr>
              <w:keepNext w:val="0"/>
              <w:keepLines w:val="0"/>
              <w:pageBreakBefore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sz w:val="21"/>
                <w:szCs w:val="21"/>
                <w:lang w:eastAsia="zh-CN"/>
              </w:rPr>
              <w:t>★</w:t>
            </w:r>
            <w:r>
              <w:rPr>
                <w:rFonts w:hint="eastAsia" w:ascii="宋体" w:hAnsi="宋体" w:eastAsia="宋体" w:cs="宋体"/>
                <w:color w:val="000000"/>
                <w:kern w:val="0"/>
                <w:sz w:val="21"/>
                <w:szCs w:val="21"/>
                <w:lang w:bidi="ar"/>
              </w:rPr>
              <w:t>配置≥</w:t>
            </w:r>
            <w:r>
              <w:rPr>
                <w:rFonts w:hint="eastAsia" w:ascii="宋体" w:hAnsi="宋体" w:eastAsia="宋体" w:cs="宋体"/>
                <w:color w:val="000000"/>
                <w:kern w:val="0"/>
                <w:sz w:val="21"/>
                <w:szCs w:val="21"/>
                <w:lang w:val="en-US" w:eastAsia="zh-CN" w:bidi="ar"/>
              </w:rPr>
              <w:t>8</w:t>
            </w:r>
            <w:r>
              <w:rPr>
                <w:rFonts w:hint="eastAsia" w:ascii="宋体" w:hAnsi="宋体" w:eastAsia="宋体" w:cs="宋体"/>
                <w:color w:val="000000"/>
                <w:kern w:val="0"/>
                <w:sz w:val="21"/>
                <w:szCs w:val="21"/>
                <w:lang w:bidi="ar"/>
              </w:rPr>
              <w:t>根</w:t>
            </w:r>
            <w:r>
              <w:rPr>
                <w:rFonts w:hint="eastAsia" w:ascii="宋体" w:hAnsi="宋体" w:eastAsia="宋体" w:cs="宋体"/>
                <w:color w:val="000000"/>
                <w:kern w:val="0"/>
                <w:sz w:val="21"/>
                <w:szCs w:val="21"/>
                <w:lang w:val="en-US" w:eastAsia="zh-CN" w:bidi="ar"/>
              </w:rPr>
              <w:t>32</w:t>
            </w:r>
            <w:r>
              <w:rPr>
                <w:rFonts w:hint="eastAsia" w:ascii="宋体" w:hAnsi="宋体" w:eastAsia="宋体" w:cs="宋体"/>
                <w:color w:val="000000"/>
                <w:kern w:val="0"/>
                <w:sz w:val="21"/>
                <w:szCs w:val="21"/>
                <w:lang w:bidi="ar"/>
              </w:rPr>
              <w:t>GB DDR</w:t>
            </w:r>
            <w:r>
              <w:rPr>
                <w:rFonts w:hint="eastAsia" w:ascii="宋体" w:hAnsi="宋体" w:eastAsia="宋体" w:cs="宋体"/>
                <w:color w:val="000000"/>
                <w:kern w:val="0"/>
                <w:sz w:val="21"/>
                <w:szCs w:val="21"/>
                <w:lang w:val="en-US" w:eastAsia="zh-CN" w:bidi="ar"/>
              </w:rPr>
              <w:t>5 56</w:t>
            </w:r>
            <w:r>
              <w:rPr>
                <w:rFonts w:hint="eastAsia" w:ascii="宋体" w:hAnsi="宋体" w:eastAsia="宋体" w:cs="宋体"/>
                <w:color w:val="000000"/>
                <w:kern w:val="0"/>
                <w:sz w:val="21"/>
                <w:szCs w:val="21"/>
                <w:lang w:bidi="ar"/>
              </w:rPr>
              <w:t>00MT/s内存</w:t>
            </w:r>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6EEB7177">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r>
      <w:tr w14:paraId="4CEB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6" w:type="pct"/>
            <w:vMerge w:val="continue"/>
            <w:tcBorders>
              <w:top w:val="single" w:color="auto" w:sz="4" w:space="0"/>
              <w:left w:val="single" w:color="auto" w:sz="4" w:space="0"/>
              <w:bottom w:val="single" w:color="auto" w:sz="4" w:space="0"/>
              <w:right w:val="single" w:color="auto" w:sz="4" w:space="0"/>
            </w:tcBorders>
            <w:vAlign w:val="center"/>
          </w:tcPr>
          <w:p w14:paraId="6B15350F">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356E6B50">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613" w:type="pct"/>
            <w:tcBorders>
              <w:top w:val="single" w:color="auto" w:sz="4" w:space="0"/>
              <w:left w:val="single" w:color="auto" w:sz="4" w:space="0"/>
              <w:bottom w:val="single" w:color="auto" w:sz="4" w:space="0"/>
              <w:right w:val="single" w:color="auto" w:sz="4" w:space="0"/>
            </w:tcBorders>
            <w:vAlign w:val="center"/>
          </w:tcPr>
          <w:p w14:paraId="79350563">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硬盘</w:t>
            </w:r>
          </w:p>
        </w:tc>
        <w:tc>
          <w:tcPr>
            <w:tcW w:w="2959" w:type="pct"/>
            <w:tcBorders>
              <w:top w:val="single" w:color="auto" w:sz="4" w:space="0"/>
              <w:left w:val="single" w:color="auto" w:sz="4" w:space="0"/>
              <w:bottom w:val="single" w:color="auto" w:sz="4" w:space="0"/>
              <w:right w:val="single" w:color="auto" w:sz="4" w:space="0"/>
            </w:tcBorders>
            <w:noWrap/>
            <w:vAlign w:val="center"/>
          </w:tcPr>
          <w:p w14:paraId="4456A123">
            <w:pPr>
              <w:keepNext w:val="0"/>
              <w:keepLines w:val="0"/>
              <w:pageBreakBefore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sz w:val="21"/>
                <w:szCs w:val="21"/>
                <w:lang w:eastAsia="zh-CN"/>
              </w:rPr>
              <w:t>★</w:t>
            </w:r>
            <w:r>
              <w:rPr>
                <w:rFonts w:hint="eastAsia" w:ascii="宋体" w:hAnsi="宋体" w:eastAsia="宋体" w:cs="宋体"/>
                <w:color w:val="000000"/>
                <w:kern w:val="0"/>
                <w:sz w:val="21"/>
                <w:szCs w:val="21"/>
                <w:lang w:bidi="ar"/>
              </w:rPr>
              <w:t>系统盘：配置≥</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块240GB SSD硬盘；缓存盘：配置≥</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块</w:t>
            </w:r>
            <w:r>
              <w:rPr>
                <w:rFonts w:hint="eastAsia" w:ascii="宋体" w:hAnsi="宋体" w:eastAsia="宋体" w:cs="宋体"/>
                <w:color w:val="000000"/>
                <w:kern w:val="0"/>
                <w:sz w:val="21"/>
                <w:szCs w:val="21"/>
                <w:lang w:val="en-US" w:eastAsia="zh-CN" w:bidi="ar"/>
              </w:rPr>
              <w:t>960G</w:t>
            </w:r>
            <w:r>
              <w:rPr>
                <w:rFonts w:hint="eastAsia" w:ascii="宋体" w:hAnsi="宋体" w:eastAsia="宋体" w:cs="宋体"/>
                <w:color w:val="000000"/>
                <w:kern w:val="0"/>
                <w:sz w:val="21"/>
                <w:szCs w:val="21"/>
                <w:lang w:bidi="ar"/>
              </w:rPr>
              <w:t>B SSD硬盘；数据盘：配置≥</w:t>
            </w: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块</w:t>
            </w:r>
            <w:r>
              <w:rPr>
                <w:rFonts w:hint="eastAsia" w:ascii="宋体" w:hAnsi="宋体" w:eastAsia="宋体" w:cs="宋体"/>
                <w:color w:val="000000"/>
                <w:kern w:val="0"/>
                <w:sz w:val="21"/>
                <w:szCs w:val="21"/>
                <w:lang w:val="en-US" w:eastAsia="zh-CN" w:bidi="ar"/>
              </w:rPr>
              <w:t>8</w:t>
            </w:r>
            <w:r>
              <w:rPr>
                <w:rFonts w:hint="eastAsia" w:ascii="宋体" w:hAnsi="宋体" w:eastAsia="宋体" w:cs="宋体"/>
                <w:color w:val="000000"/>
                <w:kern w:val="0"/>
                <w:sz w:val="21"/>
                <w:szCs w:val="21"/>
                <w:lang w:bidi="ar"/>
              </w:rPr>
              <w:t>TB SATA硬盘</w:t>
            </w:r>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5EEE5B70">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r>
      <w:tr w14:paraId="41A0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6" w:type="pct"/>
            <w:vMerge w:val="continue"/>
            <w:tcBorders>
              <w:top w:val="single" w:color="auto" w:sz="4" w:space="0"/>
              <w:left w:val="single" w:color="auto" w:sz="4" w:space="0"/>
              <w:bottom w:val="single" w:color="auto" w:sz="4" w:space="0"/>
              <w:right w:val="single" w:color="auto" w:sz="4" w:space="0"/>
            </w:tcBorders>
            <w:vAlign w:val="center"/>
          </w:tcPr>
          <w:p w14:paraId="428AAF95">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6F0BD83E">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613" w:type="pct"/>
            <w:tcBorders>
              <w:top w:val="single" w:color="auto" w:sz="4" w:space="0"/>
              <w:left w:val="single" w:color="auto" w:sz="4" w:space="0"/>
              <w:bottom w:val="single" w:color="auto" w:sz="4" w:space="0"/>
              <w:right w:val="single" w:color="auto" w:sz="4" w:space="0"/>
            </w:tcBorders>
            <w:vAlign w:val="center"/>
          </w:tcPr>
          <w:p w14:paraId="6EC3E694">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网卡</w:t>
            </w:r>
          </w:p>
        </w:tc>
        <w:tc>
          <w:tcPr>
            <w:tcW w:w="2959" w:type="pct"/>
            <w:tcBorders>
              <w:top w:val="single" w:color="auto" w:sz="4" w:space="0"/>
              <w:left w:val="single" w:color="auto" w:sz="4" w:space="0"/>
              <w:bottom w:val="single" w:color="auto" w:sz="4" w:space="0"/>
              <w:right w:val="single" w:color="auto" w:sz="4" w:space="0"/>
            </w:tcBorders>
            <w:noWrap/>
            <w:vAlign w:val="center"/>
          </w:tcPr>
          <w:p w14:paraId="1A49ED47">
            <w:pPr>
              <w:keepNext w:val="0"/>
              <w:keepLines w:val="0"/>
              <w:pageBreakBefore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配置≥</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bidi="ar"/>
              </w:rPr>
              <w:t>10</w:t>
            </w:r>
            <w:r>
              <w:rPr>
                <w:rFonts w:hint="eastAsia" w:ascii="宋体" w:hAnsi="宋体" w:eastAsia="宋体" w:cs="宋体"/>
                <w:color w:val="000000"/>
                <w:kern w:val="0"/>
                <w:sz w:val="21"/>
                <w:szCs w:val="21"/>
                <w:lang w:bidi="ar"/>
              </w:rPr>
              <w:t>GE光口网卡（含</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个</w:t>
            </w:r>
            <w:r>
              <w:rPr>
                <w:rFonts w:hint="eastAsia" w:ascii="宋体" w:hAnsi="宋体" w:eastAsia="宋体" w:cs="宋体"/>
                <w:color w:val="000000"/>
                <w:kern w:val="0"/>
                <w:sz w:val="21"/>
                <w:szCs w:val="21"/>
                <w:lang w:val="en-US" w:eastAsia="zh-CN" w:bidi="ar"/>
              </w:rPr>
              <w:t>万兆</w:t>
            </w:r>
            <w:r>
              <w:rPr>
                <w:rFonts w:hint="eastAsia" w:ascii="宋体" w:hAnsi="宋体" w:eastAsia="宋体" w:cs="宋体"/>
                <w:color w:val="000000"/>
                <w:kern w:val="0"/>
                <w:sz w:val="21"/>
                <w:szCs w:val="21"/>
                <w:lang w:bidi="ar"/>
              </w:rPr>
              <w:t>光模块）</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≥4*GE电</w:t>
            </w:r>
            <w:r>
              <w:rPr>
                <w:rFonts w:hint="eastAsia" w:ascii="宋体" w:hAnsi="宋体" w:eastAsia="宋体" w:cs="宋体"/>
                <w:color w:val="000000"/>
                <w:kern w:val="0"/>
                <w:sz w:val="21"/>
                <w:szCs w:val="21"/>
                <w:lang w:val="en-US" w:eastAsia="zh-CN" w:bidi="ar"/>
              </w:rPr>
              <w:t>口</w:t>
            </w:r>
            <w:r>
              <w:rPr>
                <w:rFonts w:hint="eastAsia" w:ascii="宋体" w:hAnsi="宋体" w:eastAsia="宋体" w:cs="宋体"/>
                <w:color w:val="000000"/>
                <w:kern w:val="0"/>
                <w:sz w:val="21"/>
                <w:szCs w:val="21"/>
                <w:lang w:bidi="ar"/>
              </w:rPr>
              <w:t>网卡</w:t>
            </w:r>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3D4EAF0E">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r>
      <w:tr w14:paraId="2E17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6" w:type="pct"/>
            <w:vMerge w:val="continue"/>
            <w:tcBorders>
              <w:top w:val="single" w:color="auto" w:sz="4" w:space="0"/>
              <w:left w:val="single" w:color="auto" w:sz="4" w:space="0"/>
              <w:bottom w:val="single" w:color="auto" w:sz="4" w:space="0"/>
              <w:right w:val="single" w:color="auto" w:sz="4" w:space="0"/>
            </w:tcBorders>
            <w:vAlign w:val="center"/>
          </w:tcPr>
          <w:p w14:paraId="6F3C93D5">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41AE30A7">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613" w:type="pct"/>
            <w:tcBorders>
              <w:top w:val="single" w:color="auto" w:sz="4" w:space="0"/>
              <w:left w:val="single" w:color="auto" w:sz="4" w:space="0"/>
              <w:bottom w:val="single" w:color="auto" w:sz="4" w:space="0"/>
              <w:right w:val="single" w:color="auto" w:sz="4" w:space="0"/>
            </w:tcBorders>
            <w:vAlign w:val="center"/>
          </w:tcPr>
          <w:p w14:paraId="1BD966F9">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RAID卡</w:t>
            </w:r>
          </w:p>
        </w:tc>
        <w:tc>
          <w:tcPr>
            <w:tcW w:w="2959" w:type="pct"/>
            <w:tcBorders>
              <w:top w:val="single" w:color="auto" w:sz="4" w:space="0"/>
              <w:left w:val="single" w:color="auto" w:sz="4" w:space="0"/>
              <w:bottom w:val="single" w:color="auto" w:sz="4" w:space="0"/>
              <w:right w:val="single" w:color="auto" w:sz="4" w:space="0"/>
            </w:tcBorders>
            <w:noWrap/>
            <w:vAlign w:val="center"/>
          </w:tcPr>
          <w:p w14:paraId="7CB0B85F">
            <w:pPr>
              <w:keepNext w:val="0"/>
              <w:keepLines w:val="0"/>
              <w:pageBreakBefore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配置≥1张高性能RAID卡，支持 raid 0/1/10</w:t>
            </w:r>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1C9CCC69">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r>
      <w:tr w14:paraId="7A8C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6" w:type="pct"/>
            <w:vMerge w:val="continue"/>
            <w:tcBorders>
              <w:top w:val="single" w:color="auto" w:sz="4" w:space="0"/>
              <w:left w:val="single" w:color="auto" w:sz="4" w:space="0"/>
              <w:bottom w:val="single" w:color="auto" w:sz="4" w:space="0"/>
              <w:right w:val="single" w:color="auto" w:sz="4" w:space="0"/>
            </w:tcBorders>
            <w:vAlign w:val="center"/>
          </w:tcPr>
          <w:p w14:paraId="7E2D32D0">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440C0675">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613" w:type="pct"/>
            <w:tcBorders>
              <w:top w:val="single" w:color="auto" w:sz="4" w:space="0"/>
              <w:left w:val="single" w:color="auto" w:sz="4" w:space="0"/>
              <w:bottom w:val="single" w:color="auto" w:sz="4" w:space="0"/>
              <w:right w:val="single" w:color="auto" w:sz="4" w:space="0"/>
            </w:tcBorders>
            <w:vAlign w:val="center"/>
          </w:tcPr>
          <w:p w14:paraId="6286942C">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电源</w:t>
            </w:r>
          </w:p>
        </w:tc>
        <w:tc>
          <w:tcPr>
            <w:tcW w:w="2959" w:type="pct"/>
            <w:tcBorders>
              <w:top w:val="single" w:color="auto" w:sz="4" w:space="0"/>
              <w:left w:val="single" w:color="auto" w:sz="4" w:space="0"/>
              <w:bottom w:val="single" w:color="auto" w:sz="4" w:space="0"/>
              <w:right w:val="single" w:color="auto" w:sz="4" w:space="0"/>
            </w:tcBorders>
            <w:noWrap/>
            <w:vAlign w:val="center"/>
          </w:tcPr>
          <w:p w14:paraId="310377BA">
            <w:pPr>
              <w:keepNext w:val="0"/>
              <w:keepLines w:val="0"/>
              <w:pageBreakBefore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配置</w:t>
            </w:r>
            <w:r>
              <w:rPr>
                <w:rFonts w:hint="eastAsia" w:ascii="宋体" w:hAnsi="宋体" w:eastAsia="宋体" w:cs="宋体"/>
                <w:color w:val="000000"/>
                <w:kern w:val="0"/>
                <w:sz w:val="21"/>
                <w:szCs w:val="21"/>
                <w:lang w:val="en-US" w:eastAsia="zh-CN" w:bidi="ar"/>
              </w:rPr>
              <w:t>冗余</w:t>
            </w:r>
            <w:r>
              <w:rPr>
                <w:rFonts w:hint="eastAsia" w:ascii="宋体" w:hAnsi="宋体" w:eastAsia="宋体" w:cs="宋体"/>
                <w:color w:val="000000"/>
                <w:kern w:val="0"/>
                <w:sz w:val="21"/>
                <w:szCs w:val="21"/>
                <w:lang w:bidi="ar"/>
              </w:rPr>
              <w:t>白金交流电源</w:t>
            </w:r>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751D0EA6">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r>
      <w:tr w14:paraId="2011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6" w:type="pct"/>
            <w:vMerge w:val="continue"/>
            <w:tcBorders>
              <w:top w:val="single" w:color="auto" w:sz="4" w:space="0"/>
              <w:left w:val="single" w:color="auto" w:sz="4" w:space="0"/>
              <w:bottom w:val="single" w:color="auto" w:sz="4" w:space="0"/>
              <w:right w:val="single" w:color="auto" w:sz="4" w:space="0"/>
            </w:tcBorders>
            <w:vAlign w:val="center"/>
          </w:tcPr>
          <w:p w14:paraId="2A1725FF">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7772AAD8">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613" w:type="pct"/>
            <w:tcBorders>
              <w:top w:val="single" w:color="auto" w:sz="4" w:space="0"/>
              <w:left w:val="single" w:color="auto" w:sz="4" w:space="0"/>
              <w:bottom w:val="single" w:color="auto" w:sz="4" w:space="0"/>
              <w:right w:val="single" w:color="auto" w:sz="4" w:space="0"/>
            </w:tcBorders>
            <w:vAlign w:val="center"/>
          </w:tcPr>
          <w:p w14:paraId="5957E481">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授权</w:t>
            </w:r>
          </w:p>
        </w:tc>
        <w:tc>
          <w:tcPr>
            <w:tcW w:w="2959" w:type="pct"/>
            <w:tcBorders>
              <w:top w:val="single" w:color="auto" w:sz="4" w:space="0"/>
              <w:left w:val="single" w:color="auto" w:sz="4" w:space="0"/>
              <w:bottom w:val="single" w:color="auto" w:sz="4" w:space="0"/>
              <w:right w:val="single" w:color="auto" w:sz="4" w:space="0"/>
            </w:tcBorders>
            <w:vAlign w:val="center"/>
          </w:tcPr>
          <w:p w14:paraId="66B0C27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lang w:val="en-US" w:eastAsia="zh-CN"/>
              </w:rPr>
              <w:t>★本次项目共配置≥4*CPU服务器虚拟化软件授权，配置≥4*CPU存储虚拟化软件授权，配置≥4*CPU云计算管理软件授权；</w:t>
            </w:r>
            <w:r>
              <w:rPr>
                <w:rFonts w:hint="eastAsia" w:ascii="宋体" w:hAnsi="宋体" w:eastAsia="宋体" w:cs="宋体"/>
                <w:color w:val="000000"/>
                <w:kern w:val="0"/>
                <w:sz w:val="21"/>
                <w:szCs w:val="21"/>
                <w:lang w:val="en-US" w:eastAsia="zh-CN" w:bidi="ar"/>
              </w:rPr>
              <w:t>产品为软硬一体化设备；</w:t>
            </w:r>
          </w:p>
          <w:p w14:paraId="3E959D22">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lang w:val="en-US" w:eastAsia="zh-CN"/>
              </w:rPr>
              <w:t>★</w:t>
            </w:r>
            <w:r>
              <w:rPr>
                <w:rFonts w:hint="eastAsia" w:ascii="宋体" w:hAnsi="宋体" w:eastAsia="宋体" w:cs="宋体"/>
                <w:color w:val="000000"/>
                <w:kern w:val="0"/>
                <w:sz w:val="21"/>
                <w:szCs w:val="21"/>
                <w:lang w:val="en-US" w:eastAsia="zh-CN" w:bidi="ar"/>
              </w:rPr>
              <w:t>为保证产品合规性，虚拟化软件采用的内核操作系统必须通过安全可靠测评，要求提供厂商说明函等证明材料；</w:t>
            </w:r>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18DDAF3F">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r>
      <w:tr w14:paraId="55CA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6" w:type="pct"/>
            <w:vMerge w:val="continue"/>
            <w:tcBorders>
              <w:top w:val="single" w:color="auto" w:sz="4" w:space="0"/>
              <w:left w:val="single" w:color="auto" w:sz="4" w:space="0"/>
              <w:bottom w:val="single" w:color="auto" w:sz="4" w:space="0"/>
              <w:right w:val="single" w:color="auto" w:sz="4" w:space="0"/>
            </w:tcBorders>
            <w:vAlign w:val="center"/>
          </w:tcPr>
          <w:p w14:paraId="67193142">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5F056117">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613" w:type="pct"/>
            <w:tcBorders>
              <w:top w:val="single" w:color="auto" w:sz="4" w:space="0"/>
              <w:left w:val="single" w:color="auto" w:sz="4" w:space="0"/>
              <w:bottom w:val="single" w:color="auto" w:sz="4" w:space="0"/>
              <w:right w:val="single" w:color="auto" w:sz="4" w:space="0"/>
            </w:tcBorders>
            <w:vAlign w:val="center"/>
          </w:tcPr>
          <w:p w14:paraId="36597E55">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管理便捷性</w:t>
            </w:r>
          </w:p>
        </w:tc>
        <w:tc>
          <w:tcPr>
            <w:tcW w:w="2959" w:type="pct"/>
            <w:tcBorders>
              <w:top w:val="single" w:color="auto" w:sz="4" w:space="0"/>
              <w:left w:val="single" w:color="auto" w:sz="4" w:space="0"/>
              <w:bottom w:val="single" w:color="auto" w:sz="4" w:space="0"/>
              <w:right w:val="single" w:color="auto" w:sz="4" w:space="0"/>
            </w:tcBorders>
            <w:vAlign w:val="center"/>
          </w:tcPr>
          <w:p w14:paraId="3DA0B080">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软件要求自主可控，应为完全自主研发品牌，投标产品代码自主率（“未识别开源代码比例”）大于95%，具备由工信部直属的检测机构出具的检测报告，且检测内容需要至少包含虚拟化、存储、网络与管理模块（需提供证明材料，并加盖制造商公章）；</w:t>
            </w:r>
          </w:p>
          <w:p w14:paraId="34D17599">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支持对X86、ARM架构的物理机进行生命周期管理，包括开关机、控制台接入、分配给租户、回收、删除操作，可单台或批量添加物理机至云平台并实时监控物理机的CPU、内存信息；</w:t>
            </w:r>
          </w:p>
          <w:p w14:paraId="49778DB6">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超融合平台需支持在线升级不影响业务；为保证升级时间与步骤可控，升级过程中支持对升级节点进行升级顺序编排、升级暂停；</w:t>
            </w:r>
          </w:p>
          <w:p w14:paraId="5F0624E3">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方便运维管理员第一时间监控感知风险，超融合平台支持智能运维管理模块，可通过本地部署的代理组件，对云平台的软硬件指标进行监控、检测和分析，同时根据分析结果在智能运维平台输出相应告警信息，且可以及时同步到移动端应用小程序，以便运维管理员第一时间感知风险（需提供产品功能截图，并加盖制造商公章）；</w:t>
            </w:r>
          </w:p>
          <w:p w14:paraId="4888E200">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能运维管理模块支持对云主机进行监控：支持操作系统、进程、CPU、内存、磁盘、磁盘IO、网络共计123个监控指标；支持对数据库进行性能趋势监控，支持Oracle数据库监控，包括告警、最大CPU使用率、最大磁盘使用率、节点信息、诊断事件；</w:t>
            </w:r>
          </w:p>
          <w:p w14:paraId="7FE8AB6D">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能运维管理模块支持支持告警收敛，可以将相同故障源导致的重复报警智能合并；支持查看告警信息的影响面分析，支持智能生成故障的根因分析，同时支持展开追溯故障链，并提供处置建议（需提供产品功能截图，并加盖制造商公章）；</w:t>
            </w:r>
          </w:p>
          <w:p w14:paraId="057860E6">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为避免平台虚拟机误删操作，需支持点击还原按钮，还原回收站列表指定项，可设置回收站文件保留天数，可以查看回收站列表项信息，包括名称、描述、存储和删除时间和保留时间。</w:t>
            </w:r>
          </w:p>
          <w:p w14:paraId="338A8102">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lang w:val="en-US" w:eastAsia="zh-CN"/>
              </w:rPr>
              <w:t>为了方便虚拟机快速部署和运维，超融合平台应该支持虚拟机在运行状态将磁盘分配模式从精简改为预分配，不需要重启即可立即生效；</w:t>
            </w:r>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6FA6FE51">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r>
      <w:tr w14:paraId="278E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46" w:type="pct"/>
            <w:vMerge w:val="continue"/>
            <w:tcBorders>
              <w:top w:val="single" w:color="auto" w:sz="4" w:space="0"/>
              <w:left w:val="single" w:color="auto" w:sz="4" w:space="0"/>
              <w:bottom w:val="single" w:color="auto" w:sz="4" w:space="0"/>
              <w:right w:val="single" w:color="auto" w:sz="4" w:space="0"/>
            </w:tcBorders>
            <w:vAlign w:val="center"/>
          </w:tcPr>
          <w:p w14:paraId="795AC236">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3EA73A8A">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613" w:type="pct"/>
            <w:tcBorders>
              <w:top w:val="single" w:color="auto" w:sz="4" w:space="0"/>
              <w:left w:val="single" w:color="auto" w:sz="4" w:space="0"/>
              <w:bottom w:val="single" w:color="auto" w:sz="4" w:space="0"/>
              <w:right w:val="single" w:color="auto" w:sz="4" w:space="0"/>
            </w:tcBorders>
            <w:vAlign w:val="center"/>
          </w:tcPr>
          <w:p w14:paraId="4CF68C38">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高性能</w:t>
            </w:r>
          </w:p>
        </w:tc>
        <w:tc>
          <w:tcPr>
            <w:tcW w:w="2959" w:type="pct"/>
            <w:tcBorders>
              <w:top w:val="single" w:color="auto" w:sz="4" w:space="0"/>
              <w:left w:val="single" w:color="auto" w:sz="4" w:space="0"/>
              <w:bottom w:val="single" w:color="auto" w:sz="4" w:space="0"/>
              <w:right w:val="single" w:color="auto" w:sz="4" w:space="0"/>
            </w:tcBorders>
            <w:vAlign w:val="center"/>
          </w:tcPr>
          <w:p w14:paraId="443EB6F7">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超融合应提供基于成本最优模式的DRS机制，且尽可能的将可靠性低的主机的虚拟机迁移至可靠性高的主机上；同时通过AI算法可以对虚拟机、主机的性能、可靠性打分，提供调度建议，提升DRS过程中的精准度。支持设置DRS调度时间段；</w:t>
            </w:r>
          </w:p>
          <w:p w14:paraId="1DD24193">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虚拟机IO本地化策略，当采用副本聚合策略时，智能在虚拟机所在宿主机中保留一份完整的副本，实现IO本地读效果，当不启用聚合副本策略时，可以保证虚拟机以分布均匀优先为原则，打散分布均匀在各物理主机上；</w:t>
            </w:r>
          </w:p>
          <w:p w14:paraId="149BEE05">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支持对虚拟磁盘设置QoS，可以在虚拟机开机和关机状态下对虚拟机的虚拟磁盘占用资源进行限制操作，可以设置磁盘IO限制，包括最大读速率、最大写速率、最大读速率、和最大写次数；</w:t>
            </w:r>
          </w:p>
          <w:p w14:paraId="5B99312B">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lang w:val="en-US" w:eastAsia="zh-CN"/>
              </w:rPr>
              <w:t xml:space="preserve">为了能够根据实际需求和资源情况，灵活地管理和优化虚拟路由器的部署，要求可以支持手动指定虚拟路由器运行在固定的物理主机上，可以自动将虚拟路由器规划到高性能和高吞吐的物理主机上； </w:t>
            </w:r>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5622A421">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r>
      <w:tr w14:paraId="3F7A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pct"/>
            <w:vMerge w:val="continue"/>
            <w:tcBorders>
              <w:top w:val="single" w:color="auto" w:sz="4" w:space="0"/>
              <w:left w:val="single" w:color="auto" w:sz="4" w:space="0"/>
              <w:bottom w:val="single" w:color="auto" w:sz="4" w:space="0"/>
              <w:right w:val="single" w:color="auto" w:sz="4" w:space="0"/>
            </w:tcBorders>
            <w:vAlign w:val="center"/>
          </w:tcPr>
          <w:p w14:paraId="064BCCE4">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75E4E963">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613" w:type="pct"/>
            <w:tcBorders>
              <w:top w:val="single" w:color="auto" w:sz="4" w:space="0"/>
              <w:left w:val="single" w:color="auto" w:sz="4" w:space="0"/>
              <w:bottom w:val="single" w:color="auto" w:sz="4" w:space="0"/>
              <w:right w:val="single" w:color="auto" w:sz="4" w:space="0"/>
            </w:tcBorders>
            <w:vAlign w:val="center"/>
          </w:tcPr>
          <w:p w14:paraId="0D6B71E2">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高可靠</w:t>
            </w:r>
          </w:p>
        </w:tc>
        <w:tc>
          <w:tcPr>
            <w:tcW w:w="2959" w:type="pct"/>
            <w:tcBorders>
              <w:top w:val="single" w:color="auto" w:sz="4" w:space="0"/>
              <w:left w:val="single" w:color="auto" w:sz="4" w:space="0"/>
              <w:bottom w:val="single" w:color="auto" w:sz="4" w:space="0"/>
              <w:right w:val="single" w:color="auto" w:sz="4" w:space="0"/>
            </w:tcBorders>
            <w:vAlign w:val="center"/>
          </w:tcPr>
          <w:p w14:paraId="467DDDF6">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支持选择多种克隆方式，包括快速全量克隆、全量克隆和链接克隆，可查看通过链接克隆的虚拟机是否运行正常，可以设置克隆完成后自动启动克隆虚拟机操作；</w:t>
            </w:r>
          </w:p>
          <w:p w14:paraId="20F127A7">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为了避免某主机RAID卡卡死影响整个基于的业务，一旦发现RAID卡出现卡死状态支持对该主机进行隔离，从而避免对其他主机上的业务系统造成影响；</w:t>
            </w:r>
          </w:p>
          <w:p w14:paraId="6F81050D">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为避免主机假死导致系列问题发生，支持识别假死主机并标签化为亚健康主机，通过邮件或短信告警提醒用户进行处理，并限制重要业务在亚健康主机上运行，规避风险；</w:t>
            </w:r>
          </w:p>
          <w:p w14:paraId="6B10B45C">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为了保证业务运行不中断，提升运维管理水平，所投超融合资源池具备对运行磁盘进行定时定期的自动扫描检测，并支持发现坏道后，主动修复坏道区域数据；</w:t>
            </w:r>
          </w:p>
          <w:p w14:paraId="51995DED">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lang w:val="en-US" w:eastAsia="zh-CN"/>
              </w:rPr>
              <w:t>★超融合应提供OpenAPI接口和磁盘数据访问SDK，第三方备份软件不需要在云平台或者虚拟机中安装插件即可实现对虚拟机的备份（提供不少于3家的第三方备份软件的兼容性证书和测试报告，并加盖制造商公章）；</w:t>
            </w:r>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7C98E7E2">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r>
      <w:tr w14:paraId="4333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6" w:type="pct"/>
            <w:vMerge w:val="continue"/>
            <w:tcBorders>
              <w:top w:val="single" w:color="auto" w:sz="4" w:space="0"/>
              <w:left w:val="single" w:color="auto" w:sz="4" w:space="0"/>
              <w:bottom w:val="single" w:color="auto" w:sz="4" w:space="0"/>
              <w:right w:val="single" w:color="auto" w:sz="4" w:space="0"/>
            </w:tcBorders>
            <w:vAlign w:val="center"/>
          </w:tcPr>
          <w:p w14:paraId="635F6BD7">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0F67572F">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613" w:type="pct"/>
            <w:tcBorders>
              <w:top w:val="single" w:color="auto" w:sz="4" w:space="0"/>
              <w:left w:val="single" w:color="auto" w:sz="4" w:space="0"/>
              <w:bottom w:val="single" w:color="auto" w:sz="4" w:space="0"/>
              <w:right w:val="single" w:color="auto" w:sz="4" w:space="0"/>
            </w:tcBorders>
            <w:vAlign w:val="center"/>
          </w:tcPr>
          <w:p w14:paraId="3DB295DD">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安全性</w:t>
            </w:r>
          </w:p>
        </w:tc>
        <w:tc>
          <w:tcPr>
            <w:tcW w:w="2959" w:type="pct"/>
            <w:tcBorders>
              <w:top w:val="single" w:color="auto" w:sz="4" w:space="0"/>
              <w:left w:val="single" w:color="auto" w:sz="4" w:space="0"/>
              <w:bottom w:val="single" w:color="auto" w:sz="4" w:space="0"/>
              <w:right w:val="single" w:color="auto" w:sz="4" w:space="0"/>
            </w:tcBorders>
            <w:vAlign w:val="center"/>
          </w:tcPr>
          <w:p w14:paraId="4FB6A28F">
            <w:pPr>
              <w:keepNext w:val="0"/>
              <w:keepLines w:val="0"/>
              <w:pageBreakBefore w:val="0"/>
              <w:widowControl w:val="0"/>
              <w:numPr>
                <w:ilvl w:val="0"/>
                <w:numId w:val="6"/>
              </w:numPr>
              <w:tabs>
                <w:tab w:val="left" w:pos="1428"/>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于云平台网络安全考虑，云平台需支持分布式七层网络攻击防护能力。支持以虚拟机为粒度，对指定虚拟机、批量虚拟机、指定IP、指定IP范围开启网络防护功能，且不因IP地址变更或迁移等情况导致安全能力失效。支持为租户VPC网络配置网络攻击防护策略；</w:t>
            </w:r>
          </w:p>
          <w:p w14:paraId="75A41581">
            <w:pPr>
              <w:keepNext w:val="0"/>
              <w:keepLines w:val="0"/>
              <w:pageBreakBefore w:val="0"/>
              <w:widowControl w:val="0"/>
              <w:numPr>
                <w:ilvl w:val="0"/>
                <w:numId w:val="6"/>
              </w:numPr>
              <w:tabs>
                <w:tab w:val="left" w:pos="1428"/>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于本单位多数业务在云平台需要无中断安全运行，当出现网络攻击时，云平台需具备虚拟补丁能力，可以在主机操作系统不打补丁的情况下直接在网络层对指定虚拟机开启虚拟补丁防护（需提供产品功能截图，并加盖制造商公章）；</w:t>
            </w:r>
          </w:p>
          <w:p w14:paraId="4E92A063">
            <w:pPr>
              <w:keepNext w:val="0"/>
              <w:keepLines w:val="0"/>
              <w:pageBreakBefore w:val="0"/>
              <w:widowControl w:val="0"/>
              <w:numPr>
                <w:ilvl w:val="0"/>
                <w:numId w:val="6"/>
              </w:numPr>
              <w:tabs>
                <w:tab w:val="left" w:pos="1428"/>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lang w:val="en-US" w:eastAsia="zh-CN"/>
              </w:rPr>
              <w:t>★产品</w:t>
            </w:r>
            <w:r>
              <w:rPr>
                <w:rFonts w:hint="eastAsia" w:ascii="宋体" w:hAnsi="宋体" w:eastAsia="宋体" w:cs="宋体"/>
                <w:color w:val="000000"/>
                <w:kern w:val="0"/>
                <w:sz w:val="21"/>
                <w:szCs w:val="21"/>
                <w:lang w:val="en-US" w:eastAsia="zh-CN" w:bidi="ar"/>
              </w:rPr>
              <w:t>提供勒索病毒整体防护体系入口，直观展示最近七天勒索病毒防护效果，包括已处置的恶意文件数量、已拦截可疑行为次数、已阻止的未知进程操作次数、已阻止的暴力破解攻击次数</w:t>
            </w:r>
            <w:r>
              <w:rPr>
                <w:rFonts w:hint="eastAsia" w:ascii="宋体" w:hAnsi="宋体" w:eastAsia="宋体" w:cs="宋体"/>
                <w:sz w:val="21"/>
                <w:szCs w:val="21"/>
                <w:lang w:val="en-US" w:eastAsia="zh-CN"/>
              </w:rPr>
              <w:t>（需提供产品功能截图，并加盖制造商公章）；</w:t>
            </w:r>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680121B7">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r>
      <w:tr w14:paraId="565C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pct"/>
            <w:vMerge w:val="continue"/>
            <w:tcBorders>
              <w:top w:val="single" w:color="auto" w:sz="4" w:space="0"/>
              <w:left w:val="single" w:color="auto" w:sz="4" w:space="0"/>
              <w:bottom w:val="single" w:color="auto" w:sz="4" w:space="0"/>
              <w:right w:val="single" w:color="auto" w:sz="4" w:space="0"/>
            </w:tcBorders>
            <w:vAlign w:val="center"/>
          </w:tcPr>
          <w:p w14:paraId="7904DBFE">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6DBE4775">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613" w:type="pct"/>
            <w:tcBorders>
              <w:top w:val="single" w:color="auto" w:sz="4" w:space="0"/>
              <w:left w:val="single" w:color="auto" w:sz="4" w:space="0"/>
              <w:bottom w:val="single" w:color="auto" w:sz="4" w:space="0"/>
              <w:right w:val="single" w:color="auto" w:sz="4" w:space="0"/>
            </w:tcBorders>
            <w:vAlign w:val="center"/>
          </w:tcPr>
          <w:p w14:paraId="54B5666E">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网络管理性</w:t>
            </w:r>
          </w:p>
        </w:tc>
        <w:tc>
          <w:tcPr>
            <w:tcW w:w="2959" w:type="pct"/>
            <w:tcBorders>
              <w:top w:val="single" w:color="auto" w:sz="4" w:space="0"/>
              <w:left w:val="single" w:color="auto" w:sz="4" w:space="0"/>
              <w:bottom w:val="single" w:color="auto" w:sz="4" w:space="0"/>
              <w:right w:val="single" w:color="auto" w:sz="4" w:space="0"/>
            </w:tcBorders>
            <w:noWrap/>
            <w:vAlign w:val="center"/>
          </w:tcPr>
          <w:p w14:paraId="311CB244">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支持在VPC网络下云主机使用IPv6地址，支持路由器（网口、子网口、静态路由、策略路由v6，DHCPv6、DNS）使用IPV6；支持弹性IP配置IPV6；</w:t>
            </w:r>
          </w:p>
          <w:p w14:paraId="337E8CBF">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lang w:val="en-US" w:eastAsia="zh-CN"/>
              </w:rPr>
              <w:t>为方便运维人员根据虚机间流量情况跟踪排障，超融合需提供网络可视化功能，可以在网络可视化界面显示两台虚拟机间的访问流，可以通过分布式防火墙中断访问流并显示通信状态，可以显示所有虚拟机的流量走向和访问关系；</w:t>
            </w:r>
          </w:p>
          <w:p w14:paraId="3B7D45E5">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lang w:val="en-US" w:eastAsia="zh-CN"/>
              </w:rPr>
              <w:t>★超融合平台应支持微隔离策略推荐，自动通过访问关系、历史流量和用户配置来生成最适合的微隔离规则，并且可以预发布策略，预览访问关系和防护状况，在二次确认后发布推荐策略（需提供产品功能截图，并加盖制造商公章）；</w:t>
            </w:r>
          </w:p>
          <w:p w14:paraId="68D2DBC4">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lang w:val="en-US" w:eastAsia="zh-CN"/>
              </w:rPr>
              <w:t>★超融合平台的</w:t>
            </w:r>
            <w:r>
              <w:rPr>
                <w:rFonts w:hint="eastAsia" w:ascii="宋体" w:hAnsi="宋体" w:eastAsia="宋体" w:cs="宋体"/>
                <w:color w:val="000000"/>
                <w:kern w:val="0"/>
                <w:sz w:val="21"/>
                <w:szCs w:val="21"/>
                <w:lang w:val="en-US" w:eastAsia="zh-CN" w:bidi="ar"/>
              </w:rPr>
              <w:t>虚拟路由器支持高可用（HA）功能，当虚拟路由器所在的主机发生故障时，系统应能够自动进行故障恢复，以确保业务的高可靠性</w:t>
            </w:r>
            <w:r>
              <w:rPr>
                <w:rFonts w:hint="eastAsia" w:ascii="宋体" w:hAnsi="宋体" w:eastAsia="宋体" w:cs="宋体"/>
                <w:sz w:val="21"/>
                <w:szCs w:val="21"/>
                <w:lang w:val="en-US" w:eastAsia="zh-CN"/>
              </w:rPr>
              <w:t>（需提供产品功能截图，并加盖制造商公章）；</w:t>
            </w:r>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1D3EBB56">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r>
      <w:tr w14:paraId="6282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pct"/>
            <w:vMerge w:val="continue"/>
            <w:tcBorders>
              <w:top w:val="single" w:color="auto" w:sz="4" w:space="0"/>
              <w:left w:val="single" w:color="auto" w:sz="4" w:space="0"/>
              <w:bottom w:val="single" w:color="auto" w:sz="4" w:space="0"/>
              <w:right w:val="single" w:color="auto" w:sz="4" w:space="0"/>
            </w:tcBorders>
            <w:vAlign w:val="center"/>
          </w:tcPr>
          <w:p w14:paraId="4F8766B4">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381C19A5">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613" w:type="pct"/>
            <w:tcBorders>
              <w:top w:val="single" w:color="auto" w:sz="4" w:space="0"/>
              <w:left w:val="single" w:color="auto" w:sz="4" w:space="0"/>
              <w:bottom w:val="single" w:color="auto" w:sz="4" w:space="0"/>
              <w:right w:val="single" w:color="auto" w:sz="4" w:space="0"/>
            </w:tcBorders>
            <w:vAlign w:val="center"/>
          </w:tcPr>
          <w:p w14:paraId="1B87B24C">
            <w:pPr>
              <w:keepNext w:val="0"/>
              <w:keepLines w:val="0"/>
              <w:pageBreakBefore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桌面云扩容</w:t>
            </w:r>
          </w:p>
        </w:tc>
        <w:tc>
          <w:tcPr>
            <w:tcW w:w="2959" w:type="pct"/>
            <w:tcBorders>
              <w:top w:val="single" w:color="auto" w:sz="4" w:space="0"/>
              <w:left w:val="single" w:color="auto" w:sz="4" w:space="0"/>
              <w:bottom w:val="single" w:color="auto" w:sz="4" w:space="0"/>
              <w:right w:val="single" w:color="auto" w:sz="4" w:space="0"/>
            </w:tcBorders>
            <w:noWrap/>
            <w:vAlign w:val="center"/>
          </w:tcPr>
          <w:p w14:paraId="29458CA2">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支持桌面云扩容</w:t>
            </w:r>
            <w:bookmarkStart w:id="0" w:name="_GoBack"/>
            <w:bookmarkEnd w:id="0"/>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49AD5766">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r>
      <w:tr w14:paraId="53D7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6" w:type="pct"/>
            <w:vMerge w:val="continue"/>
            <w:tcBorders>
              <w:top w:val="single" w:color="auto" w:sz="4" w:space="0"/>
              <w:left w:val="single" w:color="auto" w:sz="4" w:space="0"/>
              <w:bottom w:val="single" w:color="auto" w:sz="4" w:space="0"/>
              <w:right w:val="single" w:color="auto" w:sz="4" w:space="0"/>
            </w:tcBorders>
            <w:vAlign w:val="center"/>
          </w:tcPr>
          <w:p w14:paraId="18997994">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60B16D4F">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613" w:type="pct"/>
            <w:tcBorders>
              <w:top w:val="single" w:color="auto" w:sz="4" w:space="0"/>
              <w:left w:val="single" w:color="auto" w:sz="4" w:space="0"/>
              <w:bottom w:val="single" w:color="auto" w:sz="4" w:space="0"/>
              <w:right w:val="single" w:color="auto" w:sz="4" w:space="0"/>
            </w:tcBorders>
            <w:vAlign w:val="center"/>
          </w:tcPr>
          <w:p w14:paraId="568B2A9E">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产品先进性</w:t>
            </w:r>
          </w:p>
        </w:tc>
        <w:tc>
          <w:tcPr>
            <w:tcW w:w="2959" w:type="pct"/>
            <w:tcBorders>
              <w:top w:val="single" w:color="auto" w:sz="4" w:space="0"/>
              <w:left w:val="single" w:color="auto" w:sz="4" w:space="0"/>
              <w:bottom w:val="single" w:color="auto" w:sz="4" w:space="0"/>
              <w:right w:val="single" w:color="auto" w:sz="4" w:space="0"/>
            </w:tcBorders>
            <w:noWrap/>
            <w:vAlign w:val="center"/>
          </w:tcPr>
          <w:p w14:paraId="5B1C908B">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生产厂商通过售后服务体系ISO9001认证，</w:t>
            </w:r>
            <w:r>
              <w:rPr>
                <w:rFonts w:hint="eastAsia" w:ascii="宋体" w:hAnsi="宋体" w:eastAsia="宋体" w:cs="宋体"/>
                <w:sz w:val="21"/>
                <w:szCs w:val="21"/>
                <w:lang w:val="en-US" w:eastAsia="zh-CN"/>
              </w:rPr>
              <w:t>提供证书证明；</w:t>
            </w:r>
          </w:p>
          <w:p w14:paraId="3786A863">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生产</w:t>
            </w:r>
            <w:r>
              <w:rPr>
                <w:rFonts w:hint="eastAsia" w:ascii="宋体" w:hAnsi="宋体" w:eastAsia="宋体" w:cs="宋体"/>
                <w:sz w:val="21"/>
                <w:szCs w:val="21"/>
                <w:lang w:val="en-US" w:eastAsia="zh-CN"/>
              </w:rPr>
              <w:t>厂商具备中国信息安全测评中心颁发的信息安全服务资质证书（云计算安全类），提供证书证明；</w:t>
            </w:r>
          </w:p>
          <w:p w14:paraId="120969D4">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生产</w:t>
            </w:r>
            <w:r>
              <w:rPr>
                <w:rFonts w:hint="eastAsia" w:ascii="宋体" w:hAnsi="宋体" w:eastAsia="宋体" w:cs="宋体"/>
                <w:sz w:val="21"/>
                <w:szCs w:val="21"/>
                <w:lang w:val="en-US" w:eastAsia="zh-CN"/>
              </w:rPr>
              <w:t>厂商需具备中国网络安全审查技术与认证中心颁发的软件安全开发服务资质，提供证书证明。</w:t>
            </w:r>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7D49AEC6">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r>
      <w:tr w14:paraId="12AE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6" w:type="pct"/>
            <w:vMerge w:val="continue"/>
            <w:tcBorders>
              <w:top w:val="single" w:color="auto" w:sz="4" w:space="0"/>
              <w:left w:val="single" w:color="auto" w:sz="4" w:space="0"/>
              <w:bottom w:val="single" w:color="auto" w:sz="4" w:space="0"/>
              <w:right w:val="single" w:color="auto" w:sz="4" w:space="0"/>
            </w:tcBorders>
            <w:vAlign w:val="center"/>
          </w:tcPr>
          <w:p w14:paraId="22EDBE0C">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1C90C63E">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613" w:type="pct"/>
            <w:tcBorders>
              <w:top w:val="single" w:color="auto" w:sz="4" w:space="0"/>
              <w:left w:val="single" w:color="auto" w:sz="4" w:space="0"/>
              <w:bottom w:val="single" w:color="auto" w:sz="4" w:space="0"/>
              <w:right w:val="single" w:color="auto" w:sz="4" w:space="0"/>
            </w:tcBorders>
            <w:vAlign w:val="center"/>
          </w:tcPr>
          <w:p w14:paraId="47A5C40A">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数据迁移</w:t>
            </w:r>
          </w:p>
          <w:p w14:paraId="38E9224C">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1"/>
                <w:szCs w:val="21"/>
                <w:lang w:val="en-US" w:eastAsia="zh-CN" w:bidi="ar"/>
              </w:rPr>
            </w:pPr>
          </w:p>
        </w:tc>
        <w:tc>
          <w:tcPr>
            <w:tcW w:w="2959" w:type="pct"/>
            <w:tcBorders>
              <w:top w:val="single" w:color="auto" w:sz="4" w:space="0"/>
              <w:left w:val="single" w:color="auto" w:sz="4" w:space="0"/>
              <w:bottom w:val="single" w:color="auto" w:sz="4" w:space="0"/>
              <w:right w:val="single" w:color="auto" w:sz="4" w:space="0"/>
            </w:tcBorders>
            <w:noWrap/>
            <w:vAlign w:val="center"/>
          </w:tcPr>
          <w:p w14:paraId="1CBA8C2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数据库迁移要求：1.业务数据迁移： DBA应按照《DBA数据库迁移工作计划》执行迁移工作，在保证采购方采供血业务不间断的情况下进行数据迁移工作，迁移过程中需详细记录硬件运行状态、网络环境、数据库性能指标、虚拟化软件运行状态及业务软件各平台的运行情况，迁移完成后提交《DBA数据库迁移工作日志》及详细的迁移报告，需完整迁移所有业务数据和字典数据，并提供数据完整性验证方案；2.血液容灾数据迁移：支持血液容灾数据迁移。中标方承担数据迁移的相关费用。</w:t>
            </w:r>
          </w:p>
          <w:p w14:paraId="688B255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sz w:val="21"/>
                <w:szCs w:val="21"/>
                <w:lang w:val="en-US" w:eastAsia="zh-CN"/>
              </w:rPr>
              <w:t>系统兼容性要求：中标产品需与站内现有采供血系统实现无缝对接，中投标方需提供由采供血系统制造商出具的兼容性承诺函，或第三方权威检测机构出具的系统兼容性证明文件，需承诺在系统对接过程中提供技术支持，确保业务连续性不受影响。</w:t>
            </w:r>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263BFC75">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r>
      <w:tr w14:paraId="0409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6" w:type="pct"/>
            <w:vMerge w:val="continue"/>
            <w:tcBorders>
              <w:top w:val="single" w:color="auto" w:sz="4" w:space="0"/>
              <w:left w:val="single" w:color="auto" w:sz="4" w:space="0"/>
              <w:bottom w:val="single" w:color="auto" w:sz="4" w:space="0"/>
              <w:right w:val="single" w:color="auto" w:sz="4" w:space="0"/>
            </w:tcBorders>
            <w:vAlign w:val="center"/>
          </w:tcPr>
          <w:p w14:paraId="210F0657">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684BA781">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c>
          <w:tcPr>
            <w:tcW w:w="613" w:type="pct"/>
            <w:tcBorders>
              <w:top w:val="single" w:color="auto" w:sz="4" w:space="0"/>
              <w:left w:val="single" w:color="auto" w:sz="4" w:space="0"/>
              <w:bottom w:val="single" w:color="auto" w:sz="4" w:space="0"/>
              <w:right w:val="single" w:color="auto" w:sz="4" w:space="0"/>
            </w:tcBorders>
            <w:vAlign w:val="center"/>
          </w:tcPr>
          <w:p w14:paraId="31E3C11F">
            <w:pPr>
              <w:keepNext w:val="0"/>
              <w:keepLines w:val="0"/>
              <w:pageBreakBefore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服务</w:t>
            </w:r>
          </w:p>
        </w:tc>
        <w:tc>
          <w:tcPr>
            <w:tcW w:w="2959" w:type="pct"/>
            <w:tcBorders>
              <w:top w:val="single" w:color="auto" w:sz="4" w:space="0"/>
              <w:left w:val="single" w:color="auto" w:sz="4" w:space="0"/>
              <w:bottom w:val="single" w:color="auto" w:sz="4" w:space="0"/>
              <w:right w:val="single" w:color="auto" w:sz="4" w:space="0"/>
            </w:tcBorders>
            <w:noWrap/>
            <w:vAlign w:val="center"/>
          </w:tcPr>
          <w:p w14:paraId="47CB720F">
            <w:pPr>
              <w:keepNext w:val="0"/>
              <w:keepLines w:val="0"/>
              <w:pageBreakBefore w:val="0"/>
              <w:kinsoku/>
              <w:wordWrap/>
              <w:overflowPunct/>
              <w:topLinePunct w:val="0"/>
              <w:autoSpaceDE/>
              <w:autoSpaceDN/>
              <w:bidi w:val="0"/>
              <w:adjustRightInd/>
              <w:snapToGrid/>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color w:val="000000"/>
                <w:kern w:val="0"/>
                <w:sz w:val="21"/>
                <w:szCs w:val="21"/>
                <w:lang w:bidi="ar"/>
              </w:rPr>
              <w:t>含至少</w:t>
            </w: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年原厂质保</w:t>
            </w:r>
            <w:r>
              <w:rPr>
                <w:rFonts w:hint="eastAsia" w:ascii="宋体" w:hAnsi="宋体" w:eastAsia="宋体" w:cs="宋体"/>
                <w:color w:val="000000"/>
                <w:kern w:val="0"/>
                <w:sz w:val="21"/>
                <w:szCs w:val="21"/>
                <w:lang w:val="en-US" w:eastAsia="zh-CN" w:bidi="ar"/>
              </w:rPr>
              <w:t>和软件免费升级服务</w:t>
            </w:r>
            <w:r>
              <w:rPr>
                <w:rFonts w:hint="eastAsia" w:ascii="宋体" w:hAnsi="宋体" w:eastAsia="宋体" w:cs="宋体"/>
                <w:color w:val="000000"/>
                <w:kern w:val="0"/>
                <w:sz w:val="21"/>
                <w:szCs w:val="21"/>
                <w:lang w:bidi="ar"/>
              </w:rPr>
              <w:t>，提供原厂商服务承诺函加盖</w:t>
            </w:r>
            <w:r>
              <w:rPr>
                <w:rFonts w:hint="eastAsia" w:ascii="宋体" w:hAnsi="宋体" w:eastAsia="宋体" w:cs="宋体"/>
                <w:color w:val="000000"/>
                <w:kern w:val="0"/>
                <w:sz w:val="21"/>
                <w:szCs w:val="21"/>
                <w:lang w:val="en-US" w:eastAsia="zh-CN" w:bidi="ar"/>
              </w:rPr>
              <w:t>制造商和</w:t>
            </w:r>
            <w:r>
              <w:rPr>
                <w:rFonts w:hint="eastAsia" w:ascii="宋体" w:hAnsi="宋体" w:eastAsia="宋体" w:cs="宋体"/>
                <w:color w:val="000000"/>
                <w:kern w:val="0"/>
                <w:sz w:val="21"/>
                <w:szCs w:val="21"/>
                <w:lang w:bidi="ar"/>
              </w:rPr>
              <w:t>投标人公章</w:t>
            </w:r>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761C16DA">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color w:val="000000"/>
                <w:sz w:val="21"/>
                <w:szCs w:val="21"/>
              </w:rPr>
            </w:pPr>
          </w:p>
        </w:tc>
      </w:tr>
    </w:tbl>
    <w:p w14:paraId="4EE07A42">
      <w:pPr>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C24AC"/>
    <w:multiLevelType w:val="singleLevel"/>
    <w:tmpl w:val="896C24AC"/>
    <w:lvl w:ilvl="0" w:tentative="0">
      <w:start w:val="1"/>
      <w:numFmt w:val="chineseCounting"/>
      <w:suff w:val="nothing"/>
      <w:lvlText w:val="%1、"/>
      <w:lvlJc w:val="left"/>
      <w:rPr>
        <w:rFonts w:hint="eastAsia"/>
      </w:rPr>
    </w:lvl>
  </w:abstractNum>
  <w:abstractNum w:abstractNumId="1">
    <w:nsid w:val="EB2C5598"/>
    <w:multiLevelType w:val="singleLevel"/>
    <w:tmpl w:val="EB2C5598"/>
    <w:lvl w:ilvl="0" w:tentative="0">
      <w:start w:val="1"/>
      <w:numFmt w:val="decimal"/>
      <w:lvlText w:val="%1."/>
      <w:lvlJc w:val="left"/>
      <w:pPr>
        <w:tabs>
          <w:tab w:val="left" w:pos="312"/>
        </w:tabs>
      </w:pPr>
    </w:lvl>
  </w:abstractNum>
  <w:abstractNum w:abstractNumId="2">
    <w:nsid w:val="FB6E92DF"/>
    <w:multiLevelType w:val="singleLevel"/>
    <w:tmpl w:val="FB6E92DF"/>
    <w:lvl w:ilvl="0" w:tentative="0">
      <w:start w:val="1"/>
      <w:numFmt w:val="decimal"/>
      <w:lvlText w:val="%1."/>
      <w:lvlJc w:val="left"/>
      <w:pPr>
        <w:tabs>
          <w:tab w:val="left" w:pos="312"/>
        </w:tabs>
      </w:pPr>
    </w:lvl>
  </w:abstractNum>
  <w:abstractNum w:abstractNumId="3">
    <w:nsid w:val="FFF600FA"/>
    <w:multiLevelType w:val="singleLevel"/>
    <w:tmpl w:val="FFF600FA"/>
    <w:lvl w:ilvl="0" w:tentative="0">
      <w:start w:val="1"/>
      <w:numFmt w:val="decimal"/>
      <w:lvlText w:val="%1."/>
      <w:lvlJc w:val="left"/>
      <w:pPr>
        <w:tabs>
          <w:tab w:val="left" w:pos="312"/>
        </w:tabs>
      </w:pPr>
    </w:lvl>
  </w:abstractNum>
  <w:abstractNum w:abstractNumId="4">
    <w:nsid w:val="65E60290"/>
    <w:multiLevelType w:val="singleLevel"/>
    <w:tmpl w:val="65E60290"/>
    <w:lvl w:ilvl="0" w:tentative="0">
      <w:start w:val="1"/>
      <w:numFmt w:val="decimal"/>
      <w:lvlText w:val="%1."/>
      <w:lvlJc w:val="left"/>
      <w:pPr>
        <w:tabs>
          <w:tab w:val="left" w:pos="312"/>
        </w:tabs>
      </w:pPr>
    </w:lvl>
  </w:abstractNum>
  <w:abstractNum w:abstractNumId="5">
    <w:nsid w:val="73FE51DC"/>
    <w:multiLevelType w:val="singleLevel"/>
    <w:tmpl w:val="73FE51DC"/>
    <w:lvl w:ilvl="0" w:tentative="0">
      <w:start w:val="1"/>
      <w:numFmt w:val="decimal"/>
      <w:lvlText w:val="%1."/>
      <w:lvlJc w:val="left"/>
      <w:pPr>
        <w:tabs>
          <w:tab w:val="left" w:pos="312"/>
        </w:tabs>
      </w:pPr>
    </w:lvl>
  </w:abstractNum>
  <w:abstractNum w:abstractNumId="6">
    <w:nsid w:val="77FB0F42"/>
    <w:multiLevelType w:val="singleLevel"/>
    <w:tmpl w:val="77FB0F42"/>
    <w:lvl w:ilvl="0" w:tentative="0">
      <w:start w:val="1"/>
      <w:numFmt w:val="decimal"/>
      <w:lvlText w:val="%1."/>
      <w:lvlJc w:val="left"/>
      <w:pPr>
        <w:tabs>
          <w:tab w:val="left" w:pos="312"/>
        </w:tabs>
      </w:pPr>
    </w:lvl>
  </w:abstractNum>
  <w:abstractNum w:abstractNumId="7">
    <w:nsid w:val="7FFB4368"/>
    <w:multiLevelType w:val="singleLevel"/>
    <w:tmpl w:val="7FFB4368"/>
    <w:lvl w:ilvl="0" w:tentative="0">
      <w:start w:val="1"/>
      <w:numFmt w:val="decimal"/>
      <w:lvlText w:val="%1."/>
      <w:lvlJc w:val="left"/>
      <w:pPr>
        <w:tabs>
          <w:tab w:val="left" w:pos="312"/>
        </w:tabs>
      </w:pPr>
    </w:lvl>
  </w:abstractNum>
  <w:num w:numId="1">
    <w:abstractNumId w:val="0"/>
  </w:num>
  <w:num w:numId="2">
    <w:abstractNumId w:val="4"/>
  </w:num>
  <w:num w:numId="3">
    <w:abstractNumId w:val="6"/>
  </w:num>
  <w:num w:numId="4">
    <w:abstractNumId w:val="3"/>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hODI1YTYzYjIzZDU3NzQyMWIwMWU2YzRiZjI2MzEifQ=="/>
  </w:docVars>
  <w:rsids>
    <w:rsidRoot w:val="6B1A1DB6"/>
    <w:rsid w:val="00B55585"/>
    <w:rsid w:val="039953F2"/>
    <w:rsid w:val="04A61BD4"/>
    <w:rsid w:val="0E153755"/>
    <w:rsid w:val="110F0358"/>
    <w:rsid w:val="148B12E6"/>
    <w:rsid w:val="162D2909"/>
    <w:rsid w:val="1B9A6F1B"/>
    <w:rsid w:val="21E03E66"/>
    <w:rsid w:val="235B0B5A"/>
    <w:rsid w:val="273260D2"/>
    <w:rsid w:val="2B481B7A"/>
    <w:rsid w:val="2CA85F56"/>
    <w:rsid w:val="2CFB305D"/>
    <w:rsid w:val="2EB62F5E"/>
    <w:rsid w:val="2ED9745E"/>
    <w:rsid w:val="32AF0A86"/>
    <w:rsid w:val="33EE08F9"/>
    <w:rsid w:val="34E37753"/>
    <w:rsid w:val="386D774E"/>
    <w:rsid w:val="3F8142B1"/>
    <w:rsid w:val="44EE5683"/>
    <w:rsid w:val="460A05C2"/>
    <w:rsid w:val="4A1442E5"/>
    <w:rsid w:val="54541080"/>
    <w:rsid w:val="5B1A1838"/>
    <w:rsid w:val="5B3E6C55"/>
    <w:rsid w:val="5D415B59"/>
    <w:rsid w:val="65FE44B1"/>
    <w:rsid w:val="6B1A1DB6"/>
    <w:rsid w:val="6DC813E7"/>
    <w:rsid w:val="6FFE4C64"/>
    <w:rsid w:val="72C12F21"/>
    <w:rsid w:val="768D0AB0"/>
    <w:rsid w:val="79227717"/>
    <w:rsid w:val="7BED562C"/>
    <w:rsid w:val="7FE277AB"/>
    <w:rsid w:val="EAB7817B"/>
    <w:rsid w:val="F77F3EBD"/>
    <w:rsid w:val="F96FAF92"/>
    <w:rsid w:val="FDACB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仿宋" w:cstheme="minorBidi"/>
      <w:kern w:val="2"/>
      <w:sz w:val="24"/>
      <w:szCs w:val="24"/>
      <w:lang w:val="en-US" w:eastAsia="zh-CN" w:bidi="ar-SA"/>
    </w:rPr>
  </w:style>
  <w:style w:type="paragraph" w:styleId="2">
    <w:name w:val="heading 1"/>
    <w:basedOn w:val="3"/>
    <w:next w:val="1"/>
    <w:qFormat/>
    <w:uiPriority w:val="0"/>
    <w:pPr>
      <w:keepNext/>
      <w:keepLines/>
      <w:spacing w:beforeLines="0" w:beforeAutospacing="0" w:afterLines="0" w:afterAutospacing="0" w:line="360" w:lineRule="auto"/>
      <w:ind w:firstLine="0" w:firstLineChars="0"/>
      <w:outlineLvl w:val="0"/>
    </w:pPr>
    <w:rPr>
      <w:rFonts w:ascii="Times New Roman" w:hAnsi="Times New Roman" w:eastAsia="宋体"/>
      <w:b/>
      <w:kern w:val="44"/>
      <w:sz w:val="32"/>
    </w:rPr>
  </w:style>
  <w:style w:type="paragraph" w:styleId="4">
    <w:name w:val="heading 2"/>
    <w:basedOn w:val="1"/>
    <w:next w:val="1"/>
    <w:link w:val="14"/>
    <w:semiHidden/>
    <w:unhideWhenUsed/>
    <w:qFormat/>
    <w:uiPriority w:val="0"/>
    <w:pPr>
      <w:keepNext/>
      <w:keepLines/>
      <w:spacing w:beforeLines="0" w:beforeAutospacing="0" w:afterLines="0" w:afterAutospacing="0" w:line="360" w:lineRule="auto"/>
      <w:ind w:firstLine="0" w:firstLineChars="0"/>
      <w:outlineLvl w:val="1"/>
    </w:pPr>
    <w:rPr>
      <w:rFonts w:ascii="Times New Roman" w:hAnsi="Times New Roman" w:eastAsia="宋体"/>
      <w:b/>
      <w:sz w:val="30"/>
    </w:rPr>
  </w:style>
  <w:style w:type="paragraph" w:styleId="5">
    <w:name w:val="heading 3"/>
    <w:basedOn w:val="1"/>
    <w:next w:val="1"/>
    <w:semiHidden/>
    <w:unhideWhenUsed/>
    <w:qFormat/>
    <w:uiPriority w:val="0"/>
    <w:pPr>
      <w:keepNext/>
      <w:keepLines/>
      <w:spacing w:beforeLines="0" w:beforeAutospacing="0" w:afterLines="0" w:afterAutospacing="0" w:line="360" w:lineRule="auto"/>
      <w:ind w:firstLine="0" w:firstLineChars="0"/>
      <w:outlineLvl w:val="2"/>
    </w:pPr>
    <w:rPr>
      <w:rFonts w:ascii="Times New Roman" w:hAnsi="Times New Roman" w:eastAsia="宋体"/>
      <w:b/>
      <w:sz w:val="28"/>
    </w:rPr>
  </w:style>
  <w:style w:type="paragraph" w:styleId="6">
    <w:name w:val="heading 4"/>
    <w:basedOn w:val="1"/>
    <w:next w:val="1"/>
    <w:semiHidden/>
    <w:unhideWhenUsed/>
    <w:qFormat/>
    <w:uiPriority w:val="0"/>
    <w:pPr>
      <w:keepNext/>
      <w:keepLines/>
      <w:spacing w:beforeLines="0" w:beforeAutospacing="0" w:afterLines="0" w:afterAutospacing="0" w:line="360" w:lineRule="auto"/>
      <w:ind w:firstLine="0" w:firstLineChars="0"/>
      <w:outlineLvl w:val="3"/>
    </w:pPr>
    <w:rPr>
      <w:rFonts w:ascii="Times New Roman" w:hAnsi="Times New Roman" w:eastAsia="宋体"/>
      <w:b/>
    </w:rPr>
  </w:style>
  <w:style w:type="paragraph" w:styleId="7">
    <w:name w:val="heading 5"/>
    <w:basedOn w:val="1"/>
    <w:next w:val="1"/>
    <w:semiHidden/>
    <w:unhideWhenUsed/>
    <w:qFormat/>
    <w:uiPriority w:val="0"/>
    <w:pPr>
      <w:keepNext/>
      <w:keepLines/>
      <w:spacing w:beforeLines="0" w:beforeAutospacing="0" w:afterLines="0" w:afterAutospacing="0" w:line="360" w:lineRule="auto"/>
      <w:outlineLvl w:val="4"/>
    </w:pPr>
    <w:rPr>
      <w:rFonts w:eastAsia="宋体"/>
      <w:b/>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beforeLines="0" w:beforeAutospacing="0"/>
    </w:pPr>
    <w:rPr>
      <w:rFonts w:ascii="Arial" w:hAnsi="Arial"/>
      <w:sz w:val="24"/>
    </w:rPr>
  </w:style>
  <w:style w:type="paragraph" w:styleId="8">
    <w:name w:val="annotation text"/>
    <w:basedOn w:val="1"/>
    <w:qFormat/>
    <w:uiPriority w:val="0"/>
    <w:pPr>
      <w:jc w:val="left"/>
    </w:pPr>
  </w:style>
  <w:style w:type="paragraph" w:styleId="9">
    <w:name w:val="Body Text Indent"/>
    <w:basedOn w:val="1"/>
    <w:qFormat/>
    <w:uiPriority w:val="0"/>
    <w:pPr>
      <w:ind w:firstLine="645"/>
    </w:pPr>
    <w:rPr>
      <w:rFonts w:ascii="楷体_GB2312" w:eastAsia="楷体_GB2312"/>
      <w:sz w:val="32"/>
      <w:szCs w:val="32"/>
    </w:rPr>
  </w:style>
  <w:style w:type="paragraph" w:styleId="10">
    <w:name w:val="Body Text First Indent 2"/>
    <w:basedOn w:val="9"/>
    <w:qFormat/>
    <w:uiPriority w:val="0"/>
    <w:pPr>
      <w:spacing w:line="360" w:lineRule="auto"/>
      <w:ind w:firstLine="420" w:firstLineChars="200"/>
    </w:pPr>
    <w:rPr>
      <w:rFonts w:ascii="宋体" w:hAnsi="宋体" w:eastAsia="宋体"/>
      <w:sz w:val="21"/>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2 Char"/>
    <w:link w:val="4"/>
    <w:qFormat/>
    <w:uiPriority w:val="0"/>
    <w:rPr>
      <w:rFonts w:ascii="Times New Roman" w:hAnsi="Times New Roman" w:eastAsia="宋体"/>
      <w:b/>
      <w:sz w:val="30"/>
    </w:rPr>
  </w:style>
  <w:style w:type="paragraph" w:customStyle="1" w:styleId="15">
    <w:name w:val="正文（深信服科技）"/>
    <w:link w:val="16"/>
    <w:qFormat/>
    <w:uiPriority w:val="0"/>
    <w:pPr>
      <w:adjustRightInd w:val="0"/>
      <w:snapToGrid w:val="0"/>
      <w:spacing w:line="360" w:lineRule="auto"/>
      <w:ind w:firstLine="480" w:firstLineChars="200"/>
      <w:jc w:val="both"/>
    </w:pPr>
    <w:rPr>
      <w:rFonts w:ascii="Times New Roman" w:hAnsi="Times New Roman" w:eastAsia="宋体" w:cs="Times New Roman"/>
      <w:kern w:val="0"/>
      <w:sz w:val="24"/>
      <w:szCs w:val="21"/>
      <w:lang w:val="en-US" w:eastAsia="zh-CN" w:bidi="ar-SA"/>
    </w:rPr>
  </w:style>
  <w:style w:type="character" w:customStyle="1" w:styleId="16">
    <w:name w:val="正文（深信服科技） 字符"/>
    <w:link w:val="15"/>
    <w:qFormat/>
    <w:uiPriority w:val="0"/>
    <w:rPr>
      <w:rFonts w:ascii="Times New Roman" w:hAnsi="Times New Roman" w:eastAsia="宋体" w:cs="Times New Roman"/>
      <w:kern w:val="0"/>
      <w:sz w:val="24"/>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2916</Words>
  <Characters>3073</Characters>
  <Lines>0</Lines>
  <Paragraphs>0</Paragraphs>
  <TotalTime>52</TotalTime>
  <ScaleCrop>false</ScaleCrop>
  <LinksUpToDate>false</LinksUpToDate>
  <CharactersWithSpaces>3082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2023-12-17T03:10:00Z</dcterms:created>
  <dc:creator>Alex_sangfor</dc:creator>
  <cp:lastModifiedBy>王豆豆</cp:lastModifiedBy>
  <dcterms:modified xsi:type="dcterms:W3CDTF">2025-07-10T11:30:47Z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AD7C863936344D6C9EF7DCC8D3501257_13</vt:lpwstr>
  </property>
  <property fmtid="{D5CDD505-2E9C-101B-9397-08002B2CF9AE}" pid="4" name="KSOTemplateDocerSaveRecord">
    <vt:lpwstr>eyJoZGlkIjoiMDQ4MzRlY2Q1NjEzMjQ2YjIyMGUzNWNjODEwOWFmMGQiLCJ1c2VySWQiOiIyNjQ2MTMyMDIifQ==</vt:lpwstr>
  </property>
</Properties>
</file>