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宋体" w:hAnsi="宋体" w:eastAsia="宋体" w:cs="宋体"/>
          <w:b/>
          <w:bCs/>
          <w:sz w:val="36"/>
          <w:szCs w:val="36"/>
          <w:lang w:eastAsia="zh-CN"/>
        </w:rPr>
      </w:pPr>
      <w:r>
        <w:rPr>
          <w:rFonts w:hint="eastAsia" w:ascii="宋体" w:hAnsi="宋体" w:eastAsia="宋体" w:cs="宋体"/>
          <w:b/>
          <w:bCs/>
          <w:sz w:val="40"/>
          <w:szCs w:val="40"/>
          <w:lang w:eastAsia="zh-CN"/>
        </w:rPr>
        <w:t>乌恰县波斯坦铁列克乡卫生院手术室改造项目竞价需求</w:t>
      </w:r>
    </w:p>
    <w:p>
      <w:pPr>
        <w:numPr>
          <w:ilvl w:val="0"/>
          <w:numId w:val="4"/>
        </w:numPr>
        <w:tabs>
          <w:tab w:val="left" w:pos="1560"/>
        </w:tabs>
        <w:snapToGrid w:val="0"/>
        <w:spacing w:line="360" w:lineRule="auto"/>
        <w:ind w:firstLine="426"/>
        <w:rPr>
          <w:rFonts w:hint="eastAsia" w:ascii="宋体" w:hAnsi="宋体" w:eastAsia="宋体" w:cs="宋体"/>
          <w:b/>
          <w:bCs/>
          <w:sz w:val="28"/>
          <w:szCs w:val="28"/>
        </w:rPr>
      </w:pPr>
      <w:r>
        <w:rPr>
          <w:rFonts w:hint="eastAsia" w:ascii="宋体" w:hAnsi="宋体" w:eastAsia="宋体" w:cs="宋体"/>
          <w:b/>
          <w:bCs/>
          <w:sz w:val="28"/>
          <w:szCs w:val="28"/>
          <w:lang w:eastAsia="zh-CN"/>
        </w:rPr>
        <w:t>服务技术需求</w:t>
      </w:r>
      <w:r>
        <w:rPr>
          <w:rFonts w:hint="eastAsia" w:ascii="宋体" w:hAnsi="宋体" w:eastAsia="宋体" w:cs="宋体"/>
          <w:b/>
          <w:bCs/>
          <w:sz w:val="28"/>
          <w:szCs w:val="28"/>
        </w:rPr>
        <w:t>：</w:t>
      </w:r>
    </w:p>
    <w:p>
      <w:pPr>
        <w:numPr>
          <w:ilvl w:val="0"/>
          <w:numId w:val="5"/>
        </w:numPr>
        <w:tabs>
          <w:tab w:val="left" w:pos="1560"/>
        </w:tabs>
        <w:snapToGrid w:val="0"/>
        <w:spacing w:line="360" w:lineRule="auto"/>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pPr>
      <w:r>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t>施工范围及内容：</w:t>
      </w:r>
    </w:p>
    <w:p>
      <w:pPr>
        <w:numPr>
          <w:numId w:val="0"/>
        </w:numPr>
        <w:tabs>
          <w:tab w:val="left" w:pos="1560"/>
        </w:tabs>
        <w:snapToGrid w:val="0"/>
        <w:spacing w:line="360" w:lineRule="auto"/>
        <w:ind w:firstLine="560" w:firstLineChars="200"/>
        <w:rPr>
          <w:rFonts w:hint="eastAsia" w:ascii="宋体" w:hAnsi="宋体" w:eastAsia="宋体" w:cs="宋体"/>
          <w:sz w:val="28"/>
          <w:szCs w:val="28"/>
        </w:rPr>
      </w:pPr>
      <w:r>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t>装饰板110.22㎡槽铝39.84m铝合金内圆弧塑料底座51.84mT型梁4.6m三通8个涂料129㎡pvc地材23.57㎡气密门9个，观片灯1套，器械柜1套，书写台1套，组合电源插座箱2套，无影灯1套，医用双人位刷手池1套直线型输液导轨及吊架2套，“手术中”指示灯(OL-1)1套，无影灯锚栓支架1套，插座箱1套，LED平板灯18套。开关8个，五孔插座4个线盒88个，线管289m配线1242m,敷设电缆36m,敷设桥架22m，网络监控摄像头2个门禁系统1套POE网络交换机1个双网口网络插座1个六类网线88米给水管17m，维修阀3个UPVC管15米等施工内容。</w:t>
      </w:r>
    </w:p>
    <w:p>
      <w:pPr>
        <w:spacing w:line="300" w:lineRule="auto"/>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pPr>
      <w:r>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t>（二）施工依据:</w:t>
      </w:r>
    </w:p>
    <w:p>
      <w:pPr>
        <w:spacing w:line="300" w:lineRule="auto"/>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pPr>
      <w:r>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t>《医院洁净手术部建筑技术规范》          GB50333-2013</w:t>
      </w:r>
    </w:p>
    <w:p>
      <w:pPr>
        <w:spacing w:line="300" w:lineRule="auto"/>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pPr>
      <w:r>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t>《综合医院建筑设计规范》                GB51039-2014</w:t>
      </w:r>
    </w:p>
    <w:p>
      <w:pPr>
        <w:spacing w:line="300" w:lineRule="auto"/>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pPr>
      <w:r>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t>《洁净室施工及验收规范》                GB50591-2010</w:t>
      </w:r>
    </w:p>
    <w:p>
      <w:pPr>
        <w:spacing w:line="300" w:lineRule="auto"/>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pPr>
      <w:r>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t>《建筑装饰装修工程质量验收规范》        GB50210-2001</w:t>
      </w:r>
    </w:p>
    <w:p>
      <w:pPr>
        <w:spacing w:line="300" w:lineRule="auto"/>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pPr>
      <w:r>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t>《建筑地面工程施工质量验收规范》        GB50209-2010</w:t>
      </w:r>
    </w:p>
    <w:p>
      <w:pPr>
        <w:spacing w:line="300" w:lineRule="auto"/>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pPr>
      <w:r>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t xml:space="preserve">《通风与空调工程施工质量验收规范》      GB 50243-2016 </w:t>
      </w:r>
    </w:p>
    <w:p>
      <w:pPr>
        <w:spacing w:line="300" w:lineRule="auto"/>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pPr>
      <w:r>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t>《洁净手术室用空气调节机组》            GB/T19569-2004</w:t>
      </w:r>
    </w:p>
    <w:p>
      <w:pPr>
        <w:spacing w:line="300" w:lineRule="auto"/>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pPr>
      <w:r>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t>《医院空气净化管理规范》                WS/T368-2012</w:t>
      </w:r>
    </w:p>
    <w:p>
      <w:pPr>
        <w:spacing w:line="300" w:lineRule="auto"/>
        <w:ind w:firstLine="280" w:firstLineChars="100"/>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pPr>
      <w:r>
        <w:rPr>
          <w:rFonts w:hint="eastAsia" w:asciiTheme="minorEastAsia" w:hAnsiTheme="minorEastAsia"/>
          <w:b w:val="0"/>
          <w:bCs/>
          <w:color w:val="000000" w:themeColor="text1"/>
          <w:sz w:val="28"/>
          <w:szCs w:val="28"/>
          <w:shd w:val="clear" w:color="auto" w:fill="FFFFFF"/>
          <w:lang w:eastAsia="zh-CN"/>
          <w14:textFill>
            <w14:solidFill>
              <w14:schemeClr w14:val="tx1"/>
            </w14:solidFill>
          </w14:textFill>
        </w:rPr>
        <w:t>等最新的行业标准及所有本项目涉及到的国家工程建设标准强制性条文及有关设计规程、规范。</w:t>
      </w:r>
    </w:p>
    <w:p>
      <w:pPr>
        <w:spacing w:line="300" w:lineRule="auto"/>
        <w:rPr>
          <w:rFonts w:hint="eastAsia" w:ascii="宋体" w:hAnsi="宋体" w:eastAsia="宋体" w:cs="宋体"/>
          <w:b/>
          <w:color w:val="000000" w:themeColor="text1"/>
          <w:sz w:val="28"/>
          <w:szCs w:val="28"/>
          <w:shd w:val="clear" w:color="auto" w:fill="FFFFFF"/>
          <w:lang w:eastAsia="zh-CN"/>
          <w14:textFill>
            <w14:solidFill>
              <w14:schemeClr w14:val="tx1"/>
            </w14:solidFill>
          </w14:textFill>
        </w:rPr>
      </w:pPr>
    </w:p>
    <w:p>
      <w:pPr>
        <w:spacing w:line="300" w:lineRule="auto"/>
        <w:rPr>
          <w:rFonts w:hint="eastAsia" w:ascii="宋体" w:hAnsi="宋体" w:eastAsia="宋体" w:cs="宋体"/>
          <w:b/>
          <w:color w:val="000000" w:themeColor="text1"/>
          <w:sz w:val="28"/>
          <w:szCs w:val="28"/>
          <w:shd w:val="clear" w:color="auto" w:fill="FFFFFF"/>
          <w14:textFill>
            <w14:solidFill>
              <w14:schemeClr w14:val="tx1"/>
            </w14:solidFill>
          </w14:textFill>
        </w:rPr>
      </w:pPr>
      <w:r>
        <w:rPr>
          <w:rFonts w:hint="eastAsia" w:ascii="宋体" w:hAnsi="宋体" w:eastAsia="宋体" w:cs="宋体"/>
          <w:b/>
          <w:color w:val="000000" w:themeColor="text1"/>
          <w:sz w:val="28"/>
          <w:szCs w:val="28"/>
          <w:shd w:val="clear" w:color="auto" w:fill="FFFFFF"/>
          <w:lang w:eastAsia="zh-CN"/>
          <w14:textFill>
            <w14:solidFill>
              <w14:schemeClr w14:val="tx1"/>
            </w14:solidFill>
          </w14:textFill>
        </w:rPr>
        <w:t>二</w:t>
      </w:r>
      <w:r>
        <w:rPr>
          <w:rFonts w:hint="eastAsia" w:ascii="宋体" w:hAnsi="宋体" w:eastAsia="宋体" w:cs="宋体"/>
          <w:b/>
          <w:color w:val="000000" w:themeColor="text1"/>
          <w:sz w:val="28"/>
          <w:szCs w:val="28"/>
          <w:shd w:val="clear" w:color="auto" w:fill="FFFFFF"/>
          <w14:textFill>
            <w14:solidFill>
              <w14:schemeClr w14:val="tx1"/>
            </w14:solidFill>
          </w14:textFill>
        </w:rPr>
        <w:t>、本项目的特定资格要求：</w:t>
      </w:r>
    </w:p>
    <w:p>
      <w:pPr>
        <w:spacing w:line="300" w:lineRule="auto"/>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 xml:space="preserve">1.投标人须是中华人民共和国境内注册的，具有独立法人资格的企业。提供合法有效的具有统一社会信用代码的营业执照； </w:t>
      </w:r>
    </w:p>
    <w:p>
      <w:pPr>
        <w:spacing w:line="300" w:lineRule="auto"/>
        <w:ind w:firstLine="560" w:firstLineChars="200"/>
        <w:rPr>
          <w:rFonts w:hint="eastAsia" w:ascii="宋体" w:hAnsi="宋体" w:eastAsia="宋体" w:cs="宋体"/>
          <w:sz w:val="28"/>
          <w:szCs w:val="28"/>
        </w:rPr>
      </w:pPr>
      <w:r>
        <w:rPr>
          <w:rFonts w:hint="eastAsia" w:ascii="宋体" w:hAnsi="宋体" w:eastAsia="宋体" w:cs="宋体"/>
          <w:color w:val="000000" w:themeColor="text1"/>
          <w:sz w:val="28"/>
          <w:szCs w:val="28"/>
          <w:shd w:val="clear" w:color="auto" w:fill="FFFFFF"/>
          <w14:textFill>
            <w14:solidFill>
              <w14:schemeClr w14:val="tx1"/>
            </w14:solidFill>
          </w14:textFill>
        </w:rPr>
        <w:t>2.投标人须具备建筑</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装修装饰工程专业承包二级及以上</w:t>
      </w:r>
      <w:r>
        <w:rPr>
          <w:rFonts w:hint="eastAsia" w:ascii="宋体" w:hAnsi="宋体" w:eastAsia="宋体" w:cs="宋体"/>
          <w:color w:val="000000" w:themeColor="text1"/>
          <w:sz w:val="28"/>
          <w:szCs w:val="28"/>
          <w:shd w:val="clear" w:color="auto" w:fill="FFFFFF"/>
          <w14:textFill>
            <w14:solidFill>
              <w14:schemeClr w14:val="tx1"/>
            </w14:solidFill>
          </w14:textFill>
        </w:rPr>
        <w:t>；同时具备</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建筑机电安装工程专业承包二级</w:t>
      </w:r>
      <w:r>
        <w:rPr>
          <w:rFonts w:hint="eastAsia" w:ascii="宋体" w:hAnsi="宋体" w:eastAsia="宋体" w:cs="宋体"/>
          <w:color w:val="000000" w:themeColor="text1"/>
          <w:sz w:val="28"/>
          <w:szCs w:val="28"/>
          <w:shd w:val="clear" w:color="auto" w:fill="FFFFFF"/>
          <w14:textFill>
            <w14:solidFill>
              <w14:schemeClr w14:val="tx1"/>
            </w14:solidFill>
          </w14:textFill>
        </w:rPr>
        <w:t>及以上资质</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；具有安全生产许可证</w:t>
      </w:r>
      <w:r>
        <w:rPr>
          <w:rFonts w:hint="eastAsia" w:ascii="宋体" w:hAnsi="宋体" w:eastAsia="宋体" w:cs="宋体"/>
          <w:color w:val="000000" w:themeColor="text1"/>
          <w:sz w:val="28"/>
          <w:szCs w:val="28"/>
          <w:shd w:val="clear" w:color="auto" w:fill="FFFFFF"/>
          <w14:textFill>
            <w14:solidFill>
              <w14:schemeClr w14:val="tx1"/>
            </w14:solidFill>
          </w14:textFill>
        </w:rPr>
        <w:t>。</w:t>
      </w:r>
    </w:p>
    <w:p>
      <w:pPr>
        <w:spacing w:line="300" w:lineRule="auto"/>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3.</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项目负责人要求：机电工程专业二级（含二级）以上注册建造师执业资格，具备有效的安全生产考核合格证书，且未担任其他在施建设工程项目。</w:t>
      </w:r>
    </w:p>
    <w:p>
      <w:pPr>
        <w:spacing w:line="300" w:lineRule="auto"/>
        <w:ind w:firstLine="560" w:firstLineChars="200"/>
        <w:rPr>
          <w:rFonts w:hint="eastAsia" w:ascii="宋体" w:hAnsi="宋体" w:eastAsia="宋体" w:cs="宋体"/>
          <w:color w:val="000000" w:themeColor="text1"/>
          <w:sz w:val="28"/>
          <w:szCs w:val="28"/>
          <w:shd w:val="clear" w:color="auto" w:fill="FFFFFF"/>
          <w:lang w:eastAsia="zh-CN"/>
          <w14:textFill>
            <w14:solidFill>
              <w14:schemeClr w14:val="tx1"/>
            </w14:solidFill>
          </w14:textFill>
        </w:rPr>
      </w:pP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4.必须为新疆本地企业且</w:t>
      </w:r>
      <w:r>
        <w:rPr>
          <w:rFonts w:hint="eastAsia" w:ascii="宋体" w:hAnsi="宋体" w:eastAsia="宋体" w:cs="宋体"/>
          <w:color w:val="000000" w:themeColor="text1"/>
          <w:sz w:val="28"/>
          <w:szCs w:val="28"/>
          <w:shd w:val="clear" w:color="auto" w:fill="FFFFFF"/>
          <w14:textFill>
            <w14:solidFill>
              <w14:schemeClr w14:val="tx1"/>
            </w14:solidFill>
          </w14:textFill>
        </w:rPr>
        <w:t>在人员、资金等方面具有承担本项目的能力</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w:t>
      </w:r>
    </w:p>
    <w:p>
      <w:pPr>
        <w:spacing w:line="240" w:lineRule="atLeast"/>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5</w:t>
      </w:r>
      <w:r>
        <w:rPr>
          <w:rFonts w:hint="eastAsia" w:ascii="宋体" w:hAnsi="宋体" w:eastAsia="宋体" w:cs="宋体"/>
          <w:color w:val="000000" w:themeColor="text1"/>
          <w:sz w:val="28"/>
          <w:szCs w:val="28"/>
          <w:shd w:val="clear" w:color="auto" w:fill="FFFFFF"/>
          <w14:textFill>
            <w14:solidFill>
              <w14:schemeClr w14:val="tx1"/>
            </w14:solidFill>
          </w14:textFill>
        </w:rPr>
        <w:t>.提供近一年任意</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8"/>
          <w:szCs w:val="28"/>
          <w:shd w:val="clear" w:color="auto" w:fill="FFFFFF"/>
          <w14:textFill>
            <w14:solidFill>
              <w14:schemeClr w14:val="tx1"/>
            </w14:solidFill>
          </w14:textFill>
        </w:rPr>
        <w:t>个月的社保缴纳凭证</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及企业社保完税证明</w:t>
      </w:r>
      <w:r>
        <w:rPr>
          <w:rFonts w:hint="eastAsia" w:ascii="宋体" w:hAnsi="宋体" w:eastAsia="宋体" w:cs="宋体"/>
          <w:color w:val="000000" w:themeColor="text1"/>
          <w:sz w:val="28"/>
          <w:szCs w:val="28"/>
          <w:shd w:val="clear" w:color="auto" w:fill="FFFFFF"/>
          <w14:textFill>
            <w14:solidFill>
              <w14:schemeClr w14:val="tx1"/>
            </w14:solidFill>
          </w14:textFill>
        </w:rPr>
        <w:t>；</w:t>
      </w:r>
    </w:p>
    <w:p>
      <w:pPr>
        <w:pStyle w:val="22"/>
        <w:ind w:firstLine="560" w:firstLineChars="200"/>
        <w:jc w:val="both"/>
        <w:rPr>
          <w:rFonts w:hint="eastAsia" w:ascii="宋体" w:hAnsi="宋体" w:eastAsia="宋体" w:cs="宋体"/>
          <w:color w:val="000000" w:themeColor="text1"/>
          <w:kern w:val="2"/>
          <w:sz w:val="28"/>
          <w:szCs w:val="28"/>
          <w:shd w:val="clear" w:color="auto" w:fill="FFFFFF"/>
          <w14:textFill>
            <w14:solidFill>
              <w14:schemeClr w14:val="tx1"/>
            </w14:solidFill>
          </w14:textFill>
        </w:rPr>
      </w:pPr>
      <w:r>
        <w:rPr>
          <w:rFonts w:hint="eastAsia" w:ascii="宋体" w:hAnsi="宋体" w:eastAsia="宋体" w:cs="宋体"/>
          <w:color w:val="000000" w:themeColor="text1"/>
          <w:kern w:val="2"/>
          <w:sz w:val="28"/>
          <w:szCs w:val="28"/>
          <w:shd w:val="clear" w:color="auto" w:fill="FFFFFF"/>
          <w:lang w:val="en-US" w:eastAsia="zh-CN"/>
          <w14:textFill>
            <w14:solidFill>
              <w14:schemeClr w14:val="tx1"/>
            </w14:solidFill>
          </w14:textFill>
        </w:rPr>
        <w:t>6</w:t>
      </w:r>
      <w:r>
        <w:rPr>
          <w:rFonts w:hint="eastAsia" w:ascii="宋体" w:hAnsi="宋体" w:eastAsia="宋体" w:cs="宋体"/>
          <w:color w:val="000000" w:themeColor="text1"/>
          <w:kern w:val="2"/>
          <w:sz w:val="28"/>
          <w:szCs w:val="28"/>
          <w:shd w:val="clear" w:color="auto" w:fill="FFFFFF"/>
          <w14:textFill>
            <w14:solidFill>
              <w14:schemeClr w14:val="tx1"/>
            </w14:solidFill>
          </w14:textFill>
        </w:rPr>
        <w:t>.提供税务部门出具的近</w:t>
      </w:r>
      <w:r>
        <w:rPr>
          <w:rFonts w:hint="eastAsia" w:ascii="宋体" w:hAnsi="宋体" w:eastAsia="宋体" w:cs="宋体"/>
          <w:color w:val="000000" w:themeColor="text1"/>
          <w:sz w:val="28"/>
          <w:szCs w:val="28"/>
          <w:shd w:val="clear" w:color="auto" w:fill="FFFFFF"/>
          <w14:textFill>
            <w14:solidFill>
              <w14:schemeClr w14:val="tx1"/>
            </w14:solidFill>
          </w14:textFill>
        </w:rPr>
        <w:t>一年任意</w:t>
      </w:r>
      <w:r>
        <w:rPr>
          <w:rFonts w:hint="eastAsia" w:hAnsi="宋体" w:cs="宋体"/>
          <w:color w:val="000000" w:themeColor="text1"/>
          <w:kern w:val="2"/>
          <w:sz w:val="28"/>
          <w:szCs w:val="28"/>
          <w:shd w:val="clear" w:color="auto" w:fill="FFFFFF"/>
          <w:lang w:val="en-US" w:eastAsia="zh-CN"/>
          <w14:textFill>
            <w14:solidFill>
              <w14:schemeClr w14:val="tx1"/>
            </w14:solidFill>
          </w14:textFill>
        </w:rPr>
        <w:t>3</w:t>
      </w:r>
      <w:r>
        <w:rPr>
          <w:rFonts w:hint="eastAsia" w:ascii="宋体" w:hAnsi="宋体" w:eastAsia="宋体" w:cs="宋体"/>
          <w:color w:val="000000" w:themeColor="text1"/>
          <w:kern w:val="2"/>
          <w:sz w:val="28"/>
          <w:szCs w:val="28"/>
          <w:shd w:val="clear" w:color="auto" w:fill="FFFFFF"/>
          <w14:textFill>
            <w14:solidFill>
              <w14:schemeClr w14:val="tx1"/>
            </w14:solidFill>
          </w14:textFill>
        </w:rPr>
        <w:t>个月的</w:t>
      </w:r>
      <w:r>
        <w:rPr>
          <w:rFonts w:hint="eastAsia" w:hAnsi="宋体" w:cs="宋体"/>
          <w:color w:val="000000" w:themeColor="text1"/>
          <w:kern w:val="2"/>
          <w:sz w:val="28"/>
          <w:szCs w:val="28"/>
          <w:shd w:val="clear" w:color="auto" w:fill="FFFFFF"/>
          <w:lang w:eastAsia="zh-CN"/>
          <w14:textFill>
            <w14:solidFill>
              <w14:schemeClr w14:val="tx1"/>
            </w14:solidFill>
          </w14:textFill>
        </w:rPr>
        <w:t>企业</w:t>
      </w:r>
      <w:r>
        <w:rPr>
          <w:rFonts w:hint="eastAsia" w:ascii="宋体" w:hAnsi="宋体" w:eastAsia="宋体" w:cs="宋体"/>
          <w:color w:val="000000" w:themeColor="text1"/>
          <w:kern w:val="2"/>
          <w:sz w:val="28"/>
          <w:szCs w:val="28"/>
          <w:shd w:val="clear" w:color="auto" w:fill="FFFFFF"/>
          <w14:textFill>
            <w14:solidFill>
              <w14:schemeClr w14:val="tx1"/>
            </w14:solidFill>
          </w14:textFill>
        </w:rPr>
        <w:t>完税证明；</w:t>
      </w:r>
    </w:p>
    <w:p>
      <w:pPr>
        <w:spacing w:line="300" w:lineRule="auto"/>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7</w:t>
      </w:r>
      <w:r>
        <w:rPr>
          <w:rFonts w:hint="eastAsia" w:ascii="宋体" w:hAnsi="宋体" w:eastAsia="宋体" w:cs="宋体"/>
          <w:color w:val="000000" w:themeColor="text1"/>
          <w:sz w:val="28"/>
          <w:szCs w:val="28"/>
          <w:shd w:val="clear" w:color="auto" w:fill="FFFFFF"/>
          <w14:textFill>
            <w14:solidFill>
              <w14:schemeClr w14:val="tx1"/>
            </w14:solidFill>
          </w14:textFill>
        </w:rPr>
        <w:t>.提供法定代表人身份证明和法定代表人身份证或者法定代表人授权委托书及被授权人身份证明，需提供近6个月社保缴纳证明；</w:t>
      </w:r>
    </w:p>
    <w:p>
      <w:pPr>
        <w:spacing w:line="300" w:lineRule="auto"/>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8</w:t>
      </w:r>
      <w:r>
        <w:rPr>
          <w:rFonts w:hint="eastAsia" w:ascii="宋体" w:hAnsi="宋体" w:eastAsia="宋体" w:cs="宋体"/>
          <w:color w:val="000000" w:themeColor="text1"/>
          <w:sz w:val="28"/>
          <w:szCs w:val="28"/>
          <w:shd w:val="clear" w:color="auto" w:fill="FFFFFF"/>
          <w14:textFill>
            <w14:solidFill>
              <w14:schemeClr w14:val="tx1"/>
            </w14:solidFill>
          </w14:textFill>
        </w:rPr>
        <w:t>.被行政主管部门处罚或在处罚整改期限内的单位不能参加此次报价；</w:t>
      </w:r>
    </w:p>
    <w:p>
      <w:pPr>
        <w:spacing w:line="300" w:lineRule="auto"/>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9</w:t>
      </w:r>
      <w:r>
        <w:rPr>
          <w:rFonts w:hint="eastAsia" w:ascii="宋体" w:hAnsi="宋体" w:eastAsia="宋体" w:cs="宋体"/>
          <w:color w:val="000000" w:themeColor="text1"/>
          <w:sz w:val="28"/>
          <w:szCs w:val="28"/>
          <w:shd w:val="clear" w:color="auto" w:fill="FFFFFF"/>
          <w14:textFill>
            <w14:solidFill>
              <w14:schemeClr w14:val="tx1"/>
            </w14:solidFill>
          </w14:textFill>
        </w:rPr>
        <w:t>.具有良好财务状况，提供</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2022年或</w:t>
      </w:r>
      <w:r>
        <w:rPr>
          <w:rFonts w:hint="eastAsia" w:ascii="宋体" w:hAnsi="宋体" w:eastAsia="宋体" w:cs="宋体"/>
          <w:color w:val="000000" w:themeColor="text1"/>
          <w:sz w:val="28"/>
          <w:szCs w:val="28"/>
          <w:shd w:val="clear" w:color="auto" w:fill="FFFFFF"/>
          <w14:textFill>
            <w14:solidFill>
              <w14:schemeClr w14:val="tx1"/>
            </w14:solidFill>
          </w14:textFill>
        </w:rPr>
        <w:t>202</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8"/>
          <w:szCs w:val="28"/>
          <w:shd w:val="clear" w:color="auto" w:fill="FFFFFF"/>
          <w14:textFill>
            <w14:solidFill>
              <w14:schemeClr w14:val="tx1"/>
            </w14:solidFill>
          </w14:textFill>
        </w:rPr>
        <w:t>年度财务审计报告；</w:t>
      </w:r>
    </w:p>
    <w:p>
      <w:pPr>
        <w:spacing w:line="300" w:lineRule="auto"/>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10</w:t>
      </w:r>
      <w:r>
        <w:rPr>
          <w:rFonts w:hint="eastAsia" w:ascii="宋体" w:hAnsi="宋体" w:eastAsia="宋体" w:cs="宋体"/>
          <w:color w:val="000000" w:themeColor="text1"/>
          <w:sz w:val="28"/>
          <w:szCs w:val="28"/>
          <w:shd w:val="clear" w:color="auto" w:fill="FFFFFF"/>
          <w14:textFill>
            <w14:solidFill>
              <w14:schemeClr w14:val="tx1"/>
            </w14:solidFill>
          </w14:textFill>
        </w:rPr>
        <w:t>.投标人类似业绩情况（</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特殊科室改造</w:t>
      </w:r>
      <w:r>
        <w:rPr>
          <w:rFonts w:hint="eastAsia" w:ascii="宋体" w:hAnsi="宋体" w:eastAsia="宋体" w:cs="宋体"/>
          <w:color w:val="000000" w:themeColor="text1"/>
          <w:sz w:val="28"/>
          <w:szCs w:val="28"/>
          <w:shd w:val="clear" w:color="auto" w:fill="FFFFFF"/>
          <w14:textFill>
            <w14:solidFill>
              <w14:schemeClr w14:val="tx1"/>
            </w14:solidFill>
          </w14:textFill>
        </w:rPr>
        <w:t>相关），至少提供</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8"/>
          <w:szCs w:val="28"/>
          <w:shd w:val="clear" w:color="auto" w:fill="FFFFFF"/>
          <w14:textFill>
            <w14:solidFill>
              <w14:schemeClr w14:val="tx1"/>
            </w14:solidFill>
          </w14:textFill>
        </w:rPr>
        <w:t>份类似项目合同或中标通知书</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或</w:t>
      </w:r>
      <w:r>
        <w:rPr>
          <w:rFonts w:hint="eastAsia" w:ascii="宋体" w:hAnsi="宋体" w:eastAsia="宋体" w:cs="宋体"/>
          <w:color w:val="000000" w:themeColor="text1"/>
          <w:sz w:val="28"/>
          <w:szCs w:val="28"/>
          <w:shd w:val="clear" w:color="auto" w:fill="FFFFFF"/>
          <w14:textFill>
            <w14:solidFill>
              <w14:schemeClr w14:val="tx1"/>
            </w14:solidFill>
          </w14:textFill>
        </w:rPr>
        <w:t>验收报告。</w:t>
      </w:r>
    </w:p>
    <w:p>
      <w:pPr>
        <w:spacing w:line="300" w:lineRule="auto"/>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1</w:t>
      </w:r>
      <w:r>
        <w:rPr>
          <w:rFonts w:hint="eastAsia" w:ascii="宋体" w:hAnsi="宋体" w:eastAsia="宋体" w:cs="宋体"/>
          <w:color w:val="000000" w:themeColor="text1"/>
          <w:sz w:val="28"/>
          <w:szCs w:val="28"/>
          <w:shd w:val="clear" w:color="auto" w:fill="FFFFFF"/>
          <w14:textFill>
            <w14:solidFill>
              <w14:schemeClr w14:val="tx1"/>
            </w14:solidFill>
          </w14:textFill>
        </w:rPr>
        <w:t>.满足《中华人民共和国政府采购法》第二十二条规定；</w:t>
      </w:r>
    </w:p>
    <w:p>
      <w:pPr>
        <w:spacing w:line="300" w:lineRule="auto"/>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2</w:t>
      </w:r>
      <w:r>
        <w:rPr>
          <w:rFonts w:hint="eastAsia" w:ascii="宋体" w:hAnsi="宋体" w:eastAsia="宋体" w:cs="宋体"/>
          <w:color w:val="000000" w:themeColor="text1"/>
          <w:sz w:val="28"/>
          <w:szCs w:val="28"/>
          <w:shd w:val="clear" w:color="auto" w:fill="FFFFFF"/>
          <w14:textFill>
            <w14:solidFill>
              <w14:schemeClr w14:val="tx1"/>
            </w14:solidFill>
          </w14:textFill>
        </w:rPr>
        <w:t>. 企业具有ISO9001 质量管理体系认证证书、ISO14001环境管理体系、ISO45001职业健康安全体系。</w:t>
      </w:r>
    </w:p>
    <w:p>
      <w:pPr>
        <w:spacing w:line="300" w:lineRule="auto"/>
        <w:ind w:firstLine="560" w:firstLineChars="200"/>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pP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13.</w:t>
      </w:r>
      <w:r>
        <w:rPr>
          <w:rFonts w:hint="eastAsia" w:ascii="宋体" w:hAnsi="宋体" w:eastAsia="宋体" w:cs="宋体"/>
          <w:b/>
          <w:bCs/>
          <w:color w:val="000000" w:themeColor="text1"/>
          <w:sz w:val="28"/>
          <w:szCs w:val="28"/>
          <w:highlight w:val="yellow"/>
          <w:shd w:val="clear" w:color="auto" w:fill="FFFFFF"/>
          <w:lang w:val="en-US" w:eastAsia="zh-CN"/>
          <w14:textFill>
            <w14:solidFill>
              <w14:schemeClr w14:val="tx1"/>
            </w14:solidFill>
          </w14:textFill>
        </w:rPr>
        <w:t>本项目需提前现场勘踏，并出具甲方填写的现场勘踏确认单，否则投标无效。</w:t>
      </w:r>
    </w:p>
    <w:p>
      <w:pPr>
        <w:spacing w:line="300" w:lineRule="auto"/>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4</w:t>
      </w:r>
      <w:r>
        <w:rPr>
          <w:rFonts w:hint="eastAsia" w:ascii="宋体" w:hAnsi="宋体" w:eastAsia="宋体" w:cs="宋体"/>
          <w:color w:val="000000" w:themeColor="text1"/>
          <w:sz w:val="28"/>
          <w:szCs w:val="28"/>
          <w:shd w:val="clear" w:color="auto" w:fill="FFFFFF"/>
          <w14:textFill>
            <w14:solidFill>
              <w14:schemeClr w14:val="tx1"/>
            </w14:solidFill>
          </w14:textFill>
        </w:rPr>
        <w:t>.其他:</w:t>
      </w:r>
    </w:p>
    <w:p>
      <w:pPr>
        <w:spacing w:line="300" w:lineRule="auto"/>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（1）供应商在中国政府采购网(www.ccgp gov.cn)被列入政府采购严重违法失信行为记录名单、在“信用中国网站(www creditchina.gov.cn)、国家企业信用信息公示系统(http://www.gsxt.gov.c|n/) 被列入失信被执行人、重大税收违法案件当事人名单，以及存在《中华人民共和国政府采购法实施条例》第十九条规定的行政处罚记录的将拒绝其参本次采购活动，查询结果以询价开始查询为准; 供应商须提供投标单位 (供应商)《反商业贿赂承诺书》、参加政府采购活动前3年内在经营活动中没有重大违法记录的书面声明;</w:t>
      </w:r>
    </w:p>
    <w:p>
      <w:pPr>
        <w:spacing w:line="300" w:lineRule="auto"/>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(2)供应商须提供投标单位(供应商)《未被住建部门纳入不诚信企业名录承诺书》</w:t>
      </w:r>
    </w:p>
    <w:p>
      <w:pPr>
        <w:pStyle w:val="12"/>
        <w:jc w:val="both"/>
        <w:rPr>
          <w:rFonts w:hint="default" w:eastAsia="宋体"/>
          <w:sz w:val="28"/>
          <w:szCs w:val="28"/>
          <w:lang w:val="en-US" w:eastAsia="zh-CN"/>
        </w:rPr>
      </w:pPr>
      <w:r>
        <w:rPr>
          <w:rFonts w:hint="eastAsia" w:asciiTheme="minorEastAsia" w:hAnsiTheme="minorEastAsia" w:cstheme="minorBidi"/>
          <w:b/>
          <w:bCs/>
          <w:color w:val="FF0000"/>
          <w:kern w:val="2"/>
          <w:sz w:val="28"/>
          <w:szCs w:val="28"/>
          <w:highlight w:val="none"/>
          <w:shd w:val="clear" w:color="auto" w:fill="FFFFFF"/>
          <w:lang w:val="en-US" w:eastAsia="zh-CN" w:bidi="ar-SA"/>
        </w:rPr>
        <w:t>注明：本项目的特定资格要求内容（1）-（14</w:t>
      </w:r>
      <w:bookmarkStart w:id="0" w:name="_GoBack"/>
      <w:bookmarkEnd w:id="0"/>
      <w:r>
        <w:rPr>
          <w:rFonts w:hint="eastAsia" w:asciiTheme="minorEastAsia" w:hAnsiTheme="minorEastAsia" w:cstheme="minorBidi"/>
          <w:b/>
          <w:bCs/>
          <w:color w:val="FF0000"/>
          <w:kern w:val="2"/>
          <w:sz w:val="28"/>
          <w:szCs w:val="28"/>
          <w:highlight w:val="none"/>
          <w:shd w:val="clear" w:color="auto" w:fill="FFFFFF"/>
          <w:lang w:val="en-US" w:eastAsia="zh-CN" w:bidi="ar-SA"/>
        </w:rPr>
        <w:t>）项必须放在报价文件中作为附件盖章上传，未上传一律视为响应无效。</w:t>
      </w:r>
    </w:p>
    <w:sectPr>
      <w:footerReference r:id="rId5" w:type="default"/>
      <w:pgSz w:w="11906" w:h="16838"/>
      <w:pgMar w:top="1440" w:right="1080" w:bottom="1440" w:left="108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43">
      <wne:acd wne:acdName="acd0"/>
    </wne:keymap>
  </wne:keymaps>
  <wne:acds>
    <wne:acd wne:argValue="AQAAAA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9859645</wp:posOffset>
              </wp:positionV>
              <wp:extent cx="16637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before="0" w:line="220" w:lineRule="exact"/>
                            <w:ind w:left="40" w:right="0" w:firstLine="0"/>
                            <w:jc w:val="left"/>
                            <w:rPr>
                              <w:rFonts w:ascii="宋体"/>
                              <w:sz w:val="18"/>
                            </w:rPr>
                          </w:pPr>
                          <w:r>
                            <w:fldChar w:fldCharType="begin"/>
                          </w:r>
                          <w:r>
                            <w:rPr>
                              <w:rFonts w:ascii="宋体"/>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15pt;margin-top:776.35pt;height:11pt;width:13.1pt;mso-position-horizontal-relative:page;mso-position-vertical-relative:page;z-index:-251657216;mso-width-relative:page;mso-height-relative:page;" filled="f" stroked="f" coordsize="21600,21600" o:gfxdata="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T2mW9sAAAANAQAADwAAAAAAAAABACAAAAAiAAAAZHJzL2Rvd25yZXYueG1sUEsB&#10;AhQAFAAAAAgAh07iQIw8Vzm5AQAAcQMAAA4AAAAAAAAAAQAgAAAAKgEAAGRycy9lMm9Eb2MueG1s&#10;UEsFBgAAAAAGAAYAWQEAAFUFAAAAAA==&#10;">
              <v:fill on="f" focussize="0,0"/>
              <v:stroke on="f"/>
              <v:imagedata o:title=""/>
              <o:lock v:ext="edit" aspectratio="f"/>
              <v:textbox inset="0mm,0mm,0mm,0mm">
                <w:txbxContent>
                  <w:p>
                    <w:pPr>
                      <w:spacing w:before="0" w:line="220" w:lineRule="exact"/>
                      <w:ind w:left="40" w:right="0" w:firstLine="0"/>
                      <w:jc w:val="left"/>
                      <w:rPr>
                        <w:rFonts w:ascii="宋体"/>
                        <w:sz w:val="18"/>
                      </w:rPr>
                    </w:pPr>
                    <w:r>
                      <w:fldChar w:fldCharType="begin"/>
                    </w:r>
                    <w:r>
                      <w:rPr>
                        <w:rFonts w:ascii="宋体"/>
                        <w:sz w:val="18"/>
                      </w:rPr>
                      <w:instrText xml:space="preserve"> PAGE </w:instrText>
                    </w:r>
                    <w:r>
                      <w:fldChar w:fldCharType="separate"/>
                    </w:r>
                    <w:r>
                      <w:t>40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4073CC"/>
    <w:multiLevelType w:val="multilevel"/>
    <w:tmpl w:val="BF4073CC"/>
    <w:lvl w:ilvl="0" w:tentative="0">
      <w:start w:val="1"/>
      <w:numFmt w:val="chineseCounting"/>
      <w:suff w:val="nothing"/>
      <w:lvlText w:val="（%1）"/>
      <w:lvlJc w:val="left"/>
      <w:pPr>
        <w:tabs>
          <w:tab w:val="left" w:pos="0"/>
        </w:tabs>
        <w:ind w:left="0" w:firstLine="400"/>
      </w:pPr>
      <w:rPr>
        <w:rFonts w:hint="eastAsia" w:ascii="宋体" w:hAnsi="宋体" w:eastAsia="宋体" w:cs="宋体"/>
        <w:sz w:val="32"/>
      </w:rPr>
    </w:lvl>
    <w:lvl w:ilvl="1" w:tentative="0">
      <w:start w:val="1"/>
      <w:numFmt w:val="decimal"/>
      <w:suff w:val="nothing"/>
      <w:lvlText w:val="%2．"/>
      <w:lvlJc w:val="left"/>
      <w:pPr>
        <w:tabs>
          <w:tab w:val="left" w:pos="0"/>
        </w:tabs>
        <w:ind w:left="0" w:firstLine="400"/>
      </w:pPr>
      <w:rPr>
        <w:rFonts w:hint="eastAsia" w:ascii="宋体" w:hAnsi="宋体" w:eastAsia="宋体" w:cs="宋体"/>
        <w:sz w:val="21"/>
      </w:rPr>
    </w:lvl>
    <w:lvl w:ilvl="2" w:tentative="0">
      <w:start w:val="1"/>
      <w:numFmt w:val="decimal"/>
      <w:pStyle w:val="4"/>
      <w:suff w:val="nothing"/>
      <w:lvlText w:val="（%3）"/>
      <w:lvlJc w:val="left"/>
      <w:pPr>
        <w:tabs>
          <w:tab w:val="left" w:pos="0"/>
        </w:tabs>
        <w:ind w:left="0" w:firstLine="402"/>
      </w:pPr>
      <w:rPr>
        <w:rFonts w:hint="eastAsia" w:ascii="宋体" w:hAnsi="宋体" w:eastAsia="楷体" w:cs="宋体"/>
        <w:sz w:val="24"/>
      </w:rPr>
    </w:lvl>
    <w:lvl w:ilvl="3" w:tentative="0">
      <w:start w:val="1"/>
      <w:numFmt w:val="decimal"/>
      <w:suff w:val="nothing"/>
      <w:lvlText w:val="%4 ) "/>
      <w:lvlJc w:val="left"/>
      <w:pPr>
        <w:tabs>
          <w:tab w:val="left" w:pos="0"/>
        </w:tabs>
        <w:ind w:left="0" w:firstLine="402"/>
      </w:pPr>
      <w:rPr>
        <w:rFonts w:hint="eastAsia" w:ascii="宋体" w:hAnsi="宋体" w:eastAsia="宋体" w:cs="宋体"/>
        <w:sz w:val="28"/>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
    <w:nsid w:val="D7DBAFF8"/>
    <w:multiLevelType w:val="singleLevel"/>
    <w:tmpl w:val="D7DBAFF8"/>
    <w:lvl w:ilvl="0" w:tentative="0">
      <w:start w:val="1"/>
      <w:numFmt w:val="chineseCounting"/>
      <w:suff w:val="nothing"/>
      <w:lvlText w:val="%1、"/>
      <w:lvlJc w:val="left"/>
      <w:pPr>
        <w:ind w:left="-216"/>
      </w:pPr>
      <w:rPr>
        <w:rFonts w:hint="eastAsia"/>
      </w:rPr>
    </w:lvl>
  </w:abstractNum>
  <w:abstractNum w:abstractNumId="2">
    <w:nsid w:val="0F1D767D"/>
    <w:multiLevelType w:val="multilevel"/>
    <w:tmpl w:val="0F1D767D"/>
    <w:lvl w:ilvl="0" w:tentative="0">
      <w:start w:val="1"/>
      <w:numFmt w:val="decimal"/>
      <w:lvlText w:val="(%1)"/>
      <w:lvlJc w:val="left"/>
      <w:pPr>
        <w:ind w:left="425" w:hanging="425"/>
      </w:pPr>
      <w:rPr>
        <w:rFonts w:hint="default"/>
      </w:rPr>
    </w:lvl>
    <w:lvl w:ilvl="1" w:tentative="0">
      <w:start w:val="1"/>
      <w:numFmt w:val="decimalEnclosedCircleChinese"/>
      <w:lvlText w:val="%2"/>
      <w:lvlJc w:val="left"/>
      <w:pPr>
        <w:tabs>
          <w:tab w:val="left" w:pos="840"/>
        </w:tabs>
        <w:ind w:left="840" w:leftChars="0" w:hanging="420" w:firstLineChars="0"/>
      </w:pPr>
      <w:rPr>
        <w:rFonts w:hint="default"/>
      </w:rPr>
    </w:lvl>
    <w:lvl w:ilvl="2" w:tentative="0">
      <w:start w:val="1"/>
      <w:numFmt w:val="decimal"/>
      <w:lvlText w:val="%3)"/>
      <w:lvlJc w:val="left"/>
      <w:pPr>
        <w:tabs>
          <w:tab w:val="left" w:pos="1260"/>
        </w:tabs>
        <w:ind w:left="1260" w:leftChars="0" w:hanging="420" w:firstLineChars="0"/>
      </w:pPr>
      <w:rPr>
        <w:rFonts w:hint="default"/>
      </w:rPr>
    </w:lvl>
    <w:lvl w:ilvl="3" w:tentative="0">
      <w:start w:val="1"/>
      <w:numFmt w:val="lowerLetter"/>
      <w:pStyle w:val="5"/>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3">
    <w:nsid w:val="2D48821A"/>
    <w:multiLevelType w:val="singleLevel"/>
    <w:tmpl w:val="2D48821A"/>
    <w:lvl w:ilvl="0" w:tentative="0">
      <w:start w:val="1"/>
      <w:numFmt w:val="chineseCounting"/>
      <w:suff w:val="nothing"/>
      <w:lvlText w:val="（%1）"/>
      <w:lvlJc w:val="left"/>
      <w:rPr>
        <w:rFonts w:hint="eastAsia"/>
      </w:rPr>
    </w:lvl>
  </w:abstractNum>
  <w:abstractNum w:abstractNumId="4">
    <w:nsid w:val="5B358041"/>
    <w:multiLevelType w:val="multilevel"/>
    <w:tmpl w:val="5B358041"/>
    <w:lvl w:ilvl="0" w:tentative="0">
      <w:start w:val="1"/>
      <w:numFmt w:val="chineseCounting"/>
      <w:pStyle w:val="2"/>
      <w:suff w:val="nothing"/>
      <w:lvlText w:val="%1、"/>
      <w:lvlJc w:val="left"/>
      <w:pPr>
        <w:tabs>
          <w:tab w:val="left" w:pos="0"/>
        </w:tabs>
        <w:ind w:left="0" w:firstLine="400"/>
      </w:pPr>
      <w:rPr>
        <w:rFonts w:hint="eastAsia" w:ascii="宋体" w:hAnsi="宋体" w:eastAsia="楷体" w:cs="楷体"/>
        <w:szCs w:val="28"/>
      </w:rPr>
    </w:lvl>
    <w:lvl w:ilvl="1" w:tentative="0">
      <w:start w:val="1"/>
      <w:numFmt w:val="decimal"/>
      <w:suff w:val="nothing"/>
      <w:lvlText w:val="(%2)"/>
      <w:lvlJc w:val="left"/>
      <w:pPr>
        <w:tabs>
          <w:tab w:val="left" w:pos="0"/>
        </w:tabs>
        <w:ind w:left="1050" w:firstLine="400"/>
      </w:pPr>
      <w:rPr>
        <w:rFonts w:hint="eastAsia" w:ascii="宋体" w:hAnsi="宋体" w:eastAsia="宋体" w:cs="仿宋"/>
      </w:rPr>
    </w:lvl>
    <w:lvl w:ilvl="2" w:tentative="0">
      <w:start w:val="1"/>
      <w:numFmt w:val="decimal"/>
      <w:suff w:val="nothing"/>
      <w:lvlText w:val="（%3）"/>
      <w:lvlJc w:val="left"/>
      <w:pPr>
        <w:ind w:left="858" w:firstLine="402"/>
      </w:pPr>
      <w:rPr>
        <w:rFonts w:hint="eastAsia" w:ascii="宋体" w:hAnsi="宋体" w:eastAsia="宋体" w:cs="仿宋"/>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MGZiNGUyOTFiZTE2YTFmNThjOGJiZThiNzM1NGIifQ=="/>
  </w:docVars>
  <w:rsids>
    <w:rsidRoot w:val="00000000"/>
    <w:rsid w:val="019152F3"/>
    <w:rsid w:val="0291204D"/>
    <w:rsid w:val="092421A2"/>
    <w:rsid w:val="0B01200B"/>
    <w:rsid w:val="0C817B3B"/>
    <w:rsid w:val="0CBF0182"/>
    <w:rsid w:val="0DEE524F"/>
    <w:rsid w:val="115968EC"/>
    <w:rsid w:val="13D740CF"/>
    <w:rsid w:val="14BA3C5B"/>
    <w:rsid w:val="14EE2A36"/>
    <w:rsid w:val="155017D2"/>
    <w:rsid w:val="1EFB3AA2"/>
    <w:rsid w:val="20D82EE4"/>
    <w:rsid w:val="21CF28F2"/>
    <w:rsid w:val="22C16E1E"/>
    <w:rsid w:val="2448050F"/>
    <w:rsid w:val="255E6374"/>
    <w:rsid w:val="25730C8E"/>
    <w:rsid w:val="26E9011B"/>
    <w:rsid w:val="2BA26D81"/>
    <w:rsid w:val="2BC173D4"/>
    <w:rsid w:val="2D200CC4"/>
    <w:rsid w:val="33D86DC3"/>
    <w:rsid w:val="33EF5574"/>
    <w:rsid w:val="35C1406B"/>
    <w:rsid w:val="3C181597"/>
    <w:rsid w:val="3CBC28E9"/>
    <w:rsid w:val="3DA07EE0"/>
    <w:rsid w:val="42B74EF5"/>
    <w:rsid w:val="473B7211"/>
    <w:rsid w:val="478D290E"/>
    <w:rsid w:val="47E54ED1"/>
    <w:rsid w:val="4AA32DB1"/>
    <w:rsid w:val="4AEC1EF8"/>
    <w:rsid w:val="4BDC79E7"/>
    <w:rsid w:val="4D7426CE"/>
    <w:rsid w:val="4EFD649F"/>
    <w:rsid w:val="4F6F2404"/>
    <w:rsid w:val="500104BA"/>
    <w:rsid w:val="52CE6A41"/>
    <w:rsid w:val="53681835"/>
    <w:rsid w:val="54BE6C3E"/>
    <w:rsid w:val="582D301E"/>
    <w:rsid w:val="599D100D"/>
    <w:rsid w:val="5C53104F"/>
    <w:rsid w:val="60FA262C"/>
    <w:rsid w:val="69081F0D"/>
    <w:rsid w:val="694F6372"/>
    <w:rsid w:val="6DDC6CBA"/>
    <w:rsid w:val="72E414BE"/>
    <w:rsid w:val="73CB7560"/>
    <w:rsid w:val="7662721E"/>
    <w:rsid w:val="76C34768"/>
    <w:rsid w:val="776027B5"/>
    <w:rsid w:val="7B277BFB"/>
    <w:rsid w:val="7EBB2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1"/>
    <w:autoRedefine/>
    <w:qFormat/>
    <w:uiPriority w:val="0"/>
    <w:pPr>
      <w:widowControl w:val="0"/>
      <w:spacing w:line="360" w:lineRule="auto"/>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link w:val="18"/>
    <w:autoRedefine/>
    <w:qFormat/>
    <w:uiPriority w:val="0"/>
    <w:pPr>
      <w:keepNext/>
      <w:keepLines/>
      <w:numPr>
        <w:ilvl w:val="0"/>
        <w:numId w:val="1"/>
      </w:numPr>
      <w:spacing w:beforeLines="0" w:beforeAutospacing="0" w:afterLines="0" w:afterAutospacing="0" w:line="360" w:lineRule="auto"/>
      <w:ind w:firstLine="400" w:firstLineChars="0"/>
      <w:jc w:val="center"/>
      <w:outlineLvl w:val="0"/>
    </w:pPr>
    <w:rPr>
      <w:rFonts w:ascii="Times New Roman" w:hAnsi="Times New Roman"/>
      <w:b/>
      <w:bCs/>
      <w:kern w:val="44"/>
      <w:sz w:val="28"/>
      <w:szCs w:val="32"/>
    </w:rPr>
  </w:style>
  <w:style w:type="paragraph" w:styleId="3">
    <w:name w:val="heading 2"/>
    <w:basedOn w:val="1"/>
    <w:next w:val="1"/>
    <w:link w:val="19"/>
    <w:autoRedefine/>
    <w:semiHidden/>
    <w:unhideWhenUsed/>
    <w:qFormat/>
    <w:uiPriority w:val="0"/>
    <w:pPr>
      <w:keepNext/>
      <w:keepLines/>
      <w:tabs>
        <w:tab w:val="left" w:pos="0"/>
      </w:tabs>
      <w:spacing w:beforeLines="0" w:beforeAutospacing="0" w:afterLines="0" w:afterAutospacing="0" w:line="360" w:lineRule="auto"/>
      <w:ind w:left="0" w:firstLine="0"/>
      <w:jc w:val="center"/>
      <w:outlineLvl w:val="1"/>
    </w:pPr>
    <w:rPr>
      <w:rFonts w:ascii="Arial" w:hAnsi="Arial" w:cstheme="minorBidi"/>
      <w:b/>
    </w:rPr>
  </w:style>
  <w:style w:type="paragraph" w:styleId="4">
    <w:name w:val="heading 3"/>
    <w:basedOn w:val="1"/>
    <w:next w:val="1"/>
    <w:link w:val="20"/>
    <w:autoRedefine/>
    <w:semiHidden/>
    <w:unhideWhenUsed/>
    <w:qFormat/>
    <w:uiPriority w:val="0"/>
    <w:pPr>
      <w:keepNext/>
      <w:keepLines/>
      <w:widowControl/>
      <w:numPr>
        <w:ilvl w:val="2"/>
        <w:numId w:val="2"/>
      </w:numPr>
      <w:tabs>
        <w:tab w:val="left" w:pos="432"/>
        <w:tab w:val="clear" w:pos="0"/>
      </w:tabs>
      <w:spacing w:line="360" w:lineRule="auto"/>
      <w:ind w:firstLine="402" w:firstLineChars="0"/>
      <w:jc w:val="left"/>
      <w:outlineLvl w:val="2"/>
    </w:pPr>
    <w:rPr>
      <w:rFonts w:ascii="Times New Roman" w:hAnsi="Times New Roman"/>
      <w:b/>
      <w:kern w:val="0"/>
    </w:rPr>
  </w:style>
  <w:style w:type="paragraph" w:styleId="5">
    <w:name w:val="heading 4"/>
    <w:basedOn w:val="1"/>
    <w:next w:val="1"/>
    <w:link w:val="17"/>
    <w:autoRedefine/>
    <w:semiHidden/>
    <w:unhideWhenUsed/>
    <w:qFormat/>
    <w:uiPriority w:val="0"/>
    <w:pPr>
      <w:keepNext/>
      <w:keepLines/>
      <w:numPr>
        <w:ilvl w:val="3"/>
        <w:numId w:val="3"/>
      </w:numPr>
      <w:tabs>
        <w:tab w:val="left" w:pos="0"/>
        <w:tab w:val="clear" w:pos="1680"/>
      </w:tabs>
      <w:spacing w:beforeLines="0" w:beforeAutospacing="0" w:afterLines="0" w:afterAutospacing="0" w:line="240" w:lineRule="auto"/>
      <w:ind w:left="0" w:firstLine="0" w:firstLineChars="0"/>
      <w:jc w:val="left"/>
      <w:outlineLvl w:val="3"/>
    </w:pPr>
    <w:rPr>
      <w:rFonts w:ascii="Arial" w:hAnsi="Arial" w:eastAsia="宋体" w:cs="Times New Roman"/>
      <w:b/>
      <w:kern w:val="2"/>
      <w:sz w:val="28"/>
      <w:lang w:eastAsia="zh-CN"/>
    </w:rPr>
  </w:style>
  <w:style w:type="character" w:default="1" w:styleId="16">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6">
    <w:name w:val="Body Text"/>
    <w:basedOn w:val="1"/>
    <w:autoRedefine/>
    <w:qFormat/>
    <w:uiPriority w:val="0"/>
    <w:pPr>
      <w:spacing w:after="120" w:afterLines="0" w:afterAutospacing="0"/>
    </w:pPr>
  </w:style>
  <w:style w:type="paragraph" w:styleId="7">
    <w:name w:val="Body Text Indent"/>
    <w:basedOn w:val="1"/>
    <w:autoRedefine/>
    <w:qFormat/>
    <w:uiPriority w:val="0"/>
    <w:pPr>
      <w:spacing w:after="120" w:afterLines="0" w:afterAutospacing="0"/>
      <w:ind w:left="420" w:leftChars="200"/>
    </w:pPr>
  </w:style>
  <w:style w:type="paragraph" w:styleId="8">
    <w:name w:val="toc 3"/>
    <w:basedOn w:val="1"/>
    <w:next w:val="1"/>
    <w:autoRedefine/>
    <w:qFormat/>
    <w:uiPriority w:val="0"/>
    <w:pPr>
      <w:spacing w:line="360" w:lineRule="auto"/>
      <w:ind w:left="0" w:leftChars="0" w:firstLine="0" w:firstLineChars="0"/>
    </w:pPr>
    <w:rPr>
      <w:rFonts w:eastAsia="宋体" w:cs="Times New Roman"/>
    </w:rPr>
  </w:style>
  <w:style w:type="paragraph" w:styleId="9">
    <w:name w:val="Plain Text"/>
    <w:basedOn w:val="1"/>
    <w:autoRedefine/>
    <w:qFormat/>
    <w:uiPriority w:val="0"/>
    <w:rPr>
      <w:rFonts w:ascii="宋体" w:hAnsi="Courier New"/>
    </w:rPr>
  </w:style>
  <w:style w:type="paragraph" w:styleId="10">
    <w:name w:val="toc 1"/>
    <w:basedOn w:val="1"/>
    <w:next w:val="1"/>
    <w:autoRedefine/>
    <w:qFormat/>
    <w:uiPriority w:val="0"/>
    <w:pPr>
      <w:spacing w:line="360" w:lineRule="auto"/>
      <w:ind w:firstLine="0" w:firstLineChars="0"/>
    </w:pPr>
    <w:rPr>
      <w:rFonts w:eastAsia="楷体" w:cs="Times New Roman"/>
      <w:b/>
    </w:rPr>
  </w:style>
  <w:style w:type="paragraph" w:styleId="11">
    <w:name w:val="toc 2"/>
    <w:basedOn w:val="1"/>
    <w:next w:val="1"/>
    <w:autoRedefine/>
    <w:qFormat/>
    <w:uiPriority w:val="0"/>
    <w:pPr>
      <w:spacing w:line="360" w:lineRule="auto"/>
      <w:ind w:left="0" w:leftChars="0" w:firstLine="0" w:firstLineChars="0"/>
    </w:pPr>
    <w:rPr>
      <w:rFonts w:eastAsia="楷体" w:cs="Times New Roman"/>
      <w:b/>
    </w:rPr>
  </w:style>
  <w:style w:type="paragraph" w:styleId="12">
    <w:name w:val="Title"/>
    <w:basedOn w:val="1"/>
    <w:autoRedefine/>
    <w:qFormat/>
    <w:uiPriority w:val="0"/>
    <w:pPr>
      <w:spacing w:before="240" w:beforeLines="0" w:beforeAutospacing="0" w:after="60" w:afterLines="0" w:afterAutospacing="0"/>
      <w:jc w:val="center"/>
      <w:outlineLvl w:val="0"/>
    </w:pPr>
    <w:rPr>
      <w:rFonts w:ascii="Arial" w:hAnsi="Arial"/>
      <w:b/>
      <w:sz w:val="32"/>
    </w:rPr>
  </w:style>
  <w:style w:type="paragraph" w:styleId="13">
    <w:name w:val="Body Text First Indent"/>
    <w:basedOn w:val="6"/>
    <w:autoRedefine/>
    <w:qFormat/>
    <w:uiPriority w:val="0"/>
    <w:pPr>
      <w:ind w:firstLine="420" w:firstLineChars="100"/>
    </w:pPr>
  </w:style>
  <w:style w:type="paragraph" w:styleId="14">
    <w:name w:val="Body Text First Indent 2"/>
    <w:basedOn w:val="7"/>
    <w:autoRedefine/>
    <w:qFormat/>
    <w:uiPriority w:val="0"/>
    <w:pPr>
      <w:ind w:firstLine="420" w:firstLineChars="200"/>
    </w:pPr>
  </w:style>
  <w:style w:type="character" w:customStyle="1" w:styleId="17">
    <w:name w:val="标题 4 Char"/>
    <w:link w:val="5"/>
    <w:autoRedefine/>
    <w:qFormat/>
    <w:uiPriority w:val="9"/>
    <w:rPr>
      <w:rFonts w:ascii="Arial" w:hAnsi="Arial" w:eastAsia="宋体" w:cs="Times New Roman"/>
      <w:b/>
      <w:kern w:val="2"/>
      <w:sz w:val="28"/>
      <w:szCs w:val="20"/>
      <w:lang w:eastAsia="zh-CN"/>
    </w:rPr>
  </w:style>
  <w:style w:type="character" w:customStyle="1" w:styleId="18">
    <w:name w:val="标题 1 Char"/>
    <w:link w:val="2"/>
    <w:autoRedefine/>
    <w:qFormat/>
    <w:uiPriority w:val="0"/>
    <w:rPr>
      <w:rFonts w:ascii="Times New Roman" w:hAnsi="Times New Roman" w:eastAsia="楷体" w:cs="Arial"/>
      <w:b/>
      <w:bCs/>
      <w:color w:val="000000"/>
      <w:kern w:val="44"/>
      <w:sz w:val="28"/>
      <w:szCs w:val="32"/>
      <w:shd w:val="clear" w:color="auto" w:fill="auto"/>
      <w:lang w:eastAsia="en-US" w:bidi="en-US"/>
    </w:rPr>
  </w:style>
  <w:style w:type="character" w:customStyle="1" w:styleId="19">
    <w:name w:val="标题 2 Char"/>
    <w:link w:val="3"/>
    <w:autoRedefine/>
    <w:qFormat/>
    <w:uiPriority w:val="0"/>
    <w:rPr>
      <w:rFonts w:ascii="Arial" w:hAnsi="Arial" w:eastAsia="宋体" w:cstheme="minorBidi"/>
      <w:b/>
      <w:sz w:val="21"/>
      <w:szCs w:val="22"/>
    </w:rPr>
  </w:style>
  <w:style w:type="character" w:customStyle="1" w:styleId="20">
    <w:name w:val="标题 3 Char"/>
    <w:link w:val="4"/>
    <w:autoRedefine/>
    <w:qFormat/>
    <w:uiPriority w:val="0"/>
    <w:rPr>
      <w:rFonts w:ascii="Times New Roman" w:hAnsi="Times New Roman" w:eastAsia="楷体"/>
      <w:b/>
      <w:kern w:val="0"/>
      <w:sz w:val="24"/>
    </w:rPr>
  </w:style>
  <w:style w:type="character" w:customStyle="1" w:styleId="21">
    <w:name w:val="NormalCharacter"/>
    <w:link w:val="1"/>
    <w:autoRedefine/>
    <w:qFormat/>
    <w:uiPriority w:val="0"/>
    <w:rPr>
      <w:rFonts w:cs="Times New Roman" w:asciiTheme="minorAscii" w:hAnsiTheme="minorAscii" w:eastAsiaTheme="minorEastAsia"/>
      <w:kern w:val="2"/>
      <w:sz w:val="24"/>
      <w:lang w:val="en-US" w:eastAsia="zh-CN" w:bidi="ar-SA"/>
    </w:rPr>
  </w:style>
  <w:style w:type="paragraph" w:customStyle="1" w:styleId="22">
    <w:name w:val="Default"/>
    <w:autoRedefine/>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customStyle="1" w:styleId="23">
    <w:name w:val="Table Paragraph"/>
    <w:basedOn w:val="1"/>
    <w:autoRedefine/>
    <w:qFormat/>
    <w:uiPriority w:val="1"/>
    <w:rPr>
      <w:rFonts w:ascii="楷体" w:hAnsi="楷体" w:eastAsia="楷体" w:cs="楷体"/>
      <w:lang w:val="zh-CN" w:eastAsia="zh-CN" w:bidi="zh-CN"/>
    </w:rPr>
  </w:style>
  <w:style w:type="paragraph" w:styleId="24">
    <w:name w:val="List Paragraph"/>
    <w:basedOn w:val="1"/>
    <w:autoRedefine/>
    <w:qFormat/>
    <w:uiPriority w:val="1"/>
    <w:pPr>
      <w:ind w:left="1317" w:hanging="900"/>
    </w:pPr>
    <w:rPr>
      <w:rFonts w:ascii="楷体" w:hAnsi="楷体" w:eastAsia="楷体" w:cs="楷体"/>
      <w:lang w:val="zh-CN" w:eastAsia="zh-CN" w:bidi="zh-CN"/>
    </w:rPr>
  </w:style>
  <w:style w:type="paragraph" w:customStyle="1" w:styleId="25">
    <w:name w:val="正文格式"/>
    <w:basedOn w:val="1"/>
    <w:autoRedefine/>
    <w:qFormat/>
    <w:uiPriority w:val="99"/>
    <w:pPr>
      <w:widowControl/>
      <w:adjustRightInd w:val="0"/>
      <w:snapToGrid w:val="0"/>
      <w:spacing w:line="400" w:lineRule="atLeast"/>
      <w:ind w:firstLine="482"/>
      <w:textAlignment w:val="baseline"/>
    </w:pPr>
    <w:rPr>
      <w:rFonts w:ascii="Times New Roman" w:hAnsi="Times New Roman"/>
      <w:kern w:val="0"/>
      <w:sz w:val="24"/>
    </w:rPr>
  </w:style>
</w:style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2022-04-28T03:20:00Z</dcterms:created>
  <dc:creator>Administrator</dc:creator>
  <cp:lastModifiedBy>宋宋,</cp:lastModifiedBy>
  <dcterms:modified xsi:type="dcterms:W3CDTF">2024-04-19T04:01:01Z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90EAA6FF83C94F9CAFC1A3355C11722D_13</vt:lpwstr>
  </property>
</Properties>
</file>