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D503B1A">
      <w:pPr>
        <w:keepNext w:val="0"/>
        <w:keepLines w:val="0"/>
        <w:pageBreakBefore w:val="0"/>
        <w:widowControl/>
        <w:kinsoku w:val="0"/>
        <w:wordWrap/>
        <w:overflowPunct/>
        <w:topLinePunct w:val="0"/>
        <w:autoSpaceDE w:val="0"/>
        <w:autoSpaceDN w:val="0"/>
        <w:bidi w:val="0"/>
        <w:adjustRightInd w:val="0"/>
        <w:snapToGrid w:val="0"/>
        <w:spacing w:before="259" w:beforeAutospacing="0" w:afterAutospacing="0" w:line="560" w:lineRule="exact"/>
        <w:ind w:left="1786"/>
        <w:jc w:val="center"/>
        <w:textAlignment w:val="auto"/>
        <w:rPr>
          <w:rFonts w:hint="eastAsia" w:ascii="仿宋" w:hAnsi="仿宋" w:eastAsia="仿宋" w:cs="仿宋"/>
          <w:sz w:val="42"/>
          <w:szCs w:val="42"/>
        </w:rPr>
      </w:pPr>
      <w:r>
        <w:rPr>
          <w:rFonts w:hint="eastAsia" w:ascii="仿宋" w:hAnsi="仿宋" w:eastAsia="仿宋" w:cs="仿宋"/>
          <w:b/>
          <w:bCs/>
          <w:spacing w:val="9"/>
          <w:sz w:val="42"/>
          <w:szCs w:val="42"/>
        </w:rPr>
        <w:t>招标要求</w:t>
      </w:r>
    </w:p>
    <w:p w14:paraId="0EAAB3F0">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jc w:val="center"/>
        <w:textAlignment w:val="auto"/>
        <w:rPr>
          <w:rFonts w:hint="eastAsia" w:ascii="仿宋" w:hAnsi="仿宋" w:eastAsia="仿宋" w:cs="仿宋"/>
          <w:sz w:val="21"/>
        </w:rPr>
      </w:pPr>
    </w:p>
    <w:p w14:paraId="253C36F8">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66" w:firstLineChars="200"/>
        <w:textAlignment w:val="auto"/>
        <w:rPr>
          <w:rFonts w:hint="eastAsia" w:cs="仿宋"/>
          <w:b/>
          <w:bCs/>
          <w:spacing w:val="6"/>
          <w:sz w:val="27"/>
          <w:szCs w:val="27"/>
          <w:lang w:eastAsia="zh-CN"/>
        </w:rPr>
      </w:pPr>
      <w:r>
        <w:rPr>
          <w:rFonts w:hint="eastAsia" w:cs="仿宋"/>
          <w:b/>
          <w:bCs/>
          <w:spacing w:val="6"/>
          <w:sz w:val="27"/>
          <w:szCs w:val="27"/>
          <w:lang w:eastAsia="zh-CN"/>
        </w:rPr>
        <w:t>一、投标人资格要求</w:t>
      </w:r>
    </w:p>
    <w:p w14:paraId="0FEFB658">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64" w:firstLineChars="200"/>
        <w:textAlignment w:val="auto"/>
        <w:rPr>
          <w:rFonts w:hint="eastAsia" w:cs="仿宋"/>
          <w:spacing w:val="6"/>
          <w:sz w:val="27"/>
          <w:szCs w:val="27"/>
          <w:lang w:val="en-US" w:eastAsia="zh-CN"/>
        </w:rPr>
      </w:pPr>
      <w:r>
        <w:rPr>
          <w:rFonts w:hint="eastAsia" w:cs="仿宋"/>
          <w:spacing w:val="6"/>
          <w:sz w:val="27"/>
          <w:szCs w:val="27"/>
          <w:lang w:val="en-US" w:eastAsia="zh-CN"/>
        </w:rPr>
        <w:t>（一）、满足《中华人民共和国政府采购法》第二十二条规定</w:t>
      </w:r>
    </w:p>
    <w:p w14:paraId="2478A715">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64" w:firstLineChars="200"/>
        <w:textAlignment w:val="auto"/>
        <w:rPr>
          <w:rFonts w:hint="default" w:cs="仿宋"/>
          <w:spacing w:val="6"/>
          <w:sz w:val="27"/>
          <w:szCs w:val="27"/>
          <w:lang w:val="en-US" w:eastAsia="zh-CN"/>
        </w:rPr>
      </w:pPr>
      <w:r>
        <w:rPr>
          <w:rFonts w:hint="eastAsia" w:cs="仿宋"/>
          <w:spacing w:val="6"/>
          <w:sz w:val="27"/>
          <w:szCs w:val="27"/>
          <w:lang w:val="en-US" w:eastAsia="zh-CN"/>
        </w:rPr>
        <w:t>（二）、落实政府采购政策满足的资格要求：无</w:t>
      </w:r>
    </w:p>
    <w:p w14:paraId="770CD7A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564" w:firstLineChars="200"/>
        <w:textAlignment w:val="auto"/>
        <w:rPr>
          <w:rFonts w:hint="default" w:cs="仿宋"/>
          <w:spacing w:val="6"/>
          <w:sz w:val="27"/>
          <w:szCs w:val="27"/>
          <w:lang w:val="en-US" w:eastAsia="zh-CN"/>
        </w:rPr>
      </w:pPr>
      <w:r>
        <w:rPr>
          <w:rFonts w:hint="eastAsia" w:cs="仿宋"/>
          <w:spacing w:val="6"/>
          <w:sz w:val="27"/>
          <w:szCs w:val="27"/>
          <w:lang w:val="en-US" w:eastAsia="zh-CN"/>
        </w:rPr>
        <w:t>（三）、</w:t>
      </w:r>
      <w:r>
        <w:rPr>
          <w:rFonts w:hint="eastAsia" w:ascii="仿宋" w:hAnsi="仿宋" w:eastAsia="仿宋" w:cs="仿宋"/>
          <w:color w:val="000000"/>
          <w:spacing w:val="6"/>
          <w:kern w:val="0"/>
          <w:sz w:val="27"/>
          <w:szCs w:val="27"/>
          <w:lang w:val="en-US" w:eastAsia="zh-CN" w:bidi="ar-SA"/>
        </w:rPr>
        <w:t>本项目的特定资格要求</w:t>
      </w:r>
      <w:r>
        <w:rPr>
          <w:rFonts w:hint="eastAsia" w:cs="仿宋"/>
          <w:spacing w:val="6"/>
          <w:sz w:val="27"/>
          <w:szCs w:val="27"/>
          <w:lang w:val="en-US" w:eastAsia="zh-CN"/>
        </w:rPr>
        <w:t>:</w:t>
      </w:r>
      <w:r>
        <w:rPr>
          <w:rFonts w:hint="eastAsia" w:ascii="仿宋" w:hAnsi="仿宋" w:eastAsia="仿宋" w:cs="仿宋"/>
          <w:color w:val="000000"/>
          <w:spacing w:val="6"/>
          <w:kern w:val="0"/>
          <w:sz w:val="27"/>
          <w:szCs w:val="27"/>
          <w:lang w:val="en-US" w:eastAsia="zh-CN" w:bidi="ar-SA"/>
        </w:rPr>
        <w:t xml:space="preserve"> 投标人须具备有效的资质证书，同时满足以下所有资质要求：</w:t>
      </w:r>
    </w:p>
    <w:p w14:paraId="150EBA4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564" w:firstLineChars="200"/>
        <w:textAlignment w:val="auto"/>
        <w:rPr>
          <w:rFonts w:hint="eastAsia" w:ascii="仿宋" w:hAnsi="仿宋" w:eastAsia="仿宋" w:cs="仿宋"/>
          <w:color w:val="000000"/>
          <w:spacing w:val="6"/>
          <w:kern w:val="0"/>
          <w:sz w:val="27"/>
          <w:szCs w:val="27"/>
          <w:lang w:val="en-US" w:eastAsia="zh-CN" w:bidi="ar-SA"/>
        </w:rPr>
      </w:pPr>
      <w:r>
        <w:rPr>
          <w:rFonts w:hint="eastAsia" w:ascii="仿宋" w:hAnsi="仿宋" w:eastAsia="仿宋" w:cs="仿宋"/>
          <w:color w:val="000000"/>
          <w:spacing w:val="6"/>
          <w:kern w:val="0"/>
          <w:sz w:val="27"/>
          <w:szCs w:val="27"/>
          <w:lang w:val="en-US" w:eastAsia="zh-CN" w:bidi="ar-SA"/>
        </w:rPr>
        <w:t>1.设计:电子通信广电行业（无线通信、有线通信、通信铁塔）专业甲级、建筑智能化系统设计专项甲级资质【或】电子通信广电行业（通信工程）甲级资质。</w:t>
      </w:r>
    </w:p>
    <w:p w14:paraId="7E05F1B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564" w:firstLineChars="200"/>
        <w:textAlignment w:val="auto"/>
        <w:rPr>
          <w:rFonts w:hint="eastAsia" w:ascii="仿宋" w:hAnsi="仿宋" w:eastAsia="仿宋" w:cs="仿宋"/>
          <w:color w:val="000000"/>
          <w:spacing w:val="6"/>
          <w:kern w:val="0"/>
          <w:sz w:val="27"/>
          <w:szCs w:val="27"/>
          <w:lang w:val="en-US" w:eastAsia="zh-CN" w:bidi="ar-SA"/>
        </w:rPr>
      </w:pPr>
      <w:r>
        <w:rPr>
          <w:rFonts w:hint="eastAsia" w:ascii="仿宋" w:hAnsi="仿宋" w:eastAsia="仿宋" w:cs="仿宋"/>
          <w:color w:val="000000"/>
          <w:spacing w:val="6"/>
          <w:kern w:val="0"/>
          <w:sz w:val="27"/>
          <w:szCs w:val="27"/>
          <w:lang w:val="en-US" w:eastAsia="zh-CN" w:bidi="ar-SA"/>
        </w:rPr>
        <w:t>2.勘察:工程勘察（工程测量）专业甲级资质。</w:t>
      </w:r>
      <w:bookmarkStart w:id="0" w:name="_GoBack"/>
      <w:bookmarkEnd w:id="0"/>
    </w:p>
    <w:p w14:paraId="324E3E9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564" w:firstLineChars="200"/>
        <w:textAlignment w:val="auto"/>
        <w:rPr>
          <w:rFonts w:hint="eastAsia" w:ascii="仿宋" w:hAnsi="仿宋" w:eastAsia="仿宋" w:cs="仿宋"/>
          <w:color w:val="000000"/>
          <w:spacing w:val="6"/>
          <w:kern w:val="0"/>
          <w:sz w:val="27"/>
          <w:szCs w:val="27"/>
          <w:lang w:val="en-US" w:eastAsia="zh-CN" w:bidi="ar-SA"/>
        </w:rPr>
      </w:pPr>
      <w:r>
        <w:rPr>
          <w:rFonts w:hint="eastAsia" w:ascii="仿宋" w:hAnsi="仿宋" w:eastAsia="仿宋" w:cs="仿宋"/>
          <w:color w:val="000000"/>
          <w:spacing w:val="6"/>
          <w:kern w:val="0"/>
          <w:sz w:val="27"/>
          <w:szCs w:val="27"/>
          <w:lang w:val="en-US" w:eastAsia="zh-CN" w:bidi="ar-SA"/>
        </w:rPr>
        <w:t>3.咨询:工程咨询单位资信证书甲级资质。</w:t>
      </w:r>
    </w:p>
    <w:p w14:paraId="0610E12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564" w:firstLineChars="200"/>
        <w:textAlignment w:val="auto"/>
        <w:rPr>
          <w:rFonts w:hint="default" w:ascii="仿宋" w:hAnsi="仿宋" w:eastAsia="仿宋" w:cs="仿宋"/>
          <w:color w:val="000000"/>
          <w:spacing w:val="6"/>
          <w:kern w:val="0"/>
          <w:sz w:val="27"/>
          <w:szCs w:val="27"/>
          <w:lang w:val="en-US" w:eastAsia="zh-CN" w:bidi="ar-SA"/>
        </w:rPr>
      </w:pPr>
      <w:r>
        <w:rPr>
          <w:rFonts w:hint="eastAsia" w:ascii="仿宋" w:hAnsi="仿宋" w:eastAsia="仿宋" w:cs="仿宋"/>
          <w:color w:val="000000"/>
          <w:spacing w:val="6"/>
          <w:kern w:val="0"/>
          <w:sz w:val="27"/>
          <w:szCs w:val="27"/>
          <w:lang w:val="en-US" w:eastAsia="zh-CN" w:bidi="ar-SA"/>
        </w:rPr>
        <w:t>4.涉M信息系统集成资质甲级资质。</w:t>
      </w:r>
    </w:p>
    <w:p w14:paraId="411D7106">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56" w:firstLineChars="200"/>
        <w:textAlignment w:val="auto"/>
        <w:rPr>
          <w:rFonts w:hint="eastAsia" w:cs="仿宋"/>
          <w:spacing w:val="4"/>
          <w:sz w:val="27"/>
          <w:szCs w:val="27"/>
          <w:highlight w:val="none"/>
          <w:lang w:val="en-US" w:eastAsia="zh-CN"/>
        </w:rPr>
      </w:pPr>
      <w:r>
        <w:rPr>
          <w:rFonts w:hint="eastAsia" w:cs="仿宋"/>
          <w:spacing w:val="4"/>
          <w:sz w:val="27"/>
          <w:szCs w:val="27"/>
          <w:highlight w:val="none"/>
          <w:lang w:val="en-US" w:eastAsia="zh-CN"/>
        </w:rPr>
        <w:t>5、投标人拟派出担任本招标项目的设计负责人应具备有效的壹级国家注册建筑师执业证书；</w:t>
      </w:r>
    </w:p>
    <w:p w14:paraId="29D45DE4">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56" w:firstLineChars="200"/>
        <w:textAlignment w:val="auto"/>
        <w:rPr>
          <w:rFonts w:hint="eastAsia" w:cs="仿宋"/>
          <w:spacing w:val="4"/>
          <w:sz w:val="27"/>
          <w:szCs w:val="27"/>
          <w:highlight w:val="none"/>
          <w:lang w:val="en-US" w:eastAsia="zh-CN"/>
        </w:rPr>
      </w:pPr>
      <w:r>
        <w:rPr>
          <w:rFonts w:hint="eastAsia" w:cs="仿宋"/>
          <w:spacing w:val="4"/>
          <w:sz w:val="27"/>
          <w:szCs w:val="27"/>
          <w:highlight w:val="none"/>
          <w:lang w:val="en-US" w:eastAsia="zh-CN"/>
        </w:rPr>
        <w:t>6、投标人及其拟派出担任本设计项目负责人均应具备类似项目</w:t>
      </w:r>
    </w:p>
    <w:p w14:paraId="010A8799">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textAlignment w:val="auto"/>
        <w:rPr>
          <w:rFonts w:hint="eastAsia" w:cs="仿宋"/>
          <w:spacing w:val="4"/>
          <w:sz w:val="27"/>
          <w:szCs w:val="27"/>
          <w:highlight w:val="none"/>
          <w:lang w:val="en-US" w:eastAsia="zh-CN"/>
        </w:rPr>
      </w:pPr>
      <w:r>
        <w:rPr>
          <w:rFonts w:hint="eastAsia" w:cs="仿宋"/>
          <w:spacing w:val="4"/>
          <w:sz w:val="27"/>
          <w:szCs w:val="27"/>
          <w:highlight w:val="none"/>
          <w:lang w:val="en-US" w:eastAsia="zh-CN"/>
        </w:rPr>
        <w:t>设计业绩。根据项目所提供的投标截止日前3年内承担执法功能区、受立案中心等类似工程项目设计业绩</w:t>
      </w:r>
      <w:r>
        <w:rPr>
          <w:rFonts w:hint="eastAsia" w:ascii="宋体" w:hAnsi="宋体" w:eastAsia="宋体" w:cs="宋体"/>
          <w:i w:val="0"/>
          <w:iCs w:val="0"/>
          <w:caps w:val="0"/>
          <w:color w:val="333333"/>
          <w:spacing w:val="0"/>
          <w:sz w:val="21"/>
          <w:szCs w:val="21"/>
          <w:highlight w:val="none"/>
          <w:shd w:val="clear" w:color="auto" w:fill="FFFFFF"/>
        </w:rPr>
        <w:t>（中标通知书或合同书</w:t>
      </w:r>
      <w:r>
        <w:rPr>
          <w:rFonts w:hint="eastAsia" w:cs="仿宋"/>
          <w:spacing w:val="4"/>
          <w:sz w:val="27"/>
          <w:szCs w:val="27"/>
          <w:highlight w:val="none"/>
          <w:lang w:val="en-US" w:eastAsia="zh-CN"/>
        </w:rPr>
        <w:t>)。</w:t>
      </w:r>
    </w:p>
    <w:p w14:paraId="045298B7">
      <w:pPr>
        <w:pStyle w:val="3"/>
        <w:keepNext w:val="0"/>
        <w:keepLines w:val="0"/>
        <w:pageBreakBefore w:val="0"/>
        <w:widowControl/>
        <w:numPr>
          <w:ilvl w:val="0"/>
          <w:numId w:val="0"/>
        </w:numPr>
        <w:kinsoku w:val="0"/>
        <w:wordWrap/>
        <w:overflowPunct/>
        <w:topLinePunct w:val="0"/>
        <w:autoSpaceDE w:val="0"/>
        <w:autoSpaceDN w:val="0"/>
        <w:bidi w:val="0"/>
        <w:adjustRightInd w:val="0"/>
        <w:snapToGrid w:val="0"/>
        <w:spacing w:before="1" w:beforeAutospacing="0" w:afterAutospacing="0" w:line="560" w:lineRule="exact"/>
        <w:ind w:left="630" w:leftChars="0"/>
        <w:textAlignment w:val="auto"/>
        <w:rPr>
          <w:rFonts w:hint="eastAsia" w:cs="仿宋"/>
          <w:spacing w:val="4"/>
          <w:sz w:val="27"/>
          <w:szCs w:val="27"/>
          <w:highlight w:val="none"/>
          <w:lang w:val="en-US" w:eastAsia="zh-CN"/>
        </w:rPr>
      </w:pPr>
      <w:r>
        <w:rPr>
          <w:rFonts w:hint="eastAsia" w:cs="仿宋"/>
          <w:spacing w:val="4"/>
          <w:sz w:val="27"/>
          <w:szCs w:val="27"/>
          <w:highlight w:val="none"/>
          <w:lang w:val="en-US" w:eastAsia="zh-CN"/>
        </w:rPr>
        <w:t>7、具备三证合一营业执照副本（彩色扫描加盖公章上传）。</w:t>
      </w:r>
    </w:p>
    <w:p w14:paraId="70F703E5">
      <w:pPr>
        <w:pStyle w:val="3"/>
        <w:keepNext w:val="0"/>
        <w:keepLines w:val="0"/>
        <w:pageBreakBefore w:val="0"/>
        <w:widowControl/>
        <w:numPr>
          <w:ilvl w:val="0"/>
          <w:numId w:val="0"/>
        </w:numPr>
        <w:kinsoku w:val="0"/>
        <w:wordWrap/>
        <w:overflowPunct/>
        <w:topLinePunct w:val="0"/>
        <w:autoSpaceDE w:val="0"/>
        <w:autoSpaceDN w:val="0"/>
        <w:bidi w:val="0"/>
        <w:adjustRightInd w:val="0"/>
        <w:snapToGrid w:val="0"/>
        <w:spacing w:before="1" w:beforeAutospacing="0" w:afterAutospacing="0" w:line="560" w:lineRule="exact"/>
        <w:ind w:left="630" w:leftChars="0"/>
        <w:textAlignment w:val="auto"/>
        <w:rPr>
          <w:rFonts w:hint="eastAsia" w:cs="仿宋"/>
          <w:spacing w:val="4"/>
          <w:sz w:val="27"/>
          <w:szCs w:val="27"/>
          <w:lang w:val="en-US" w:eastAsia="zh-CN"/>
        </w:rPr>
      </w:pPr>
      <w:r>
        <w:rPr>
          <w:rFonts w:hint="eastAsia" w:cs="仿宋"/>
          <w:spacing w:val="4"/>
          <w:sz w:val="27"/>
          <w:szCs w:val="27"/>
          <w:lang w:val="en-US" w:eastAsia="zh-CN"/>
        </w:rPr>
        <w:t>8、法定代表人投标需提供法定代表人资格证明书，委托代理人投标需提供法定代表人授权委托书。</w:t>
      </w:r>
    </w:p>
    <w:p w14:paraId="1E661F11">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58" w:firstLineChars="200"/>
        <w:textAlignment w:val="auto"/>
        <w:rPr>
          <w:rFonts w:hint="eastAsia" w:cs="仿宋"/>
          <w:b/>
          <w:bCs/>
          <w:spacing w:val="4"/>
          <w:sz w:val="27"/>
          <w:szCs w:val="27"/>
          <w:lang w:val="en-US" w:eastAsia="zh-CN"/>
        </w:rPr>
      </w:pPr>
      <w:r>
        <w:rPr>
          <w:rFonts w:hint="eastAsia" w:cs="仿宋"/>
          <w:b/>
          <w:bCs/>
          <w:spacing w:val="4"/>
          <w:sz w:val="27"/>
          <w:szCs w:val="27"/>
          <w:lang w:val="en-US" w:eastAsia="zh-CN"/>
        </w:rPr>
        <w:t>二、项目建设内容：</w:t>
      </w:r>
    </w:p>
    <w:p w14:paraId="78C9260E">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56" w:firstLineChars="200"/>
        <w:textAlignment w:val="auto"/>
        <w:rPr>
          <w:rFonts w:hint="eastAsia" w:cs="仿宋"/>
          <w:spacing w:val="4"/>
          <w:sz w:val="27"/>
          <w:szCs w:val="27"/>
          <w:lang w:val="en-US" w:eastAsia="zh-CN"/>
        </w:rPr>
      </w:pPr>
      <w:r>
        <w:rPr>
          <w:rFonts w:hint="eastAsia" w:cs="仿宋"/>
          <w:spacing w:val="4"/>
          <w:sz w:val="27"/>
          <w:szCs w:val="27"/>
          <w:lang w:val="en-US" w:eastAsia="zh-CN"/>
        </w:rPr>
        <w:t>1、初步设计包括但不限于室内装修、弱电、信息化、功能区设备应用效果及甲方根据实际工作提出的功能需求及所有设计内容及各专项工程的深化设计。</w:t>
      </w:r>
    </w:p>
    <w:p w14:paraId="13091764">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56" w:firstLineChars="200"/>
        <w:textAlignment w:val="auto"/>
        <w:rPr>
          <w:rFonts w:hint="eastAsia" w:cs="仿宋"/>
          <w:spacing w:val="4"/>
          <w:sz w:val="27"/>
          <w:szCs w:val="27"/>
          <w:lang w:val="en-US" w:eastAsia="zh-CN"/>
        </w:rPr>
      </w:pPr>
      <w:r>
        <w:rPr>
          <w:rFonts w:hint="eastAsia" w:cs="仿宋"/>
          <w:spacing w:val="4"/>
          <w:sz w:val="27"/>
          <w:szCs w:val="27"/>
          <w:lang w:val="en-US" w:eastAsia="zh-CN"/>
        </w:rPr>
        <w:t>2、施工图设计包括室内装修、弱电、设备功能应用效果等本工程的一切设计。 (以上范围及内容费用均已含在投标报价中，不另行计取)。</w:t>
      </w:r>
    </w:p>
    <w:p w14:paraId="05DC796B">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56" w:firstLineChars="200"/>
        <w:textAlignment w:val="auto"/>
        <w:rPr>
          <w:rFonts w:hint="default" w:cs="仿宋"/>
          <w:spacing w:val="4"/>
          <w:sz w:val="27"/>
          <w:szCs w:val="27"/>
          <w:lang w:val="en-US" w:eastAsia="zh-CN"/>
        </w:rPr>
      </w:pPr>
      <w:r>
        <w:rPr>
          <w:rFonts w:hint="eastAsia" w:cs="仿宋"/>
          <w:spacing w:val="4"/>
          <w:sz w:val="27"/>
          <w:szCs w:val="27"/>
          <w:lang w:val="en-US" w:eastAsia="zh-CN"/>
        </w:rPr>
        <w:t>3、专业执法功能区、受立案中心设计（具体设计规范及要求在投标人现场踏勘时由甲方提供）。</w:t>
      </w:r>
    </w:p>
    <w:p w14:paraId="22302365">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58" w:firstLineChars="200"/>
        <w:textAlignment w:val="auto"/>
        <w:rPr>
          <w:rFonts w:hint="eastAsia" w:cs="仿宋"/>
          <w:b/>
          <w:bCs/>
          <w:spacing w:val="4"/>
          <w:sz w:val="27"/>
          <w:szCs w:val="27"/>
          <w:lang w:val="en-US" w:eastAsia="zh-CN"/>
        </w:rPr>
      </w:pPr>
      <w:r>
        <w:rPr>
          <w:rFonts w:hint="eastAsia" w:cs="仿宋"/>
          <w:b/>
          <w:bCs/>
          <w:spacing w:val="4"/>
          <w:sz w:val="27"/>
          <w:szCs w:val="27"/>
          <w:lang w:val="en-US" w:eastAsia="zh-CN"/>
        </w:rPr>
        <w:t>三、其他要求：</w:t>
      </w:r>
    </w:p>
    <w:p w14:paraId="0EAB88FB">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56" w:firstLineChars="200"/>
        <w:textAlignment w:val="auto"/>
        <w:rPr>
          <w:rFonts w:hint="eastAsia" w:cs="仿宋"/>
          <w:spacing w:val="4"/>
          <w:sz w:val="27"/>
          <w:szCs w:val="27"/>
          <w:lang w:val="en-US" w:eastAsia="zh-CN"/>
        </w:rPr>
      </w:pPr>
      <w:r>
        <w:rPr>
          <w:rFonts w:hint="eastAsia" w:cs="仿宋"/>
          <w:spacing w:val="4"/>
          <w:sz w:val="27"/>
          <w:szCs w:val="27"/>
          <w:lang w:val="en-US" w:eastAsia="zh-CN"/>
        </w:rPr>
        <w:t>1、拟派出担任本设计项目负责人必须为投标企业正式员工（提供近3个月有效社保证明）。</w:t>
      </w:r>
    </w:p>
    <w:p w14:paraId="36A9D503">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56" w:firstLineChars="200"/>
        <w:textAlignment w:val="auto"/>
        <w:rPr>
          <w:rFonts w:hint="eastAsia" w:cs="仿宋"/>
          <w:spacing w:val="4"/>
          <w:sz w:val="27"/>
          <w:szCs w:val="27"/>
          <w:highlight w:val="none"/>
          <w:lang w:val="en-US" w:eastAsia="zh-CN"/>
        </w:rPr>
      </w:pPr>
      <w:r>
        <w:rPr>
          <w:rFonts w:hint="eastAsia" w:cs="仿宋"/>
          <w:spacing w:val="4"/>
          <w:sz w:val="27"/>
          <w:szCs w:val="27"/>
          <w:highlight w:val="none"/>
          <w:lang w:val="en-US" w:eastAsia="zh-CN"/>
        </w:rPr>
        <w:t>2、参加活动前3年内，在经营活动中没有重大违法记录，投标企业需提供“信用中国”、“中国政府采购网”无违法违规行为的查询记录。（投标人须出具企业及法定代表人无重大违法记录承诺书）。</w:t>
      </w:r>
    </w:p>
    <w:p w14:paraId="369D2E35">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56" w:firstLineChars="200"/>
        <w:textAlignment w:val="auto"/>
        <w:rPr>
          <w:rFonts w:hint="eastAsia" w:cs="仿宋"/>
          <w:spacing w:val="4"/>
          <w:sz w:val="27"/>
          <w:szCs w:val="27"/>
          <w:lang w:val="en-US" w:eastAsia="zh-CN"/>
        </w:rPr>
      </w:pPr>
      <w:r>
        <w:rPr>
          <w:rFonts w:hint="eastAsia" w:cs="仿宋"/>
          <w:spacing w:val="4"/>
          <w:sz w:val="27"/>
          <w:szCs w:val="27"/>
          <w:lang w:val="en-US" w:eastAsia="zh-CN"/>
        </w:rPr>
        <w:t>3、投标企业需提供年度财务审计报告（2022-2023任意一年）、完税证明、社保缴纳证明等材料。</w:t>
      </w:r>
    </w:p>
    <w:p w14:paraId="06F55EC2">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56" w:firstLineChars="200"/>
        <w:textAlignment w:val="auto"/>
        <w:rPr>
          <w:rFonts w:hint="eastAsia" w:cs="仿宋"/>
          <w:spacing w:val="4"/>
          <w:sz w:val="27"/>
          <w:szCs w:val="27"/>
          <w:highlight w:val="none"/>
          <w:lang w:val="en-US" w:eastAsia="zh-CN"/>
        </w:rPr>
      </w:pPr>
      <w:r>
        <w:rPr>
          <w:rFonts w:hint="eastAsia" w:cs="仿宋"/>
          <w:spacing w:val="4"/>
          <w:sz w:val="27"/>
          <w:szCs w:val="27"/>
          <w:highlight w:val="none"/>
          <w:lang w:val="en-US" w:eastAsia="zh-CN"/>
        </w:rPr>
        <w:t>4、投标报价：投标报价上线为项目中标价的2%。</w:t>
      </w:r>
    </w:p>
    <w:p w14:paraId="4A2D7B0D">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56" w:firstLineChars="200"/>
        <w:textAlignment w:val="auto"/>
        <w:rPr>
          <w:rFonts w:hint="eastAsia" w:cs="仿宋"/>
          <w:spacing w:val="4"/>
          <w:sz w:val="27"/>
          <w:szCs w:val="27"/>
          <w:lang w:val="en-US" w:eastAsia="zh-CN"/>
        </w:rPr>
      </w:pPr>
      <w:r>
        <w:rPr>
          <w:rFonts w:hint="eastAsia" w:cs="仿宋"/>
          <w:spacing w:val="4"/>
          <w:sz w:val="27"/>
          <w:szCs w:val="27"/>
          <w:lang w:val="en-US" w:eastAsia="zh-CN"/>
        </w:rPr>
        <w:t>5、提交的设计文件应符合有关主管部门制定的勘察设计标准、规范、规程、定额和办法的要求，并能够通过审查。</w:t>
      </w:r>
    </w:p>
    <w:p w14:paraId="7805D607">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56" w:firstLineChars="200"/>
        <w:textAlignment w:val="auto"/>
        <w:rPr>
          <w:rFonts w:hint="eastAsia" w:cs="仿宋"/>
          <w:spacing w:val="4"/>
          <w:sz w:val="27"/>
          <w:szCs w:val="27"/>
          <w:highlight w:val="none"/>
          <w:lang w:val="en-US" w:eastAsia="zh-CN"/>
        </w:rPr>
      </w:pPr>
      <w:r>
        <w:rPr>
          <w:rFonts w:hint="eastAsia" w:cs="仿宋"/>
          <w:spacing w:val="4"/>
          <w:sz w:val="27"/>
          <w:szCs w:val="27"/>
          <w:highlight w:val="none"/>
          <w:lang w:val="en-US" w:eastAsia="zh-CN"/>
        </w:rPr>
        <w:t>6、投标人提供全过程现场勘察、需求确认、提供设计图纸、初步设计方案编制（含概预算）、标准规范编制、技术交底、后续服务等服务。</w:t>
      </w:r>
    </w:p>
    <w:p w14:paraId="4885DB6F">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56" w:firstLineChars="200"/>
        <w:textAlignment w:val="auto"/>
        <w:rPr>
          <w:rFonts w:hint="eastAsia" w:cs="仿宋"/>
          <w:spacing w:val="4"/>
          <w:sz w:val="27"/>
          <w:szCs w:val="27"/>
          <w:highlight w:val="none"/>
          <w:lang w:val="en-US" w:eastAsia="zh-CN"/>
        </w:rPr>
      </w:pPr>
    </w:p>
    <w:p w14:paraId="7924BF56">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56" w:firstLineChars="200"/>
        <w:textAlignment w:val="auto"/>
        <w:rPr>
          <w:rFonts w:hint="eastAsia" w:cs="仿宋"/>
          <w:spacing w:val="4"/>
          <w:sz w:val="27"/>
          <w:szCs w:val="27"/>
          <w:lang w:val="en-US" w:eastAsia="zh-CN"/>
        </w:rPr>
      </w:pPr>
    </w:p>
    <w:p w14:paraId="1FAE79BB">
      <w:pPr>
        <w:pStyle w:val="3"/>
        <w:keepNext w:val="0"/>
        <w:keepLines w:val="0"/>
        <w:pageBreakBefore w:val="0"/>
        <w:widowControl/>
        <w:kinsoku w:val="0"/>
        <w:wordWrap/>
        <w:overflowPunct/>
        <w:topLinePunct w:val="0"/>
        <w:autoSpaceDE w:val="0"/>
        <w:autoSpaceDN w:val="0"/>
        <w:bidi w:val="0"/>
        <w:adjustRightInd w:val="0"/>
        <w:snapToGrid w:val="0"/>
        <w:spacing w:before="1" w:beforeAutospacing="0" w:afterAutospacing="0" w:line="560" w:lineRule="exact"/>
        <w:ind w:firstLine="556" w:firstLineChars="200"/>
        <w:textAlignment w:val="auto"/>
        <w:rPr>
          <w:rFonts w:hint="eastAsia" w:cs="仿宋"/>
          <w:spacing w:val="4"/>
          <w:sz w:val="27"/>
          <w:szCs w:val="27"/>
          <w:lang w:val="en-US" w:eastAsia="zh-CN"/>
        </w:rPr>
      </w:pPr>
    </w:p>
    <w:sectPr>
      <w:pgSz w:w="11560" w:h="16290"/>
      <w:pgMar w:top="1256" w:right="1690" w:bottom="0" w:left="1509" w:header="0" w:footer="0" w:gutter="0"/>
      <w:cols w:space="720" w:num="1"/>
      <w:docGrid w:linePitch="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86"/>
    <w:family w:val="decorative"/>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2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docVars>
    <w:docVar w:name="commondata" w:val="eyJoZGlkIjoiODFjZDAzOWM5ZGRkOTQ1N2VmZTU3MDcwN2M1MGE1N2YifQ=="/>
  </w:docVars>
  <w:rsids>
    <w:rsidRoot w:val="00000000"/>
    <w:rsid w:val="0150025E"/>
    <w:rsid w:val="035562AF"/>
    <w:rsid w:val="04626D45"/>
    <w:rsid w:val="06CF050F"/>
    <w:rsid w:val="07877E1F"/>
    <w:rsid w:val="08651F44"/>
    <w:rsid w:val="08DF069D"/>
    <w:rsid w:val="0A010E8C"/>
    <w:rsid w:val="13A6407E"/>
    <w:rsid w:val="1CF1525A"/>
    <w:rsid w:val="1D26436B"/>
    <w:rsid w:val="21D369EC"/>
    <w:rsid w:val="24720B5D"/>
    <w:rsid w:val="2685784A"/>
    <w:rsid w:val="292D03FC"/>
    <w:rsid w:val="30447BB4"/>
    <w:rsid w:val="340B4EF1"/>
    <w:rsid w:val="364539E0"/>
    <w:rsid w:val="39E135D3"/>
    <w:rsid w:val="3BC37E50"/>
    <w:rsid w:val="42334BE8"/>
    <w:rsid w:val="427368FE"/>
    <w:rsid w:val="45392515"/>
    <w:rsid w:val="48C12DCB"/>
    <w:rsid w:val="514A3787"/>
    <w:rsid w:val="58826F9B"/>
    <w:rsid w:val="595232E3"/>
    <w:rsid w:val="59816B33"/>
    <w:rsid w:val="59CC77BA"/>
    <w:rsid w:val="5E2551B0"/>
    <w:rsid w:val="5EB23621"/>
    <w:rsid w:val="654943D9"/>
    <w:rsid w:val="6CA3122D"/>
    <w:rsid w:val="6F556780"/>
    <w:rsid w:val="70FA7A03"/>
    <w:rsid w:val="72950DCB"/>
    <w:rsid w:val="73B81FA8"/>
    <w:rsid w:val="789B773D"/>
    <w:rsid w:val="78B305B7"/>
    <w:rsid w:val="7BED75D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beforeAutospacing="0" w:afterAutospacing="0" w:line="240" w:lineRule="auto"/>
      <w:jc w:val="left"/>
    </w:pPr>
    <w:rPr>
      <w:rFonts w:ascii="Arial" w:hAnsi="Arial" w:eastAsia="Arial" w:cs="Arial"/>
      <w:color w:val="000000"/>
      <w:kern w:val="0"/>
      <w:sz w:val="21"/>
      <w:szCs w:val="21"/>
      <w:lang w:val="en-US" w:eastAsia="en-US" w:bidi="ar-SA"/>
    </w:rPr>
  </w:style>
  <w:style w:type="character" w:default="1" w:styleId="7">
    <w:name w:val="Default Paragraph Font"/>
    <w:autoRedefine/>
    <w:semiHidden/>
    <w:qFormat/>
    <w:uiPriority w:val="0"/>
  </w:style>
  <w:style w:type="table" w:default="1" w:styleId="6">
    <w:name w:val="Normal Table"/>
    <w:autoRedefine/>
    <w:semiHidden/>
    <w:qFormat/>
    <w:uiPriority w:val="0"/>
    <w:tblPr>
      <w:tblCellMar>
        <w:top w:w="0" w:type="dxa"/>
        <w:left w:w="108" w:type="dxa"/>
        <w:bottom w:w="0" w:type="dxa"/>
        <w:right w:w="108" w:type="dxa"/>
      </w:tblCellMar>
    </w:tblPr>
  </w:style>
  <w:style w:type="paragraph" w:styleId="2">
    <w:name w:val="Normal Indent"/>
    <w:basedOn w:val="1"/>
    <w:next w:val="1"/>
    <w:autoRedefine/>
    <w:qFormat/>
    <w:uiPriority w:val="0"/>
    <w:pPr>
      <w:ind w:firstLine="420"/>
    </w:pPr>
    <w:rPr>
      <w:kern w:val="2"/>
      <w:sz w:val="21"/>
    </w:rPr>
  </w:style>
  <w:style w:type="paragraph" w:styleId="3">
    <w:name w:val="Body Text"/>
    <w:basedOn w:val="1"/>
    <w:autoRedefine/>
    <w:semiHidden/>
    <w:qFormat/>
    <w:uiPriority w:val="0"/>
    <w:rPr>
      <w:rFonts w:ascii="仿宋" w:hAnsi="仿宋" w:eastAsia="仿宋" w:cs="仿宋"/>
      <w:sz w:val="31"/>
      <w:szCs w:val="31"/>
      <w:lang w:val="en-US" w:eastAsia="en-US" w:bidi="ar-SA"/>
    </w:rPr>
  </w:style>
  <w:style w:type="paragraph" w:styleId="4">
    <w:name w:val="Body Text Indent"/>
    <w:basedOn w:val="1"/>
    <w:next w:val="1"/>
    <w:autoRedefine/>
    <w:qFormat/>
    <w:uiPriority w:val="0"/>
    <w:pPr>
      <w:widowControl/>
      <w:tabs>
        <w:tab w:val="left" w:pos="0"/>
        <w:tab w:val="left" w:pos="993"/>
        <w:tab w:val="left" w:pos="1134"/>
      </w:tabs>
      <w:adjustRightInd/>
      <w:spacing w:line="500" w:lineRule="exact"/>
      <w:ind w:firstLine="567"/>
      <w:textAlignment w:val="auto"/>
    </w:pPr>
    <w:rPr>
      <w:rFonts w:ascii="宋体"/>
      <w:sz w:val="28"/>
    </w:rPr>
  </w:style>
  <w:style w:type="paragraph" w:styleId="5">
    <w:name w:val="Body Text First Indent 2"/>
    <w:basedOn w:val="4"/>
    <w:autoRedefine/>
    <w:qFormat/>
    <w:uiPriority w:val="0"/>
    <w:pPr>
      <w:ind w:firstLine="200" w:firstLineChars="200"/>
    </w:pPr>
    <w:rPr>
      <w:rFonts w:ascii="Times New Roman" w:hAnsi="Times New Roman"/>
      <w:szCs w:val="24"/>
    </w:rPr>
  </w:style>
  <w:style w:type="paragraph" w:customStyle="1" w:styleId="8">
    <w:name w:val="NormalIndent"/>
    <w:basedOn w:val="1"/>
    <w:autoRedefine/>
    <w:qFormat/>
    <w:uiPriority w:val="99"/>
    <w:pPr>
      <w:ind w:firstLine="680"/>
    </w:pPr>
    <w:rPr>
      <w:rFonts w:eastAsia="楷体_GB2312"/>
      <w:sz w:val="32"/>
    </w:rPr>
  </w:style>
  <w:style w:type="table" w:customStyle="1" w:styleId="9">
    <w:name w:val="Table Normal"/>
    <w:autoRedefine/>
    <w:semiHidden/>
    <w:unhideWhenUsed/>
    <w:qFormat/>
    <w:uiPriority w:val="0"/>
    <w:tblPr>
      <w:tblCellMar>
        <w:top w:w="0" w:type="dxa"/>
        <w:left w:w="0" w:type="dxa"/>
        <w:bottom w:w="0" w:type="dxa"/>
        <w:right w:w="0" w:type="dxa"/>
      </w:tblCellMar>
    </w:tblPr>
  </w:style>
  <w:style w:type="paragraph" w:customStyle="1" w:styleId="10">
    <w:name w:val="Table Text"/>
    <w:basedOn w:val="1"/>
    <w:autoRedefine/>
    <w:semiHidden/>
    <w:qFormat/>
    <w:uiPriority w:val="0"/>
    <w:rPr>
      <w:rFonts w:ascii="宋体" w:hAnsi="宋体" w:eastAsia="宋体" w:cs="宋体"/>
      <w:sz w:val="24"/>
      <w:szCs w:val="24"/>
      <w:lang w:val="en-US" w:eastAsia="en-US" w:bidi="ar-SA"/>
    </w:rPr>
  </w:style>
  <w:style w:type="paragraph" w:customStyle="1" w:styleId="11">
    <w:name w:val="无间隔1"/>
    <w:autoRedefine/>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satMod val="300000"/>
                <a:tint val="50000"/>
              </a:schemeClr>
            </a:gs>
            <a:gs pos="35000">
              <a:schemeClr val="phClr">
                <a:satMod val="300000"/>
                <a:tint val="37000"/>
              </a:schemeClr>
            </a:gs>
            <a:gs pos="100000">
              <a:schemeClr val="phClr">
                <a:satMod val="350000"/>
                <a:tint val="15000"/>
              </a:schemeClr>
            </a:gs>
          </a:gsLst>
          <a:lin ang="16200000" scaled="1"/>
        </a:gradFill>
        <a:gradFill rotWithShape="1">
          <a:gsLst>
            <a:gs pos="0">
              <a:schemeClr val="phClr">
                <a:satMod val="130000"/>
                <a:shade val="51000"/>
              </a:schemeClr>
            </a:gs>
            <a:gs pos="80000">
              <a:schemeClr val="phClr">
                <a:satMod val="130000"/>
                <a:shade val="93000"/>
              </a:schemeClr>
            </a:gs>
            <a:gs pos="100000">
              <a:schemeClr val="phClr">
                <a:satMod val="135000"/>
                <a:shade val="94000"/>
              </a:schemeClr>
            </a:gs>
          </a:gsLst>
          <a:lin ang="16200000" scaled="0"/>
        </a:gradFill>
      </a:fillStyleLst>
      <a:lnStyleLst>
        <a:ln w="9525" cap="flat" cmpd="sng" algn="ctr">
          <a:solidFill>
            <a:schemeClr val="phClr">
              <a:satMod val="105000"/>
              <a:shade val="9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satMod val="350000"/>
                <a:tint val="40000"/>
              </a:schemeClr>
            </a:gs>
            <a:gs pos="40000">
              <a:schemeClr val="phClr">
                <a:satMod val="350000"/>
                <a:shade val="99000"/>
                <a:tint val="45000"/>
              </a:schemeClr>
            </a:gs>
            <a:gs pos="100000">
              <a:schemeClr val="phClr">
                <a:satMod val="255000"/>
                <a:shade val="20000"/>
              </a:schemeClr>
            </a:gs>
          </a:gsLst>
          <a:path path="circle">
            <a:fillToRect l="50000" t="-80000" r="50000" b="180000"/>
          </a:path>
        </a:gradFill>
        <a:gradFill rotWithShape="1">
          <a:gsLst>
            <a:gs pos="0">
              <a:schemeClr val="phClr">
                <a:satMod val="300000"/>
                <a:tint val="80000"/>
              </a:schemeClr>
            </a:gs>
            <a:gs pos="100000">
              <a:schemeClr val="phClr">
                <a:satMod val="200000"/>
                <a:shade val="3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2</Pages>
  <Words>921</Words>
  <Characters>934</Characters>
  <Lines>0</Lines>
  <Paragraphs>0</Paragraphs>
  <TotalTime>0</TotalTime>
  <ScaleCrop>false</ScaleCrop>
  <LinksUpToDate>false</LinksUpToDate>
  <CharactersWithSpaces>936</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2024-02-22T23:51:00Z</dcterms:created>
  <dc:creator>Kingsoft-PDF</dc:creator>
  <cp:lastModifiedBy>沐昕</cp:lastModifiedBy>
  <dcterms:modified xsi:type="dcterms:W3CDTF">2024-12-31T08:36:03Z</dcterms:modified>
  <dc:subject>pdfbuilder</dc:subject>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3F06BB8D6EF04CCC933D2D5F30C3B563_13</vt:lpwstr>
  </property>
  <property fmtid="{D5CDD505-2E9C-101B-9397-08002B2CF9AE}" pid="4" name="KSOTemplateDocerSaveRecord">
    <vt:lpwstr>eyJoZGlkIjoiYjk3ZWE3ZDA4NDcxZTQ3NDRiMjY0YmZkNzMzM2NkZDYiLCJ1c2VySWQiOiI0MTgxNTMwOTYifQ==</vt:lpwstr>
  </property>
</Properties>
</file>