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C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阿克苏地区康宁医院七氟丙烷灭火器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项目技术</w:t>
      </w:r>
    </w:p>
    <w:p w14:paraId="7E47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参数</w:t>
      </w:r>
    </w:p>
    <w:p w14:paraId="1749EE74"/>
    <w:p w14:paraId="09A5C67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1.项目基本情况：</w:t>
      </w:r>
    </w:p>
    <w:p w14:paraId="16ADABC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医院总配电室为（15*8*3）360立方米，按照《消防设施通用规范GB55036-2022》文件精神配置，具体详见清单。</w:t>
      </w:r>
    </w:p>
    <w:tbl>
      <w:tblPr>
        <w:tblStyle w:val="7"/>
        <w:tblW w:w="48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60"/>
        <w:gridCol w:w="4151"/>
        <w:gridCol w:w="696"/>
        <w:gridCol w:w="696"/>
      </w:tblGrid>
      <w:tr w14:paraId="1AE8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B01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七氟丙烷气体瓶组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QMP/120L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</w:t>
            </w:r>
          </w:p>
        </w:tc>
      </w:tr>
      <w:tr w14:paraId="1965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气体控制器开关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TX3042C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9CA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烟感，声光，手动报警按钮等设备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气体灭火控制主机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246F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消防控制室并机联网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符合消防标准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 w14:paraId="06E5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金属穿线管及报警线路铺设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符合消防标准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</w:tbl>
    <w:p w14:paraId="406298A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97828B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2.服务需求：</w:t>
      </w:r>
    </w:p>
    <w:p w14:paraId="5BF4E11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1.质保期2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年，(在质保期内如出现质量问题提供免费维修服务及更换),终身维护(质保期后若出现故障只收取零配件费）。</w:t>
      </w:r>
    </w:p>
    <w:p w14:paraId="77B4B25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2.本地储备充足的售后零配件，并保证长期供应，质保期后维修服务仅收取相关配件费用，且配件收取费用不高于原厂配件金额。</w:t>
      </w:r>
    </w:p>
    <w:p w14:paraId="375D95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3.包括售前免费设计、咨询、提供完善的方案；售中协助规划、培训指导操作人员的设备安装调试，为需方操作人员免费提供现场操作培训，为需方消防员免费提供技术培训；安装培训：到采购方指定地点免费安装、调试、人员培训，直到能独立操作。</w:t>
      </w:r>
    </w:p>
    <w:p w14:paraId="004E335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4.故障响应时间365*24小时，出现问题售后服务人员2小时内赶到现场，积极解决问题，并保证维修质量。</w:t>
      </w:r>
    </w:p>
    <w:p w14:paraId="637823B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5.需提供产品合格证、产品检验合格证、检验合格报告、施工方资质、消防检测及维保等相关资质。</w:t>
      </w:r>
    </w:p>
    <w:p w14:paraId="31F791B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6.产品有效期≥5年（提供证明材料）</w:t>
      </w:r>
    </w:p>
    <w:p w14:paraId="3479E8F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7.设备安装完工后，必须达到设备使用要求。设备必须与消防主机正常联动，起到迅速报警，自动启动并实施灭火，保障灭火区域全覆盖。</w:t>
      </w:r>
    </w:p>
    <w:p w14:paraId="361B4B0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8.270KG七氟丙烷灭火剂量，满足 360立方空间消防要求。厂家负责安装调试，由甲方确定的消防检测机构验收。所有的配套控制设施设备必须有国家消防3C认证，设备合格标志，年度有效标识，消防设备标识，二维码可追溯。铺设的管材、线材必须符合消防工程施工标准。在施工期间，施工方（乙方）负责对施工现场的安全管理，应设置安全警示标识，全程配备安全监管员负责安全管理。所有施工技术人员必须具有国家认可的相关技术和操作资质。如需动火，动电、动焊、动氧施工必须履行审批手续方能施工。</w:t>
      </w:r>
    </w:p>
    <w:p w14:paraId="7332D4F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5DDC2D-0449-46C8-B994-D914AF5C30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476F12-9E25-47AD-B98D-A898353334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D81EFD-587B-4BD7-B989-C1B3FE7FD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11E6"/>
    <w:rsid w:val="37C314DA"/>
    <w:rsid w:val="3D8B3F7F"/>
    <w:rsid w:val="5DF111E6"/>
    <w:rsid w:val="61B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2"/>
      <w:sz w:val="24"/>
      <w:szCs w:val="22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835</Characters>
  <Lines>0</Lines>
  <Paragraphs>0</Paragraphs>
  <TotalTime>2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2025-03-03T04:35:00Z</dcterms:created>
  <dc:creator>郭康生</dc:creator>
  <cp:lastModifiedBy>郭康生</cp:lastModifiedBy>
  <dcterms:modified xsi:type="dcterms:W3CDTF">2025-03-03T09:56:37Z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1620EAE014C141C9A4A61BCFFA9C2513_11</vt:lpwstr>
  </property>
  <property fmtid="{D5CDD505-2E9C-101B-9397-08002B2CF9AE}" pid="4" name="KSOTemplateDocerSaveRecord">
    <vt:lpwstr>eyJoZGlkIjoiOTgxZmY4NzgzODVmNmNkNjVkNjk4ZDc0MjU4OTAyM2QiLCJ1c2VySWQiOiI0MjM3NjQyNjQifQ==</vt:lpwstr>
  </property>
</Properties>
</file>