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16" w:rsidRDefault="00FF7181">
      <w:pPr>
        <w:overflowPunct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拜城县教育硬件基础建设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-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中小学运动场提升改造</w:t>
      </w:r>
    </w:p>
    <w:p w:rsidR="00407F16" w:rsidRDefault="00FF7181">
      <w:pPr>
        <w:overflowPunct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（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二期）</w:t>
      </w:r>
      <w:r w:rsidR="005F699A" w:rsidRPr="005F699A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采购需求及竞价要求</w:t>
      </w:r>
    </w:p>
    <w:p w:rsidR="00407F16" w:rsidRDefault="00FF7181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投标人投标前应认真阅读招标要求及说明上的所有内容，如果投标书不能满足招标说明的，责任由投标人自行承担。</w:t>
      </w:r>
    </w:p>
    <w:p w:rsidR="00407F16" w:rsidRDefault="00FF7181">
      <w:pPr>
        <w:pStyle w:val="a7"/>
        <w:overflowPunct w:val="0"/>
        <w:adjustRightInd w:val="0"/>
        <w:snapToGrid w:val="0"/>
        <w:spacing w:line="560" w:lineRule="exact"/>
        <w:ind w:firstLine="600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t>一、投标人须知：</w:t>
      </w:r>
    </w:p>
    <w:p w:rsidR="00407F16" w:rsidRDefault="00FF7181">
      <w:pPr>
        <w:overflowPunct w:val="0"/>
        <w:adjustRightInd w:val="0"/>
        <w:snapToGrid w:val="0"/>
        <w:spacing w:line="50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（一）项目名称：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拜城县教育硬件基础建设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-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中小学运动场提升改造</w:t>
      </w:r>
    </w:p>
    <w:p w:rsidR="00407F16" w:rsidRDefault="00FF7181">
      <w:pPr>
        <w:overflowPunct w:val="0"/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项目（二期）</w:t>
      </w:r>
    </w:p>
    <w:p w:rsidR="00407F16" w:rsidRDefault="00FF7181">
      <w:pPr>
        <w:pStyle w:val="a7"/>
        <w:overflowPunct w:val="0"/>
        <w:adjustRightInd w:val="0"/>
        <w:snapToGrid w:val="0"/>
        <w:spacing w:line="560" w:lineRule="exact"/>
        <w:ind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（二）项目概况：</w:t>
      </w:r>
      <w:r>
        <w:rPr>
          <w:rFonts w:ascii="Times New Roman" w:eastAsia="仿宋_GB2312" w:hAnsi="Times New Roman" w:cs="Times New Roman"/>
          <w:sz w:val="30"/>
          <w:szCs w:val="30"/>
        </w:rPr>
        <w:t>项目控制价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159564.64</w:t>
      </w:r>
      <w:r>
        <w:rPr>
          <w:rFonts w:ascii="Times New Roman" w:eastAsia="仿宋_GB2312" w:hAnsi="Times New Roman" w:cs="Times New Roman"/>
          <w:sz w:val="30"/>
          <w:szCs w:val="30"/>
        </w:rPr>
        <w:t>元，工程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内容为</w:t>
      </w:r>
      <w:r>
        <w:rPr>
          <w:rFonts w:ascii="Times New Roman" w:eastAsia="仿宋_GB2312" w:hAnsi="Times New Roman" w:cs="Times New Roman"/>
          <w:sz w:val="30"/>
          <w:szCs w:val="30"/>
        </w:rPr>
        <w:t>体育馆室内粉刷、更换室内场地硅</w:t>
      </w:r>
      <w:r>
        <w:rPr>
          <w:rFonts w:ascii="Times New Roman" w:eastAsia="仿宋_GB2312" w:hAnsi="Times New Roman" w:cs="Times New Roman"/>
          <w:sz w:val="30"/>
          <w:szCs w:val="30"/>
        </w:rPr>
        <w:t>PU</w:t>
      </w:r>
      <w:r>
        <w:rPr>
          <w:rFonts w:ascii="Times New Roman" w:eastAsia="仿宋_GB2312" w:hAnsi="Times New Roman" w:cs="Times New Roman"/>
          <w:sz w:val="30"/>
          <w:szCs w:val="30"/>
        </w:rPr>
        <w:t>地面，更换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断桥隔热</w:t>
      </w:r>
      <w:r>
        <w:rPr>
          <w:rFonts w:ascii="Times New Roman" w:eastAsia="仿宋_GB2312" w:hAnsi="Times New Roman" w:cs="Times New Roman"/>
          <w:sz w:val="30"/>
          <w:szCs w:val="30"/>
        </w:rPr>
        <w:t>门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等（详见工程量清单）</w:t>
      </w:r>
      <w:r>
        <w:rPr>
          <w:rFonts w:ascii="Times New Roman" w:eastAsia="仿宋_GB2312" w:hAnsi="Times New Roman" w:cs="Times New Roman"/>
          <w:sz w:val="30"/>
          <w:szCs w:val="30"/>
        </w:rPr>
        <w:t>，中标单位须完成清单上的所有工程内容。</w:t>
      </w:r>
    </w:p>
    <w:p w:rsidR="005F699A" w:rsidRDefault="005F699A" w:rsidP="005F699A">
      <w:pPr>
        <w:pStyle w:val="a7"/>
        <w:overflowPunct w:val="0"/>
        <w:adjustRightInd w:val="0"/>
        <w:snapToGrid w:val="0"/>
        <w:spacing w:line="560" w:lineRule="exact"/>
        <w:ind w:firstLine="602"/>
        <w:rPr>
          <w:rFonts w:ascii="仿宋_GB2312" w:eastAsia="仿宋_GB2312" w:hint="eastAsia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（三）资金来源：</w:t>
      </w:r>
      <w:proofErr w:type="gramStart"/>
      <w:r>
        <w:rPr>
          <w:rFonts w:ascii="仿宋_GB2312" w:eastAsia="仿宋_GB2312" w:hint="eastAsia"/>
          <w:sz w:val="30"/>
          <w:szCs w:val="30"/>
        </w:rPr>
        <w:t>援疆</w:t>
      </w:r>
      <w:r>
        <w:rPr>
          <w:rFonts w:ascii="仿宋_GB2312" w:eastAsia="仿宋_GB2312"/>
          <w:sz w:val="30"/>
          <w:szCs w:val="30"/>
        </w:rPr>
        <w:t>资金</w:t>
      </w:r>
      <w:proofErr w:type="gramEnd"/>
      <w:r>
        <w:rPr>
          <w:rFonts w:ascii="仿宋_GB2312" w:eastAsia="仿宋_GB2312" w:hint="eastAsia"/>
          <w:sz w:val="30"/>
          <w:szCs w:val="30"/>
        </w:rPr>
        <w:t>。</w:t>
      </w:r>
    </w:p>
    <w:p w:rsidR="005F699A" w:rsidRDefault="005F699A" w:rsidP="005F699A">
      <w:pPr>
        <w:pStyle w:val="a7"/>
        <w:overflowPunct w:val="0"/>
        <w:adjustRightInd w:val="0"/>
        <w:snapToGrid w:val="0"/>
        <w:spacing w:line="560" w:lineRule="exact"/>
        <w:ind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（四）获取文件和响应：</w:t>
      </w:r>
      <w:r>
        <w:rPr>
          <w:rFonts w:ascii="Times New Roman" w:eastAsia="楷体" w:hAnsi="Times New Roman" w:cs="Times New Roman"/>
          <w:sz w:val="30"/>
          <w:szCs w:val="30"/>
        </w:rPr>
        <w:t>在</w:t>
      </w:r>
      <w:r w:rsidRPr="00806D3C">
        <w:rPr>
          <w:rFonts w:ascii="Times New Roman" w:eastAsia="楷体" w:hAnsi="Times New Roman" w:cs="Times New Roman"/>
          <w:sz w:val="30"/>
          <w:szCs w:val="30"/>
        </w:rPr>
        <w:t>政</w:t>
      </w:r>
      <w:proofErr w:type="gramStart"/>
      <w:r w:rsidRPr="00806D3C">
        <w:rPr>
          <w:rFonts w:ascii="Times New Roman" w:eastAsia="楷体" w:hAnsi="Times New Roman" w:cs="Times New Roman"/>
          <w:sz w:val="30"/>
          <w:szCs w:val="30"/>
        </w:rPr>
        <w:t>采云</w:t>
      </w:r>
      <w:proofErr w:type="gramEnd"/>
      <w:r w:rsidRPr="00806D3C">
        <w:rPr>
          <w:rFonts w:ascii="Times New Roman" w:eastAsia="楷体" w:hAnsi="Times New Roman" w:cs="Times New Roman"/>
          <w:sz w:val="30"/>
          <w:szCs w:val="30"/>
        </w:rPr>
        <w:t>平台</w:t>
      </w:r>
      <w:r>
        <w:rPr>
          <w:rFonts w:ascii="Times New Roman" w:eastAsia="楷体" w:hAnsi="Times New Roman" w:cs="Times New Roman" w:hint="eastAsia"/>
          <w:sz w:val="30"/>
          <w:szCs w:val="30"/>
        </w:rPr>
        <w:t>-</w:t>
      </w:r>
      <w:r w:rsidRPr="00806D3C">
        <w:rPr>
          <w:rFonts w:ascii="Times New Roman" w:eastAsia="楷体" w:hAnsi="Times New Roman" w:cs="Times New Roman"/>
          <w:sz w:val="30"/>
          <w:szCs w:val="30"/>
        </w:rPr>
        <w:t>交易中心</w:t>
      </w:r>
      <w:r w:rsidRPr="00806D3C">
        <w:rPr>
          <w:rFonts w:ascii="Times New Roman" w:eastAsia="楷体" w:hAnsi="Times New Roman" w:cs="Times New Roman" w:hint="eastAsia"/>
          <w:sz w:val="30"/>
          <w:szCs w:val="30"/>
        </w:rPr>
        <w:t>-</w:t>
      </w:r>
      <w:r w:rsidRPr="00806D3C">
        <w:rPr>
          <w:rFonts w:ascii="Times New Roman" w:eastAsia="楷体" w:hAnsi="Times New Roman" w:cs="Times New Roman" w:hint="eastAsia"/>
          <w:sz w:val="30"/>
          <w:szCs w:val="30"/>
        </w:rPr>
        <w:t>竞价管理。</w:t>
      </w:r>
    </w:p>
    <w:p w:rsidR="005F699A" w:rsidRDefault="005F699A" w:rsidP="005F699A">
      <w:pPr>
        <w:pStyle w:val="a7"/>
        <w:overflowPunct w:val="0"/>
        <w:adjustRightInd w:val="0"/>
        <w:snapToGrid w:val="0"/>
        <w:spacing w:line="560" w:lineRule="exact"/>
        <w:ind w:firstLine="602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（五）投标资质：</w:t>
      </w:r>
    </w:p>
    <w:p w:rsidR="005F699A" w:rsidRDefault="005F699A" w:rsidP="005F699A">
      <w:pPr>
        <w:pStyle w:val="a7"/>
        <w:overflowPunct w:val="0"/>
        <w:adjustRightInd w:val="0"/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sz w:val="30"/>
          <w:szCs w:val="30"/>
        </w:rPr>
        <w:t>投标方须具备【施工总承包、建筑工程】三级（含三级）以上资质，并在人力、资金、信誉等方面具有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符合国家</w:t>
      </w:r>
      <w:r>
        <w:rPr>
          <w:rFonts w:ascii="Times New Roman" w:eastAsia="仿宋_GB2312" w:hAnsi="Times New Roman" w:cs="Times New Roman"/>
          <w:sz w:val="30"/>
          <w:szCs w:val="30"/>
        </w:rPr>
        <w:t>相应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要求</w:t>
      </w:r>
      <w:r>
        <w:rPr>
          <w:rFonts w:ascii="Times New Roman" w:eastAsia="仿宋_GB2312" w:hAnsi="Times New Roman" w:cs="Times New Roman"/>
          <w:sz w:val="30"/>
          <w:szCs w:val="30"/>
        </w:rPr>
        <w:t>的能力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5F699A" w:rsidRDefault="005F699A" w:rsidP="005F699A">
      <w:pPr>
        <w:pStyle w:val="a7"/>
        <w:overflowPunct w:val="0"/>
        <w:adjustRightInd w:val="0"/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sz w:val="30"/>
          <w:szCs w:val="30"/>
        </w:rPr>
        <w:t>满足《中华人民共和国政府采购法》第二十二条规定，须在投标文件投标函中添加如下附件（原件扫描件）：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）法人代表或其委托代理人应提供本人身份证原件，委托代理人还应提供《法人代表授权委托书》及法人和授权委托人的社保缴纳证明；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）提供有效的营业执照及资质证书；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）缴纳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社保证明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并加盖公章；</w:t>
      </w:r>
    </w:p>
    <w:p w:rsidR="005F699A" w:rsidRDefault="005F699A" w:rsidP="005F699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(4)</w:t>
      </w:r>
      <w:r>
        <w:rPr>
          <w:rFonts w:ascii="Times New Roman" w:eastAsia="仿宋_GB2312" w:hAnsi="Times New Roman" w:cs="Times New Roman"/>
          <w:sz w:val="30"/>
          <w:szCs w:val="30"/>
        </w:rPr>
        <w:t>法人代表或其委托代理人应提供本人身份证原件，委托代理人还应提供《法人代表授权委托书》及法人和授权委托人的社保缴纳证明；（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sz w:val="30"/>
          <w:szCs w:val="30"/>
        </w:rPr>
        <w:t>）投标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方供应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商须提供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信用中国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网站（</w:t>
      </w:r>
      <w:r>
        <w:rPr>
          <w:rFonts w:ascii="Times New Roman" w:eastAsia="仿宋_GB2312" w:hAnsi="Times New Roman" w:cs="Times New Roman"/>
          <w:sz w:val="30"/>
          <w:szCs w:val="30"/>
        </w:rPr>
        <w:t>http://www.creditchina.gov.cn/</w:t>
      </w:r>
      <w:r>
        <w:rPr>
          <w:rFonts w:ascii="Times New Roman" w:eastAsia="仿宋_GB2312" w:hAnsi="Times New Roman" w:cs="Times New Roman"/>
          <w:sz w:val="30"/>
          <w:szCs w:val="30"/>
        </w:rPr>
        <w:t>）和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中国政府采购网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网站（</w:t>
      </w:r>
      <w:r>
        <w:rPr>
          <w:rFonts w:ascii="Times New Roman" w:eastAsia="仿宋_GB2312" w:hAnsi="Times New Roman" w:cs="Times New Roman"/>
          <w:sz w:val="30"/>
          <w:szCs w:val="30"/>
        </w:rPr>
        <w:t>http://www.ccgp.gov.cn</w:t>
      </w:r>
      <w:r>
        <w:rPr>
          <w:rFonts w:ascii="Times New Roman" w:eastAsia="仿宋_GB2312" w:hAnsi="Times New Roman" w:cs="Times New Roman"/>
          <w:sz w:val="30"/>
          <w:szCs w:val="30"/>
        </w:rPr>
        <w:t>）无违法违规行为的查询记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录，若有违法失信行为记录，不得投标（尚在处罚期内的将被拒绝投标），投标方网上自行打印（以上资料须加盖投标方单位公章）；</w:t>
      </w: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sz w:val="30"/>
          <w:szCs w:val="30"/>
        </w:rPr>
        <w:t>）投标方须提供售后服务承诺书；（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）须上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传类似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业绩（政府采购的提供合同、成交</w:t>
      </w:r>
      <w:r>
        <w:rPr>
          <w:rFonts w:ascii="Times New Roman" w:eastAsia="仿宋_GB2312" w:hAnsi="Times New Roman" w:cs="Times New Roman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z w:val="30"/>
          <w:szCs w:val="30"/>
        </w:rPr>
        <w:t>中标</w:t>
      </w:r>
      <w:r>
        <w:rPr>
          <w:rFonts w:ascii="Times New Roman" w:eastAsia="仿宋_GB2312" w:hAnsi="Times New Roman" w:cs="Times New Roman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sz w:val="30"/>
          <w:szCs w:val="30"/>
        </w:rPr>
        <w:t>通知书，非政府采购的合同</w:t>
      </w:r>
      <w:r>
        <w:rPr>
          <w:rFonts w:ascii="Times New Roman" w:eastAsia="仿宋_GB2312" w:hAnsi="Times New Roman" w:cs="Times New Roman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z w:val="30"/>
          <w:szCs w:val="30"/>
        </w:rPr>
        <w:t>协议</w:t>
      </w:r>
      <w:r>
        <w:rPr>
          <w:rFonts w:ascii="Times New Roman" w:eastAsia="仿宋_GB2312" w:hAnsi="Times New Roman" w:cs="Times New Roman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sz w:val="30"/>
          <w:szCs w:val="30"/>
        </w:rPr>
        <w:t>、支付凭证）；（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>
        <w:rPr>
          <w:rFonts w:ascii="Times New Roman" w:eastAsia="仿宋_GB2312" w:hAnsi="Times New Roman" w:cs="Times New Roman"/>
          <w:sz w:val="30"/>
          <w:szCs w:val="30"/>
        </w:rPr>
        <w:t>）报价明细表（投标文件）；（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9</w:t>
      </w:r>
      <w:r>
        <w:rPr>
          <w:rFonts w:ascii="Times New Roman" w:eastAsia="仿宋_GB2312" w:hAnsi="Times New Roman" w:cs="Times New Roman"/>
          <w:sz w:val="30"/>
          <w:szCs w:val="30"/>
        </w:rPr>
        <w:t>）报价一览表；（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cs="Times New Roman"/>
          <w:sz w:val="30"/>
          <w:szCs w:val="30"/>
        </w:rPr>
        <w:t>）企业诚信及相关承诺函；（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11</w:t>
      </w:r>
      <w:r>
        <w:rPr>
          <w:rFonts w:ascii="Times New Roman" w:eastAsia="仿宋_GB2312" w:hAnsi="Times New Roman" w:cs="Times New Roman"/>
          <w:sz w:val="30"/>
          <w:szCs w:val="30"/>
        </w:rPr>
        <w:t>）投标人的资格证明文件；（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12</w:t>
      </w:r>
      <w:r>
        <w:rPr>
          <w:rFonts w:ascii="Times New Roman" w:eastAsia="仿宋_GB2312" w:hAnsi="Times New Roman" w:cs="Times New Roman"/>
          <w:sz w:val="30"/>
          <w:szCs w:val="30"/>
        </w:rPr>
        <w:t>）投标人基本情况表；（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13</w:t>
      </w:r>
      <w:r>
        <w:rPr>
          <w:rFonts w:ascii="Times New Roman" w:eastAsia="仿宋_GB2312" w:hAnsi="Times New Roman" w:cs="Times New Roman"/>
          <w:sz w:val="30"/>
          <w:szCs w:val="30"/>
        </w:rPr>
        <w:t>）中小企业声明函；</w:t>
      </w:r>
    </w:p>
    <w:p w:rsidR="005F699A" w:rsidRDefault="005F699A" w:rsidP="005F699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上述的部分上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传材料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由采购方提供模板，但投标方自行修改，语句要通顺，不能出现错别字。</w:t>
      </w:r>
      <w:r>
        <w:rPr>
          <w:rFonts w:ascii="Times New Roman" w:eastAsia="仿宋_GB2312" w:hAnsi="Times New Roman" w:cs="Times New Roman"/>
          <w:sz w:val="30"/>
          <w:szCs w:val="30"/>
        </w:rPr>
        <w:t>上述材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料必须加盖公章后以</w:t>
      </w:r>
      <w:r>
        <w:rPr>
          <w:rFonts w:ascii="Times New Roman" w:eastAsia="仿宋_GB2312" w:hAnsi="Times New Roman" w:cs="Times New Roman"/>
          <w:sz w:val="30"/>
          <w:szCs w:val="30"/>
        </w:rPr>
        <w:t>PDF</w:t>
      </w:r>
      <w:r>
        <w:rPr>
          <w:rFonts w:ascii="Times New Roman" w:eastAsia="仿宋_GB2312" w:hAnsi="Times New Roman" w:cs="Times New Roman"/>
          <w:sz w:val="30"/>
          <w:szCs w:val="30"/>
        </w:rPr>
        <w:t>格式上传（供应商响应附件中），上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传资料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不全、不清楚、不完整、漏项缺项等，一律视为未响应处理。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（六）工期要求：</w:t>
      </w:r>
      <w:r>
        <w:rPr>
          <w:rFonts w:ascii="Times New Roman" w:eastAsia="仿宋_GB2312" w:hAnsi="Times New Roman" w:cs="Times New Roman"/>
          <w:sz w:val="30"/>
          <w:szCs w:val="30"/>
        </w:rPr>
        <w:t>该项目施工期限为从签订合同起计算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sz w:val="30"/>
          <w:szCs w:val="30"/>
        </w:rPr>
        <w:t>，因施工方自身原因延后工期、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无按约定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工期内完成竣工验收的，超出每日扣除中标价</w:t>
      </w:r>
      <w:r>
        <w:rPr>
          <w:rFonts w:ascii="Times New Roman" w:eastAsia="仿宋_GB2312" w:hAnsi="Times New Roman" w:cs="Times New Roman"/>
          <w:sz w:val="30"/>
          <w:szCs w:val="30"/>
        </w:rPr>
        <w:t>0.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%</w:t>
      </w:r>
      <w:r>
        <w:rPr>
          <w:rFonts w:ascii="Times New Roman" w:eastAsia="仿宋_GB2312" w:hAnsi="Times New Roman" w:cs="Times New Roman"/>
          <w:sz w:val="30"/>
          <w:szCs w:val="30"/>
        </w:rPr>
        <w:t>的失约金。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（七）质保要求：</w:t>
      </w:r>
      <w:r>
        <w:rPr>
          <w:rFonts w:ascii="Times New Roman" w:eastAsia="仿宋_GB2312" w:hAnsi="Times New Roman" w:cs="Times New Roman"/>
          <w:sz w:val="30"/>
          <w:szCs w:val="30"/>
        </w:rPr>
        <w:t>该项目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工程</w:t>
      </w:r>
      <w:r>
        <w:rPr>
          <w:rFonts w:ascii="Times New Roman" w:eastAsia="仿宋_GB2312" w:hAnsi="Times New Roman" w:cs="Times New Roman"/>
          <w:sz w:val="30"/>
          <w:szCs w:val="30"/>
        </w:rPr>
        <w:t>质保期为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，工程保修期从工程竣工验收合格之日起算。中标单位在质保期限内，出现的工程质量问题要无条件维修维护，一般性质量问题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日之内，水电暖等紧急情况问题，半日之内须安排维修人员进行维修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若中标单位接到通知后，未按规定期限内不予维修或不愿维修的，甲方有权临时另寻他人维修，相应维修费用从项目质保金扣除并中标单位失约行为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呈报县住建部门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和财政主管部门申请列入违法失信黑名单处理。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（八）现场勘察：</w:t>
      </w:r>
      <w:r>
        <w:rPr>
          <w:rFonts w:ascii="Times New Roman" w:eastAsia="仿宋_GB2312" w:hAnsi="Times New Roman" w:cs="Times New Roman"/>
          <w:sz w:val="30"/>
          <w:szCs w:val="30"/>
        </w:rPr>
        <w:t>本工程不安排统一现场勘察。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（九）工程监理：</w:t>
      </w:r>
      <w:r>
        <w:rPr>
          <w:rFonts w:ascii="Times New Roman" w:eastAsia="仿宋_GB2312" w:hAnsi="Times New Roman" w:cs="Times New Roman"/>
          <w:sz w:val="30"/>
          <w:szCs w:val="30"/>
        </w:rPr>
        <w:t>本工程有监理全程监督，隐蔽工程经甲方和监理方确认通过后，方可进入下一步工序。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lastRenderedPageBreak/>
        <w:t>（十）竣工结算：</w:t>
      </w:r>
      <w:r>
        <w:rPr>
          <w:rFonts w:ascii="Times New Roman" w:eastAsia="仿宋_GB2312" w:hAnsi="Times New Roman" w:cs="Times New Roman"/>
          <w:sz w:val="30"/>
          <w:szCs w:val="30"/>
        </w:rPr>
        <w:t>本工程竣工验收合格后，由财政第三方审计公司进行竣工结算审计。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（十一）附加条款：</w:t>
      </w:r>
      <w:r>
        <w:rPr>
          <w:rFonts w:ascii="Times New Roman" w:eastAsia="仿宋_GB2312" w:hAnsi="Times New Roman" w:cs="Times New Roman"/>
          <w:sz w:val="30"/>
          <w:szCs w:val="30"/>
        </w:rPr>
        <w:t>开标顺利结束并公示期满后，中标方在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天内，将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中标</w:t>
      </w:r>
      <w:r>
        <w:rPr>
          <w:rFonts w:ascii="Times New Roman" w:eastAsia="仿宋_GB2312" w:hAnsi="Times New Roman" w:cs="Times New Roman"/>
          <w:sz w:val="30"/>
          <w:szCs w:val="30"/>
        </w:rPr>
        <w:t>通知书（原件）、营业执照、资质证书，法人代表授权委托书，合同起草等相关资料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提交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至</w:t>
      </w:r>
      <w:r>
        <w:rPr>
          <w:rFonts w:ascii="Times New Roman" w:eastAsia="仿宋_GB2312" w:hAnsi="Times New Roman" w:cs="Times New Roman"/>
          <w:sz w:val="30"/>
          <w:szCs w:val="30"/>
        </w:rPr>
        <w:t>教科局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发展规划办，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日之内完成签订工程合同。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 w:hint="eastAsia"/>
          <w:b/>
          <w:sz w:val="30"/>
          <w:szCs w:val="30"/>
        </w:rPr>
        <w:t>（十二）相关事宜答疑：</w:t>
      </w:r>
    </w:p>
    <w:p w:rsidR="005F699A" w:rsidRDefault="005F699A" w:rsidP="005F699A">
      <w:pPr>
        <w:pStyle w:val="a7"/>
        <w:overflowPunct w:val="0"/>
        <w:adjustRightInd w:val="0"/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1.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该项目整体面向中小企业。</w:t>
      </w:r>
    </w:p>
    <w:p w:rsidR="005F699A" w:rsidRDefault="005F699A" w:rsidP="005F699A">
      <w:pPr>
        <w:pStyle w:val="a7"/>
        <w:overflowPunct w:val="0"/>
        <w:adjustRightInd w:val="0"/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履约保证金：无。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二、其他相关事宜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（一）</w:t>
      </w:r>
      <w:r>
        <w:rPr>
          <w:rFonts w:ascii="Times New Roman" w:eastAsia="仿宋_GB2312" w:hAnsi="Times New Roman" w:cs="Times New Roman"/>
          <w:sz w:val="30"/>
          <w:szCs w:val="30"/>
        </w:rPr>
        <w:t>根据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中华人民共和国政府采购法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有关规定，该项目不得转包、转让、分包；也不得串标、陪标、恶性竞标。一旦被发现，按照相关法律法规严肃追究责任，并且报送至财政部门拉入黑名单处理，行为严重的报送至有关法律部门处理。直至建议有关部门吊销资质证书，给甲方带来的一切损失由乙方（投标方）承担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（二）</w:t>
      </w:r>
      <w:r>
        <w:rPr>
          <w:rFonts w:ascii="Times New Roman" w:eastAsia="仿宋_GB2312" w:hAnsi="Times New Roman" w:cs="Times New Roman"/>
          <w:sz w:val="30"/>
          <w:szCs w:val="30"/>
        </w:rPr>
        <w:t>严格遵守《中华人民共和国政府采购法实施条例》的第九条：在政府采购活动中，采购人员及相关人员与供应商有下列利害关系之一的，应当回避：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sz w:val="30"/>
          <w:szCs w:val="30"/>
        </w:rPr>
        <w:t>参加采购活动前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年内与供应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商存在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劳动关系；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sz w:val="30"/>
          <w:szCs w:val="30"/>
        </w:rPr>
        <w:t>参加采购活动前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年内担任供应商的董事、监事；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3.</w:t>
      </w:r>
      <w:r>
        <w:rPr>
          <w:rFonts w:ascii="Times New Roman" w:eastAsia="仿宋_GB2312" w:hAnsi="Times New Roman" w:cs="Times New Roman"/>
          <w:sz w:val="30"/>
          <w:szCs w:val="30"/>
        </w:rPr>
        <w:t>参加采购活动前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年内是供应商的控股股东或者实际控制人；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4.</w:t>
      </w:r>
      <w:r>
        <w:rPr>
          <w:rFonts w:ascii="Times New Roman" w:eastAsia="仿宋_GB2312" w:hAnsi="Times New Roman" w:cs="Times New Roman"/>
          <w:sz w:val="30"/>
          <w:szCs w:val="30"/>
        </w:rPr>
        <w:t>与供应商的法定代表人或者负责人有夫妻、直系血亲、三代以内旁系血亲或者近姻亲关系；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5.</w:t>
      </w:r>
      <w:r>
        <w:rPr>
          <w:rFonts w:ascii="Times New Roman" w:eastAsia="仿宋_GB2312" w:hAnsi="Times New Roman" w:cs="Times New Roman"/>
          <w:sz w:val="30"/>
          <w:szCs w:val="30"/>
        </w:rPr>
        <w:t>与供应商有其他可能影响政府采购活动公平、公正进行的关系。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若供应商认为采购人员及相关人员与其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他供应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商有利害关系的，可以</w:t>
      </w: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向采购人或者采购代理机构书面提出回避申请，并说明理由。采购人或者采购代理机构应当及时询问被申请回避人员，有利害关系的被申请回避人员应当回避。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（三）</w:t>
      </w:r>
      <w:r>
        <w:rPr>
          <w:rFonts w:ascii="Times New Roman" w:eastAsia="仿宋_GB2312" w:hAnsi="Times New Roman" w:cs="Times New Roman"/>
          <w:sz w:val="30"/>
          <w:szCs w:val="30"/>
        </w:rPr>
        <w:t>单位负责人为同一人或者存在控股、管理关系的不同投标单位，不得参加未划分标段的同一招标项目投标，违反前两款规定的，相关投标均无效。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（四）</w:t>
      </w:r>
      <w:r>
        <w:rPr>
          <w:rFonts w:ascii="Times New Roman" w:eastAsia="仿宋_GB2312" w:hAnsi="Times New Roman" w:cs="Times New Roman"/>
          <w:sz w:val="30"/>
          <w:szCs w:val="30"/>
        </w:rPr>
        <w:t>该项目不允许联合体投标。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（五）</w:t>
      </w:r>
      <w:r>
        <w:rPr>
          <w:rFonts w:ascii="Times New Roman" w:eastAsia="仿宋_GB2312" w:hAnsi="Times New Roman" w:cs="Times New Roman"/>
          <w:sz w:val="30"/>
          <w:szCs w:val="30"/>
        </w:rPr>
        <w:t>投标单位中标后，施工进场前将把参加施工人员身份证原件、劳务合同原件等材料要向公安、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人社等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相关部门进行备案登记。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（六）</w:t>
      </w:r>
      <w:r>
        <w:rPr>
          <w:rFonts w:ascii="Times New Roman" w:eastAsia="仿宋_GB2312" w:hAnsi="Times New Roman" w:cs="Times New Roman"/>
          <w:sz w:val="30"/>
          <w:szCs w:val="30"/>
        </w:rPr>
        <w:t>施工人员要身体健康，人品较好、无传染病病史，无犯罪记录，人员配置具有专业性，凡在施工期间，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校园</w:t>
      </w:r>
      <w:r>
        <w:rPr>
          <w:rFonts w:ascii="Times New Roman" w:eastAsia="仿宋_GB2312" w:hAnsi="Times New Roman" w:cs="Times New Roman"/>
          <w:sz w:val="30"/>
          <w:szCs w:val="30"/>
        </w:rPr>
        <w:t>内要服从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学校</w:t>
      </w:r>
      <w:r>
        <w:rPr>
          <w:rFonts w:ascii="Times New Roman" w:eastAsia="仿宋_GB2312" w:hAnsi="Times New Roman" w:cs="Times New Roman"/>
          <w:sz w:val="30"/>
          <w:szCs w:val="30"/>
        </w:rPr>
        <w:t>相关管理制度。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采购单位联系人：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尼亚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孜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·</w:t>
      </w:r>
      <w:r>
        <w:rPr>
          <w:rFonts w:ascii="Times New Roman" w:eastAsia="仿宋_GB2312" w:hAnsi="Times New Roman" w:cs="Times New Roman"/>
          <w:sz w:val="30"/>
          <w:szCs w:val="30"/>
        </w:rPr>
        <w:t>托合提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联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系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电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话：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0997-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8629287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15003033605</w:t>
      </w:r>
      <w:proofErr w:type="gramEnd"/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电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子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邮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箱：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907834372@qq.com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拜城县财政局采购办：</w:t>
      </w:r>
      <w:r>
        <w:rPr>
          <w:rFonts w:ascii="Times New Roman" w:eastAsia="仿宋_GB2312" w:hAnsi="Times New Roman" w:cs="Times New Roman"/>
          <w:sz w:val="30"/>
          <w:szCs w:val="30"/>
        </w:rPr>
        <w:t>0997-8623036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5F699A" w:rsidRDefault="005F699A" w:rsidP="005F699A">
      <w:pPr>
        <w:overflowPunct w:val="0"/>
        <w:adjustRightInd w:val="0"/>
        <w:snapToGrid w:val="0"/>
        <w:spacing w:line="560" w:lineRule="exact"/>
        <w:ind w:rightChars="300" w:right="630"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拜城县教育局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</w:t>
      </w:r>
    </w:p>
    <w:p w:rsidR="00407F16" w:rsidRDefault="005F699A" w:rsidP="005F699A">
      <w:pPr>
        <w:pStyle w:val="a7"/>
        <w:overflowPunct w:val="0"/>
        <w:adjustRightInd w:val="0"/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2024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23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sectPr w:rsidR="00407F16" w:rsidSect="005F699A">
      <w:footerReference w:type="default" r:id="rId8"/>
      <w:pgSz w:w="11906" w:h="16838"/>
      <w:pgMar w:top="1418" w:right="1134" w:bottom="1418" w:left="1134" w:header="0" w:footer="1418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81" w:rsidRDefault="00FF7181">
      <w:r>
        <w:separator/>
      </w:r>
    </w:p>
  </w:endnote>
  <w:endnote w:type="continuationSeparator" w:id="0">
    <w:p w:rsidR="00FF7181" w:rsidRDefault="00FF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16" w:rsidRDefault="00FF71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773F00" wp14:editId="2CB8C23C">
              <wp:simplePos x="0" y="0"/>
              <wp:positionH relativeFrom="margin">
                <wp:align>outside</wp:align>
              </wp:positionH>
              <wp:positionV relativeFrom="paragraph">
                <wp:posOffset>-15240</wp:posOffset>
              </wp:positionV>
              <wp:extent cx="1106805" cy="454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454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7F16" w:rsidRDefault="00FF7181">
                          <w:pPr>
                            <w:pStyle w:val="a4"/>
                            <w:ind w:rightChars="200" w:right="420"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699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5.95pt;margin-top:-1.2pt;width:87.15pt;height:35.8pt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" filled="f" stroked="f" strokeweight=".5pt">
              <v:textbox inset="0,0,0,0">
                <w:txbxContent>
                  <w:p w:rsidR="00407F16" w:rsidRDefault="00FF7181">
                    <w:pPr>
                      <w:pStyle w:val="a4"/>
                      <w:ind w:rightChars="200" w:right="420"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F699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81" w:rsidRDefault="00FF7181">
      <w:r>
        <w:separator/>
      </w:r>
    </w:p>
  </w:footnote>
  <w:footnote w:type="continuationSeparator" w:id="0">
    <w:p w:rsidR="00FF7181" w:rsidRDefault="00FF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C1"/>
    <w:rsid w:val="00033B1A"/>
    <w:rsid w:val="00094348"/>
    <w:rsid w:val="00095C4A"/>
    <w:rsid w:val="000B002F"/>
    <w:rsid w:val="000D1F9D"/>
    <w:rsid w:val="0016181C"/>
    <w:rsid w:val="00193CC8"/>
    <w:rsid w:val="001A39FE"/>
    <w:rsid w:val="001B66A4"/>
    <w:rsid w:val="001D55C0"/>
    <w:rsid w:val="001F5C61"/>
    <w:rsid w:val="002030BE"/>
    <w:rsid w:val="0023046E"/>
    <w:rsid w:val="002C7943"/>
    <w:rsid w:val="002C7A29"/>
    <w:rsid w:val="002D3958"/>
    <w:rsid w:val="002F595B"/>
    <w:rsid w:val="00312CC1"/>
    <w:rsid w:val="003663E9"/>
    <w:rsid w:val="003A7BE8"/>
    <w:rsid w:val="00407F16"/>
    <w:rsid w:val="004126D6"/>
    <w:rsid w:val="004922B6"/>
    <w:rsid w:val="00493EC2"/>
    <w:rsid w:val="004E6274"/>
    <w:rsid w:val="005302AD"/>
    <w:rsid w:val="00564CD8"/>
    <w:rsid w:val="00591241"/>
    <w:rsid w:val="005F699A"/>
    <w:rsid w:val="006343D8"/>
    <w:rsid w:val="00643B0F"/>
    <w:rsid w:val="006D11FD"/>
    <w:rsid w:val="00705466"/>
    <w:rsid w:val="00713D70"/>
    <w:rsid w:val="00777E78"/>
    <w:rsid w:val="007858A3"/>
    <w:rsid w:val="00794C95"/>
    <w:rsid w:val="007B5B76"/>
    <w:rsid w:val="008705DF"/>
    <w:rsid w:val="0093022B"/>
    <w:rsid w:val="00942B9C"/>
    <w:rsid w:val="00945155"/>
    <w:rsid w:val="00947798"/>
    <w:rsid w:val="00986420"/>
    <w:rsid w:val="009B7553"/>
    <w:rsid w:val="009D6BB7"/>
    <w:rsid w:val="00A86C1B"/>
    <w:rsid w:val="00AA056C"/>
    <w:rsid w:val="00B039DF"/>
    <w:rsid w:val="00B047F2"/>
    <w:rsid w:val="00B27EE3"/>
    <w:rsid w:val="00B93A01"/>
    <w:rsid w:val="00BD3AB2"/>
    <w:rsid w:val="00BD7793"/>
    <w:rsid w:val="00BF64EE"/>
    <w:rsid w:val="00C06EB2"/>
    <w:rsid w:val="00C408F9"/>
    <w:rsid w:val="00CB1E70"/>
    <w:rsid w:val="00D64F0A"/>
    <w:rsid w:val="00D82A40"/>
    <w:rsid w:val="00DA2691"/>
    <w:rsid w:val="00E06F08"/>
    <w:rsid w:val="00E40276"/>
    <w:rsid w:val="00E954EF"/>
    <w:rsid w:val="00EB0FD1"/>
    <w:rsid w:val="00FA16A8"/>
    <w:rsid w:val="00FB72F4"/>
    <w:rsid w:val="00FD6198"/>
    <w:rsid w:val="00FE039D"/>
    <w:rsid w:val="00FE7613"/>
    <w:rsid w:val="00FF7181"/>
    <w:rsid w:val="034A45E0"/>
    <w:rsid w:val="038E43E7"/>
    <w:rsid w:val="03CA0F5A"/>
    <w:rsid w:val="09CE3AA3"/>
    <w:rsid w:val="0ED335EF"/>
    <w:rsid w:val="125B226F"/>
    <w:rsid w:val="14BF5635"/>
    <w:rsid w:val="15E3193A"/>
    <w:rsid w:val="160D31ED"/>
    <w:rsid w:val="19417F6B"/>
    <w:rsid w:val="19814B43"/>
    <w:rsid w:val="1A931F75"/>
    <w:rsid w:val="1DA83B7B"/>
    <w:rsid w:val="1EB32300"/>
    <w:rsid w:val="24A8298F"/>
    <w:rsid w:val="27CF5C0B"/>
    <w:rsid w:val="2B847733"/>
    <w:rsid w:val="302F721A"/>
    <w:rsid w:val="32001BE1"/>
    <w:rsid w:val="37E475FA"/>
    <w:rsid w:val="392F16F9"/>
    <w:rsid w:val="3A656A1C"/>
    <w:rsid w:val="3D49651B"/>
    <w:rsid w:val="3DBC1A71"/>
    <w:rsid w:val="451828D7"/>
    <w:rsid w:val="45280162"/>
    <w:rsid w:val="455D2FF9"/>
    <w:rsid w:val="46BF7C55"/>
    <w:rsid w:val="46D8306C"/>
    <w:rsid w:val="471767EB"/>
    <w:rsid w:val="4794741B"/>
    <w:rsid w:val="4D174E5A"/>
    <w:rsid w:val="4D8C251A"/>
    <w:rsid w:val="4DF223BD"/>
    <w:rsid w:val="512402F9"/>
    <w:rsid w:val="573F57D6"/>
    <w:rsid w:val="57BA1E31"/>
    <w:rsid w:val="595346C7"/>
    <w:rsid w:val="5955287B"/>
    <w:rsid w:val="59E3397C"/>
    <w:rsid w:val="5B5E7490"/>
    <w:rsid w:val="641E3CC1"/>
    <w:rsid w:val="69243DCB"/>
    <w:rsid w:val="69954BB9"/>
    <w:rsid w:val="6EAB7EC2"/>
    <w:rsid w:val="71AA6392"/>
    <w:rsid w:val="729E0FF9"/>
    <w:rsid w:val="72A46BFD"/>
    <w:rsid w:val="72BC182A"/>
    <w:rsid w:val="73F32BA7"/>
    <w:rsid w:val="74B95CE0"/>
    <w:rsid w:val="751D41CD"/>
    <w:rsid w:val="76787CA6"/>
    <w:rsid w:val="77DD2062"/>
    <w:rsid w:val="7A9A07C9"/>
    <w:rsid w:val="7D053A49"/>
    <w:rsid w:val="7E97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8">
    <w:name w:val="缺省文本"/>
    <w:qFormat/>
    <w:pPr>
      <w:widowControl w:val="0"/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8">
    <w:name w:val="缺省文本"/>
    <w:qFormat/>
    <w:pPr>
      <w:widowControl w:val="0"/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2024-07-02T11:08:00Z</cp:lastPrinted>
  <dcterms:created xsi:type="dcterms:W3CDTF">2021-10-01T02:10:00Z</dcterms:created>
  <dcterms:modified xsi:type="dcterms:W3CDTF">2024-07-23T11:20:00Z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5E904FA524D1414692668553F1635E91</vt:lpwstr>
  </property>
</Properties>
</file>