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lang w:val="en-US" w:eastAsia="zh-CN"/>
        </w:rPr>
        <w:t>妇幼专科</w:t>
      </w:r>
      <w:r>
        <w:rPr>
          <w:rFonts w:hint="eastAsia"/>
          <w:b/>
          <w:bCs/>
          <w:sz w:val="32"/>
          <w:szCs w:val="32"/>
        </w:rPr>
        <w:t>系统招标参数</w:t>
      </w:r>
    </w:p>
    <w:p>
      <w:pPr>
        <w:pStyle w:val="2"/>
        <w:bidi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1使用说明</w:t>
      </w:r>
    </w:p>
    <w:p>
      <w:pPr>
        <w:widowControl/>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A. 本文档所列招标参数，均为常规情况，因项目需求、应用规划、竞争对手等不同，需要做调整，切记。 </w:t>
      </w:r>
    </w:p>
    <w:p>
      <w:pPr>
        <w:widowControl/>
        <w:jc w:val="left"/>
        <w:rPr>
          <w:rFonts w:hint="eastAsia"/>
          <w:b/>
          <w:bCs/>
          <w:color w:val="000000" w:themeColor="text1"/>
          <w:sz w:val="44"/>
          <w:szCs w:val="44"/>
          <w14:textFill>
            <w14:solidFill>
              <w14:schemeClr w14:val="tx1"/>
            </w14:solidFill>
          </w14:textFill>
        </w:rPr>
      </w:pPr>
      <w:r>
        <w:rPr>
          <w:rFonts w:ascii="宋体" w:hAnsi="宋体"/>
          <w:color w:val="000000" w:themeColor="text1"/>
          <w:sz w:val="24"/>
          <w:szCs w:val="24"/>
          <w14:textFill>
            <w14:solidFill>
              <w14:schemeClr w14:val="tx1"/>
            </w14:solidFill>
          </w14:textFill>
        </w:rPr>
        <w:t>B</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本文档所列带</w:t>
      </w:r>
      <w:bookmarkStart w:id="0" w:name="OLE_LINK1"/>
      <w:r>
        <w:rPr>
          <w:rFonts w:hint="eastAsia" w:ascii="微软雅黑" w:hAnsi="微软雅黑" w:eastAsia="微软雅黑"/>
          <w:b/>
          <w:bCs/>
          <w:sz w:val="21"/>
          <w:szCs w:val="21"/>
        </w:rPr>
        <w:t>▲</w:t>
      </w:r>
      <w:bookmarkEnd w:id="0"/>
      <w:r>
        <w:rPr>
          <w:rFonts w:hint="eastAsia" w:ascii="宋体" w:hAnsi="宋体"/>
          <w:color w:val="000000" w:themeColor="text1"/>
          <w:sz w:val="24"/>
          <w:szCs w:val="24"/>
          <w14:textFill>
            <w14:solidFill>
              <w14:schemeClr w14:val="tx1"/>
            </w14:solidFill>
          </w14:textFill>
        </w:rPr>
        <w:t>内容，为重点功能，标注带</w:t>
      </w:r>
      <w:r>
        <w:rPr>
          <w:rFonts w:hint="eastAsia" w:ascii="微软雅黑" w:hAnsi="微软雅黑" w:eastAsia="微软雅黑"/>
          <w:b/>
          <w:bCs/>
          <w:sz w:val="21"/>
          <w:szCs w:val="21"/>
        </w:rPr>
        <w:t>▲</w:t>
      </w:r>
      <w:r>
        <w:rPr>
          <w:rFonts w:hint="eastAsia" w:ascii="宋体" w:hAnsi="宋体"/>
          <w:color w:val="000000" w:themeColor="text1"/>
          <w:sz w:val="24"/>
          <w:szCs w:val="24"/>
          <w14:textFill>
            <w14:solidFill>
              <w14:schemeClr w14:val="tx1"/>
            </w14:solidFill>
          </w14:textFill>
        </w:rPr>
        <w:t>功能必须全部满足</w:t>
      </w:r>
    </w:p>
    <w:p>
      <w:pPr>
        <w:pStyle w:val="3"/>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2、技术要求</w:t>
      </w:r>
    </w:p>
    <w:tbl>
      <w:tblPr>
        <w:tblStyle w:val="15"/>
        <w:tblW w:w="0" w:type="auto"/>
        <w:jc w:val="center"/>
        <w:tblLayout w:type="autofit"/>
        <w:tblCellMar>
          <w:top w:w="0" w:type="dxa"/>
          <w:left w:w="108" w:type="dxa"/>
          <w:bottom w:w="0" w:type="dxa"/>
          <w:right w:w="108" w:type="dxa"/>
        </w:tblCellMar>
      </w:tblPr>
      <w:tblGrid>
        <w:gridCol w:w="1176"/>
        <w:gridCol w:w="1018"/>
        <w:gridCol w:w="2060"/>
        <w:gridCol w:w="4268"/>
      </w:tblGrid>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vAlign w:val="bottom"/>
          </w:tcPr>
          <w:p>
            <w:pPr>
              <w:widowControl/>
              <w:textAlignment w:val="bottom"/>
              <w:rPr>
                <w:rFonts w:hint="eastAsia" w:ascii="宋体" w:hAnsi="宋体" w:cs="宋体"/>
                <w:color w:val="000000"/>
                <w:sz w:val="24"/>
              </w:rPr>
            </w:pPr>
            <w:r>
              <w:rPr>
                <w:rFonts w:hint="eastAsia" w:ascii="宋体" w:hAnsi="宋体" w:eastAsia="宋体" w:cs="宋体"/>
                <w:color w:val="000000"/>
                <w:kern w:val="0"/>
                <w:sz w:val="24"/>
                <w:lang w:bidi="ar"/>
              </w:rPr>
              <w:t>模块</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子模块</w:t>
            </w:r>
          </w:p>
        </w:tc>
        <w:tc>
          <w:tcPr>
            <w:tcW w:w="0" w:type="auto"/>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cs="宋体"/>
                <w:color w:val="000000"/>
                <w:sz w:val="24"/>
              </w:rPr>
            </w:pPr>
            <w:r>
              <w:rPr>
                <w:rFonts w:hint="eastAsia" w:ascii="宋体" w:hAnsi="宋体" w:eastAsia="宋体" w:cs="宋体"/>
                <w:color w:val="000000"/>
                <w:kern w:val="0"/>
                <w:sz w:val="24"/>
                <w:lang w:bidi="ar"/>
              </w:rPr>
              <w:t>功能说明</w:t>
            </w:r>
          </w:p>
        </w:tc>
      </w:tr>
      <w:tr>
        <w:tblPrEx>
          <w:tblCellMar>
            <w:top w:w="0" w:type="dxa"/>
            <w:left w:w="108" w:type="dxa"/>
            <w:bottom w:w="0" w:type="dxa"/>
            <w:right w:w="108" w:type="dxa"/>
          </w:tblCellMar>
        </w:tblPrEx>
        <w:trPr>
          <w:trHeight w:val="7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妇幼专项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产前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产科入院评估单</w:t>
            </w:r>
          </w:p>
        </w:tc>
        <w:tc>
          <w:tcPr>
            <w:tcW w:w="0" w:type="auto"/>
            <w:tcBorders>
              <w:top w:val="single" w:color="000000" w:sz="4" w:space="0"/>
              <w:left w:val="single" w:color="000000" w:sz="4" w:space="0"/>
              <w:bottom w:val="single" w:color="000000" w:sz="4" w:space="0"/>
              <w:right w:val="single" w:color="000000" w:sz="4" w:space="0"/>
            </w:tcBorders>
            <w:vAlign w:val="bottom"/>
          </w:tcPr>
          <w:p>
            <w:pPr>
              <w:widowControl/>
              <w:textAlignment w:val="bottom"/>
              <w:rPr>
                <w:rFonts w:hint="eastAsia" w:ascii="宋体" w:hAnsi="宋体" w:cs="宋体"/>
                <w:color w:val="000000"/>
                <w:sz w:val="24"/>
              </w:rPr>
            </w:pPr>
            <w:r>
              <w:rPr>
                <w:rFonts w:hint="eastAsia" w:ascii="宋体" w:hAnsi="宋体" w:eastAsia="宋体" w:cs="宋体"/>
                <w:color w:val="000000"/>
                <w:kern w:val="0"/>
                <w:sz w:val="24"/>
                <w:lang w:bidi="ar"/>
              </w:rPr>
              <w:t>针对产科特色提供方便护士操作并且符合国家护理电子病历文书标准的产科入院评估单，在患者入院当天进行评估</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产科告知书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根据医院规定，提供产科告知书</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产前护理记录单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产妇产前护理信息记录，支持查询、编辑、打印功能</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产科转运交接单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产妇转运过程的信息记录，支持支持查询、编辑、打印功能</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产中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产程图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根据孕妇在生成过程中的记录信息，绘制成符合卫生部规范的产程图</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分娩记录单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产妇分娩过程信息记录，支持查询、编辑、打印功能</w:t>
            </w:r>
          </w:p>
        </w:tc>
      </w:tr>
      <w:tr>
        <w:tblPrEx>
          <w:tblCellMar>
            <w:top w:w="0" w:type="dxa"/>
            <w:left w:w="108" w:type="dxa"/>
            <w:bottom w:w="0" w:type="dxa"/>
            <w:right w:w="108" w:type="dxa"/>
          </w:tblCellMar>
        </w:tblPrEx>
        <w:trPr>
          <w:trHeight w:val="1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产时及产后2小时记录单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产妇产时及产后2小时护理信息记录、支持查询、编辑、打印功能</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引产护理记录单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产妇引产护理信息记录，支持查询、编辑、打印功能</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产后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产后护理记录单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产妇产后护理信息的记录，支持查询、编辑、打印功能</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产科危重护理记录单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病情危重产妇护理信息记录，支持查询、编辑、打印功能</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新生婴儿出院记录单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新生婴儿出院信息记录，支持查询、编辑、打印功能</w:t>
            </w:r>
          </w:p>
        </w:tc>
      </w:tr>
      <w:tr>
        <w:tblPrEx>
          <w:tblCellMar>
            <w:top w:w="0" w:type="dxa"/>
            <w:left w:w="108" w:type="dxa"/>
            <w:bottom w:w="0" w:type="dxa"/>
            <w:right w:w="108" w:type="dxa"/>
          </w:tblCellMar>
        </w:tblPrEx>
        <w:trPr>
          <w:trHeight w:val="17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疫苗接种及检查登记单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包括基本信息（新生儿母亲姓名、母亲病历号、出生时间、性别、孕周、体重、分娩方式、母亲乙肝病毒检测结果、户口、联系电话、地址）、乙肝接种时间、卡介苗接种时间、未接种或转科原因、补接种时间（要求支持出院后也可录入的功能）、足跟血采集时间、听力筛查检查时间</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母婴同室护理记录单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母婴同室护理记录单记录、支持查询、编辑、打印功能</w:t>
            </w:r>
          </w:p>
        </w:tc>
      </w:tr>
      <w:tr>
        <w:tblPrEx>
          <w:tblCellMar>
            <w:top w:w="0" w:type="dxa"/>
            <w:left w:w="108" w:type="dxa"/>
            <w:bottom w:w="0" w:type="dxa"/>
            <w:right w:w="108" w:type="dxa"/>
          </w:tblCellMar>
        </w:tblPrEx>
        <w:trPr>
          <w:trHeight w:val="17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新生儿二十四小时监护记录单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新生儿出生后24小时监护记录单的录入、修改、预览、打印</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新生儿体温单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PC和移动端的新生儿体温记录单的录入、修改，PC上进行预览、打印</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新生儿护理记录单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新生儿护理记录单的录入、修改、预览、打印</w:t>
            </w:r>
          </w:p>
        </w:tc>
      </w:tr>
      <w:tr>
        <w:tblPrEx>
          <w:tblCellMar>
            <w:top w:w="0" w:type="dxa"/>
            <w:left w:w="108" w:type="dxa"/>
            <w:bottom w:w="0" w:type="dxa"/>
            <w:right w:w="108" w:type="dxa"/>
          </w:tblCellMar>
        </w:tblPrEx>
        <w:trPr>
          <w:trHeight w:val="1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新生儿特护观察记录单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新生儿特护观察记录的录入、修改、预览、打印</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新生儿出生记录单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新生儿出生记录单的录入、修改、预览、打印</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新生儿体征批量录入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通过护士站按照各体征待测点对新生儿体征进行批量录入</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新生儿体征待测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按照新生儿体征待测规则生成相应的体征待测时间点，方便并及时提醒护士做体征测量记录</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eastAsia="宋体" w:cs="宋体"/>
                <w:color w:val="000000"/>
                <w:kern w:val="0"/>
                <w:sz w:val="24"/>
                <w:lang w:bidi="ar"/>
              </w:rPr>
              <w:t>母乳喂养闭环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母乳喂养医嘱拆分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护理系统PC端可以和住院电子医嘱对接，按给定的时间频度和医嘱有效期，将母乳喂养医嘱按照频次拆分</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母乳标签打印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护士接收母乳液后打印母乳标签贴至奶袋</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母乳喂养执行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护理人员在执行前首先扫描母乳医嘱标签上的条码，再扫描婴儿腕带条码，当两者匹配后继续喂养，记录执行人和执行时间 ；如不匹配进行提醒</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母乳喂养巡视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喂养过程中，再次扫描母乳医嘱标签，对患者情况的查看及一般情况的基本操作，包括暂停，继续，终止，录入异常情况</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母乳喂养结束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喂养结束后，扫描母乳医嘱标签，记录喂养结束人和喂养结束时间</w:t>
            </w:r>
          </w:p>
        </w:tc>
      </w:tr>
      <w:tr>
        <w:tblPrEx>
          <w:tblCellMar>
            <w:top w:w="0" w:type="dxa"/>
            <w:left w:w="108" w:type="dxa"/>
            <w:bottom w:w="0" w:type="dxa"/>
            <w:right w:w="108" w:type="dxa"/>
          </w:tblCellMar>
        </w:tblPrEx>
        <w:trPr>
          <w:trHeight w:val="10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母乳喂养执行单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在PC和移动端查看护士对于患者母乳喂养医嘱执行的相关记录，用于责任追溯医嘱执行记录包括执行时间、执行人、喂养结束时间、喂养结束人等，支持打印</w:t>
            </w:r>
          </w:p>
        </w:tc>
      </w:tr>
      <w:tr>
        <w:tblPrEx>
          <w:tblCellMar>
            <w:top w:w="0" w:type="dxa"/>
            <w:left w:w="108" w:type="dxa"/>
            <w:bottom w:w="0" w:type="dxa"/>
            <w:right w:w="108" w:type="dxa"/>
          </w:tblCellMar>
        </w:tblPrEx>
        <w:trPr>
          <w:trHeight w:val="7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微软雅黑" w:hAnsi="微软雅黑" w:eastAsia="微软雅黑"/>
                <w:b/>
                <w:bCs/>
                <w:sz w:val="21"/>
                <w:szCs w:val="21"/>
              </w:rPr>
              <w:t>▲</w:t>
            </w:r>
            <w:r>
              <w:rPr>
                <w:rFonts w:hint="eastAsia" w:ascii="宋体" w:hAnsi="宋体" w:eastAsia="宋体" w:cs="宋体"/>
                <w:color w:val="000000"/>
                <w:kern w:val="0"/>
                <w:sz w:val="24"/>
                <w:lang w:bidi="ar"/>
              </w:rPr>
              <w:t>执行结果回写</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4"/>
              </w:rPr>
            </w:pPr>
            <w:r>
              <w:rPr>
                <w:rFonts w:hint="eastAsia" w:ascii="宋体" w:hAnsi="宋体" w:eastAsia="宋体" w:cs="宋体"/>
                <w:color w:val="000000"/>
                <w:kern w:val="0"/>
                <w:sz w:val="24"/>
                <w:lang w:bidi="ar"/>
              </w:rPr>
              <w:t>将执行结果回写至第三方系统中</w:t>
            </w:r>
          </w:p>
        </w:tc>
      </w:tr>
    </w:tbl>
    <w:p>
      <w:pPr>
        <w:pStyle w:val="2"/>
        <w:bidi w:val="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3交付和验收</w:t>
      </w:r>
    </w:p>
    <w:p>
      <w:pPr>
        <w:rPr>
          <w:rFonts w:hint="eastAsia"/>
          <w:lang w:val="en-US" w:eastAsia="zh-CN"/>
        </w:rPr>
      </w:pPr>
      <w:r>
        <w:rPr>
          <w:rFonts w:hint="eastAsia"/>
          <w:lang w:val="en-US" w:eastAsia="zh-CN"/>
        </w:rPr>
        <w:t>1、签订合同后 6个月内  完工(交付给甲方使用)。</w:t>
      </w:r>
    </w:p>
    <w:p>
      <w:pPr>
        <w:rPr>
          <w:rFonts w:hint="eastAsia"/>
          <w:lang w:val="en-US" w:eastAsia="zh-CN"/>
        </w:rPr>
      </w:pPr>
      <w:r>
        <w:rPr>
          <w:rFonts w:hint="eastAsia"/>
          <w:lang w:val="en-US" w:eastAsia="zh-CN"/>
        </w:rPr>
        <w:t>2、乙方和甲方签订合同后，甲方按照乙方要求提供技术准备（包括：服务器分配，及其他相关技术支持）后完成远程调试、驻场实施，项目上线、院内培训、验收合格。</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4维护服务</w:t>
      </w:r>
      <w:bookmarkStart w:id="1" w:name="_GoBack"/>
      <w:bookmarkEnd w:id="1"/>
    </w:p>
    <w:p>
      <w:pPr>
        <w:rPr>
          <w:rFonts w:hint="default"/>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乙方将在</w:t>
      </w:r>
      <w:r>
        <w:rPr>
          <w:rFonts w:hint="eastAsia" w:ascii="宋体" w:hAnsi="宋体" w:eastAsia="宋体" w:cs="宋体"/>
          <w:sz w:val="21"/>
          <w:szCs w:val="21"/>
          <w:highlight w:val="none"/>
          <w:lang w:val="en-US" w:eastAsia="zh-CN"/>
        </w:rPr>
        <w:t>免费维保</w:t>
      </w:r>
      <w:r>
        <w:rPr>
          <w:rFonts w:hint="eastAsia" w:ascii="宋体" w:hAnsi="宋体" w:eastAsia="宋体" w:cs="宋体"/>
          <w:sz w:val="21"/>
          <w:szCs w:val="21"/>
          <w:highlight w:val="none"/>
        </w:rPr>
        <w:t>有效期内，向</w:t>
      </w:r>
      <w:r>
        <w:rPr>
          <w:rFonts w:hint="eastAsia" w:ascii="宋体" w:hAnsi="宋体" w:cs="宋体"/>
          <w:sz w:val="21"/>
          <w:szCs w:val="21"/>
          <w:highlight w:val="none"/>
          <w:lang w:eastAsia="zh-CN"/>
        </w:rPr>
        <w:t>甲方</w:t>
      </w:r>
      <w:r>
        <w:rPr>
          <w:rFonts w:hint="eastAsia" w:ascii="宋体" w:hAnsi="宋体" w:eastAsia="宋体" w:cs="宋体"/>
          <w:sz w:val="21"/>
          <w:szCs w:val="21"/>
          <w:highlight w:val="none"/>
        </w:rPr>
        <w:t>提供免费售后服务，具体包含：软件安装支持、软件使用支持、软件故障排除远程支持、重大系统问题维护支持、日常技术升级服务、远程定期更新升级。</w:t>
      </w:r>
    </w:p>
    <w:p>
      <w:pPr>
        <w:rPr>
          <w:rFonts w:hint="eastAsia"/>
          <w:lang w:val="en-US" w:eastAsia="zh-CN"/>
        </w:rPr>
      </w:pPr>
      <w:r>
        <w:rPr>
          <w:rFonts w:hint="eastAsia"/>
          <w:lang w:val="en-US" w:eastAsia="zh-CN"/>
        </w:rPr>
        <w:t>2、离场后如果系统出现远程调试不了的情况下需乙方在4个小时内到场进行解决</w:t>
      </w:r>
    </w:p>
    <w:p/>
    <w:p>
      <w:pPr>
        <w:pStyle w:val="2"/>
        <w:bidi w:val="0"/>
        <w:rPr>
          <w:rFonts w:hint="eastAsia" w:ascii="宋体" w:hAnsi="宋体" w:eastAsia="宋体" w:cs="宋体"/>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MWUwZDIyZTM4NDExNjA4NGQ0MTFjNDQ5YjFhMWYifQ=="/>
  </w:docVars>
  <w:rsids>
    <w:rsidRoot w:val="00E335F9"/>
    <w:rsid w:val="008A165D"/>
    <w:rsid w:val="00AB3A33"/>
    <w:rsid w:val="00C04604"/>
    <w:rsid w:val="00E335F9"/>
    <w:rsid w:val="283F446A"/>
    <w:rsid w:val="32226793"/>
    <w:rsid w:val="33D53ED4"/>
    <w:rsid w:val="354E1DC5"/>
    <w:rsid w:val="4B9F4863"/>
    <w:rsid w:val="5FD8694F"/>
    <w:rsid w:val="68B222F9"/>
    <w:rsid w:val="7BD5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1247</Words>
  <Characters>1254</Characters>
  <Lines>121</Lines>
  <Paragraphs>320</Paragraphs>
  <TotalTime>0</TotalTime>
  <ScaleCrop>false</ScaleCrop>
  <LinksUpToDate>false</LinksUpToDate>
  <CharactersWithSpaces>1258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2025-04-28T12:35:00Z</dcterms:created>
  <dc:creator>Amorfati</dc:creator>
  <cp:lastModifiedBy>* or  *</cp:lastModifiedBy>
  <dcterms:modified xsi:type="dcterms:W3CDTF">2025-07-01T04:48:50Z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eyJoZGlkIjoiNGIxYzZiYTcwYzU4YmNmMjQxNzc1Y2U2MTI4NjllODEiLCJ1c2VySWQiOiIyMzkwNjA5MzQifQ==</vt:lpwstr>
  </property>
  <property fmtid="{D5CDD505-2E9C-101B-9397-08002B2CF9AE}" pid="3" name="KSOProductBuildVer">
    <vt:lpwstr>2052-12.1.0.16929</vt:lpwstr>
  </property>
  <property fmtid="{D5CDD505-2E9C-101B-9397-08002B2CF9AE}" pid="4" name="ICV">
    <vt:lpwstr>3831885B950B42EDA52E748F09FFA4E0_13</vt:lpwstr>
  </property>
</Properties>
</file>