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61C08">
      <w:pPr>
        <w:bidi w:val="0"/>
        <w:jc w:val="center"/>
        <w:rPr>
          <w:rFonts w:hint="eastAsia" w:eastAsia="宋体" w:cs="宋体"/>
          <w:b/>
          <w:bCs/>
          <w:sz w:val="72"/>
          <w:szCs w:val="72"/>
          <w:lang w:val="en-US" w:eastAsia="zh-CN"/>
        </w:rPr>
      </w:pPr>
    </w:p>
    <w:p w14:paraId="22CE957B">
      <w:pPr>
        <w:bidi w:val="0"/>
        <w:ind w:left="0" w:leftChars="0" w:firstLine="0" w:firstLineChars="0"/>
        <w:jc w:val="center"/>
        <w:rPr>
          <w:rFonts w:hint="eastAsia" w:eastAsia="宋体" w:cs="宋体"/>
          <w:b/>
          <w:bCs/>
          <w:sz w:val="72"/>
          <w:szCs w:val="72"/>
          <w:lang w:val="en-US" w:eastAsia="zh-CN"/>
        </w:rPr>
      </w:pPr>
      <w:r>
        <w:rPr>
          <w:rFonts w:hint="eastAsia" w:cs="宋体"/>
          <w:b/>
          <w:bCs/>
          <w:sz w:val="72"/>
          <w:szCs w:val="72"/>
          <w:lang w:val="en-US" w:eastAsia="zh-CN"/>
        </w:rPr>
        <w:t>库车市</w:t>
      </w:r>
      <w:r>
        <w:rPr>
          <w:rFonts w:hint="eastAsia" w:eastAsia="宋体" w:cs="宋体"/>
          <w:b/>
          <w:bCs/>
          <w:sz w:val="72"/>
          <w:szCs w:val="72"/>
          <w:lang w:val="en-US" w:eastAsia="zh-CN"/>
        </w:rPr>
        <w:t>人民医院</w:t>
      </w:r>
    </w:p>
    <w:p w14:paraId="2DA4E83A">
      <w:pPr>
        <w:bidi w:val="0"/>
        <w:ind w:left="0" w:leftChars="0" w:firstLine="0" w:firstLineChars="0"/>
        <w:jc w:val="center"/>
        <w:rPr>
          <w:rFonts w:hint="eastAsia" w:eastAsia="宋体" w:cs="宋体"/>
          <w:b/>
          <w:bCs/>
          <w:sz w:val="56"/>
          <w:szCs w:val="56"/>
          <w:lang w:val="en-GB" w:eastAsia="zh-CN"/>
        </w:rPr>
      </w:pPr>
      <w:r>
        <w:rPr>
          <w:rFonts w:hint="eastAsia" w:cs="宋体"/>
          <w:b/>
          <w:bCs/>
          <w:sz w:val="72"/>
          <w:szCs w:val="72"/>
          <w:lang w:val="en-US" w:eastAsia="zh-CN"/>
        </w:rPr>
        <w:t>超融合扩容</w:t>
      </w:r>
      <w:r>
        <w:rPr>
          <w:rFonts w:hint="eastAsia" w:eastAsia="宋体" w:cs="宋体"/>
          <w:b/>
          <w:bCs/>
          <w:sz w:val="72"/>
          <w:szCs w:val="72"/>
          <w:lang w:val="en-US" w:eastAsia="zh-CN"/>
        </w:rPr>
        <w:t>项目</w:t>
      </w:r>
    </w:p>
    <w:p w14:paraId="03614E9D">
      <w:pPr>
        <w:bidi w:val="0"/>
        <w:jc w:val="center"/>
        <w:rPr>
          <w:rFonts w:hint="eastAsia"/>
          <w:b/>
          <w:bCs/>
          <w:sz w:val="56"/>
          <w:szCs w:val="56"/>
          <w:lang w:val="en-GB"/>
        </w:rPr>
      </w:pPr>
    </w:p>
    <w:p w14:paraId="13ACEAD9">
      <w:pPr>
        <w:bidi w:val="0"/>
        <w:jc w:val="center"/>
        <w:rPr>
          <w:rFonts w:hint="eastAsia"/>
          <w:b/>
          <w:bCs/>
          <w:sz w:val="56"/>
          <w:szCs w:val="56"/>
          <w:lang w:val="en-GB"/>
        </w:rPr>
      </w:pPr>
    </w:p>
    <w:p w14:paraId="33A07727">
      <w:pPr>
        <w:bidi w:val="0"/>
        <w:ind w:left="0" w:leftChars="0" w:firstLine="0" w:firstLineChars="0"/>
        <w:jc w:val="center"/>
        <w:rPr>
          <w:rFonts w:hint="eastAsia" w:ascii="宋体" w:hAnsi="宋体" w:eastAsia="宋体" w:cs="宋体"/>
          <w:b/>
          <w:iCs/>
          <w:sz w:val="32"/>
          <w:szCs w:val="32"/>
          <w:lang w:val="en-GB" w:eastAsia="zh-CN"/>
        </w:rPr>
      </w:pPr>
      <w:r>
        <w:rPr>
          <w:rFonts w:hint="eastAsia"/>
          <w:b/>
          <w:bCs/>
          <w:sz w:val="96"/>
          <w:szCs w:val="96"/>
          <w:lang w:val="en-US" w:eastAsia="zh-CN"/>
        </w:rPr>
        <w:t>需求书</w:t>
      </w:r>
    </w:p>
    <w:p w14:paraId="5712CB6A">
      <w:pPr>
        <w:spacing w:line="360" w:lineRule="auto"/>
        <w:jc w:val="both"/>
        <w:rPr>
          <w:rFonts w:hint="eastAsia" w:ascii="宋体" w:hAnsi="宋体" w:eastAsia="宋体" w:cs="宋体"/>
          <w:b/>
          <w:iCs/>
          <w:sz w:val="36"/>
          <w:szCs w:val="36"/>
          <w:lang w:val="en-GB"/>
        </w:rPr>
      </w:pPr>
    </w:p>
    <w:p w14:paraId="49B86F0E">
      <w:pPr>
        <w:spacing w:line="360" w:lineRule="auto"/>
        <w:jc w:val="center"/>
        <w:rPr>
          <w:rFonts w:hint="eastAsia" w:ascii="宋体" w:hAnsi="宋体" w:eastAsia="宋体" w:cs="宋体"/>
          <w:b/>
          <w:iCs/>
          <w:sz w:val="36"/>
          <w:szCs w:val="36"/>
          <w:lang w:val="en-GB"/>
        </w:rPr>
      </w:pPr>
    </w:p>
    <w:p w14:paraId="74327449">
      <w:pPr>
        <w:spacing w:line="360" w:lineRule="auto"/>
        <w:ind w:left="0" w:leftChars="0" w:firstLine="0" w:firstLineChars="0"/>
        <w:jc w:val="center"/>
        <w:rPr>
          <w:rFonts w:hint="eastAsia" w:ascii="宋体" w:hAnsi="宋体" w:eastAsia="宋体" w:cs="宋体"/>
          <w:b/>
          <w:iCs/>
          <w:sz w:val="28"/>
          <w:szCs w:val="28"/>
          <w:lang w:val="en-US" w:eastAsia="zh-CN"/>
        </w:rPr>
      </w:pPr>
    </w:p>
    <w:p w14:paraId="760F5D92">
      <w:pPr>
        <w:spacing w:line="360" w:lineRule="auto"/>
        <w:ind w:left="0" w:leftChars="0" w:firstLine="0" w:firstLineChars="0"/>
        <w:jc w:val="center"/>
        <w:rPr>
          <w:rFonts w:hint="eastAsia" w:ascii="宋体" w:hAnsi="宋体" w:eastAsia="宋体" w:cs="宋体"/>
          <w:b/>
          <w:iCs/>
          <w:sz w:val="28"/>
          <w:szCs w:val="28"/>
          <w:lang w:val="en-US" w:eastAsia="zh-CN"/>
        </w:rPr>
      </w:pPr>
    </w:p>
    <w:p w14:paraId="766EE665">
      <w:pPr>
        <w:spacing w:line="360" w:lineRule="auto"/>
        <w:ind w:left="0" w:leftChars="0" w:firstLine="0" w:firstLineChars="0"/>
        <w:jc w:val="center"/>
        <w:rPr>
          <w:rFonts w:hint="eastAsia" w:ascii="宋体" w:hAnsi="宋体" w:eastAsia="宋体" w:cs="宋体"/>
          <w:b/>
          <w:iCs/>
          <w:sz w:val="28"/>
          <w:szCs w:val="28"/>
          <w:lang w:val="en-US" w:eastAsia="zh-CN"/>
        </w:rPr>
      </w:pPr>
    </w:p>
    <w:p w14:paraId="7838E52C">
      <w:pPr>
        <w:spacing w:line="360" w:lineRule="auto"/>
        <w:ind w:left="0" w:leftChars="0" w:firstLine="0" w:firstLineChars="0"/>
        <w:jc w:val="center"/>
        <w:rPr>
          <w:rFonts w:hint="eastAsia" w:ascii="宋体" w:hAnsi="宋体" w:eastAsia="宋体" w:cs="宋体"/>
          <w:b/>
          <w:iCs/>
          <w:sz w:val="28"/>
          <w:szCs w:val="28"/>
          <w:lang w:val="en-US" w:eastAsia="zh-CN"/>
        </w:rPr>
      </w:pPr>
    </w:p>
    <w:p w14:paraId="45BC21CE">
      <w:pPr>
        <w:spacing w:line="360" w:lineRule="auto"/>
        <w:ind w:left="0" w:leftChars="0" w:firstLine="0" w:firstLineChars="0"/>
        <w:jc w:val="center"/>
        <w:rPr>
          <w:rFonts w:hint="eastAsia" w:ascii="宋体" w:hAnsi="宋体" w:eastAsia="宋体" w:cs="宋体"/>
          <w:b/>
          <w:iCs/>
          <w:sz w:val="28"/>
          <w:szCs w:val="28"/>
          <w:lang w:val="en-US" w:eastAsia="zh-CN"/>
        </w:rPr>
      </w:pPr>
    </w:p>
    <w:p w14:paraId="5E2F84BD">
      <w:pPr>
        <w:spacing w:line="360" w:lineRule="auto"/>
        <w:ind w:left="0" w:leftChars="0" w:firstLine="0" w:firstLineChars="0"/>
        <w:jc w:val="center"/>
        <w:rPr>
          <w:rFonts w:hint="default" w:ascii="宋体" w:hAnsi="宋体" w:eastAsia="宋体" w:cs="宋体"/>
          <w:b/>
          <w:iCs/>
          <w:sz w:val="28"/>
          <w:szCs w:val="28"/>
          <w:lang w:val="en-US" w:eastAsia="zh-CN"/>
        </w:rPr>
      </w:pPr>
      <w:r>
        <w:rPr>
          <w:rFonts w:hint="eastAsia" w:ascii="宋体" w:hAnsi="宋体" w:eastAsia="宋体" w:cs="宋体"/>
          <w:b/>
          <w:iCs/>
          <w:sz w:val="28"/>
          <w:szCs w:val="28"/>
          <w:lang w:val="en-US" w:eastAsia="zh-CN"/>
        </w:rPr>
        <w:t>202</w:t>
      </w:r>
      <w:r>
        <w:rPr>
          <w:rFonts w:hint="eastAsia" w:ascii="宋体" w:hAnsi="宋体" w:cs="宋体"/>
          <w:b/>
          <w:iCs/>
          <w:sz w:val="28"/>
          <w:szCs w:val="28"/>
          <w:lang w:val="en-US" w:eastAsia="zh-CN"/>
        </w:rPr>
        <w:t>5</w:t>
      </w:r>
      <w:r>
        <w:rPr>
          <w:rFonts w:hint="eastAsia" w:ascii="宋体" w:hAnsi="宋体" w:eastAsia="宋体" w:cs="宋体"/>
          <w:b/>
          <w:iCs/>
          <w:sz w:val="28"/>
          <w:szCs w:val="28"/>
          <w:lang w:val="en-US" w:eastAsia="zh-CN"/>
        </w:rPr>
        <w:t>年</w:t>
      </w:r>
      <w:r>
        <w:rPr>
          <w:rFonts w:hint="eastAsia" w:ascii="宋体" w:hAnsi="宋体" w:cs="宋体"/>
          <w:b/>
          <w:iCs/>
          <w:sz w:val="28"/>
          <w:szCs w:val="28"/>
          <w:lang w:val="en-US" w:eastAsia="zh-CN"/>
        </w:rPr>
        <w:t>6</w:t>
      </w:r>
      <w:r>
        <w:rPr>
          <w:rFonts w:hint="eastAsia" w:ascii="宋体" w:hAnsi="宋体" w:eastAsia="宋体" w:cs="宋体"/>
          <w:b/>
          <w:iCs/>
          <w:sz w:val="28"/>
          <w:szCs w:val="28"/>
          <w:lang w:val="en-US" w:eastAsia="zh-CN"/>
        </w:rPr>
        <w:t>月</w:t>
      </w:r>
    </w:p>
    <w:p w14:paraId="049CD375">
      <w:pPr>
        <w:spacing w:before="0" w:beforeLines="0" w:after="0" w:afterLines="0" w:line="240" w:lineRule="auto"/>
        <w:ind w:left="0" w:leftChars="0" w:right="0" w:rightChars="0" w:firstLine="0" w:firstLineChars="0"/>
        <w:jc w:val="center"/>
        <w:rPr>
          <w:rFonts w:ascii="宋体" w:hAnsi="宋体" w:eastAsia="宋体" w:cs="宋体"/>
          <w:b/>
          <w:bCs/>
          <w:kern w:val="2"/>
          <w:sz w:val="24"/>
          <w:szCs w:val="2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宋体"/>
          <w:b/>
          <w:bCs/>
          <w:kern w:val="2"/>
          <w:sz w:val="24"/>
          <w:szCs w:val="24"/>
          <w:lang w:val="en-US" w:eastAsia="zh-CN" w:bidi="ar-SA"/>
        </w:rPr>
        <w:id w:val="147480988"/>
        <w15:color w:val="DBDBDB"/>
        <w:docPartObj>
          <w:docPartGallery w:val="Table of Contents"/>
          <w:docPartUnique/>
        </w:docPartObj>
      </w:sdtPr>
      <w:sdtEndPr>
        <w:rPr>
          <w:rFonts w:ascii="宋体" w:hAnsi="宋体" w:eastAsia="宋体" w:cs="宋体"/>
          <w:b/>
          <w:bCs/>
          <w:kern w:val="2"/>
          <w:sz w:val="24"/>
          <w:szCs w:val="24"/>
          <w:lang w:val="en-US" w:eastAsia="zh-CN" w:bidi="ar-SA"/>
        </w:rPr>
      </w:sdtEndPr>
      <w:sdtContent>
        <w:p w14:paraId="322E080A">
          <w:pPr>
            <w:spacing w:before="0" w:beforeLines="0" w:after="0" w:afterLines="0" w:line="240" w:lineRule="auto"/>
            <w:ind w:left="0" w:leftChars="0" w:right="0" w:rightChars="0" w:firstLine="0" w:firstLineChars="0"/>
            <w:jc w:val="center"/>
            <w:rPr>
              <w:b/>
              <w:bCs/>
              <w:sz w:val="24"/>
              <w:szCs w:val="24"/>
            </w:rPr>
          </w:pPr>
          <w:r>
            <w:rPr>
              <w:rFonts w:ascii="宋体" w:hAnsi="宋体" w:eastAsia="宋体"/>
              <w:b/>
              <w:bCs/>
              <w:sz w:val="24"/>
              <w:szCs w:val="24"/>
            </w:rPr>
            <w:t>目录</w:t>
          </w:r>
        </w:p>
        <w:p w14:paraId="3B4D7A75">
          <w:pPr>
            <w:pStyle w:val="13"/>
            <w:tabs>
              <w:tab w:val="right" w:leader="dot" w:pos="8306"/>
            </w:tabs>
          </w:pPr>
          <w:r>
            <w:rPr>
              <w:sz w:val="22"/>
              <w:szCs w:val="22"/>
            </w:rPr>
            <w:fldChar w:fldCharType="begin"/>
          </w:r>
          <w:r>
            <w:rPr>
              <w:sz w:val="22"/>
              <w:szCs w:val="22"/>
            </w:rPr>
            <w:instrText xml:space="preserve">TOC \o "1-3" \h \u </w:instrText>
          </w:r>
          <w:r>
            <w:rPr>
              <w:sz w:val="22"/>
              <w:szCs w:val="22"/>
            </w:rPr>
            <w:fldChar w:fldCharType="separate"/>
          </w:r>
          <w:r>
            <w:rPr>
              <w:szCs w:val="22"/>
            </w:rPr>
            <w:fldChar w:fldCharType="begin"/>
          </w:r>
          <w:r>
            <w:rPr>
              <w:szCs w:val="22"/>
            </w:rPr>
            <w:instrText xml:space="preserve"> HYPERLINK \l _Toc26998 </w:instrText>
          </w:r>
          <w:r>
            <w:rPr>
              <w:szCs w:val="22"/>
            </w:rPr>
            <w:fldChar w:fldCharType="separate"/>
          </w:r>
          <w:r>
            <w:rPr>
              <w:rFonts w:hint="eastAsia"/>
              <w:lang w:val="en-GB"/>
            </w:rPr>
            <w:t>第一部分 投标公司资质要求</w:t>
          </w:r>
          <w:r>
            <w:tab/>
          </w:r>
          <w:r>
            <w:fldChar w:fldCharType="begin"/>
          </w:r>
          <w:r>
            <w:instrText xml:space="preserve"> PAGEREF _Toc26998 \h </w:instrText>
          </w:r>
          <w:r>
            <w:fldChar w:fldCharType="separate"/>
          </w:r>
          <w:r>
            <w:t>2</w:t>
          </w:r>
          <w:r>
            <w:fldChar w:fldCharType="end"/>
          </w:r>
          <w:r>
            <w:rPr>
              <w:szCs w:val="22"/>
            </w:rPr>
            <w:fldChar w:fldCharType="end"/>
          </w:r>
        </w:p>
        <w:p w14:paraId="147A12EA">
          <w:pPr>
            <w:pStyle w:val="14"/>
            <w:tabs>
              <w:tab w:val="right" w:leader="dot" w:pos="8306"/>
            </w:tabs>
          </w:pPr>
          <w:r>
            <w:rPr>
              <w:szCs w:val="21"/>
            </w:rPr>
            <w:fldChar w:fldCharType="begin"/>
          </w:r>
          <w:r>
            <w:rPr>
              <w:szCs w:val="21"/>
            </w:rPr>
            <w:instrText xml:space="preserve"> HYPERLINK \l _Toc24455 </w:instrText>
          </w:r>
          <w:r>
            <w:rPr>
              <w:szCs w:val="21"/>
            </w:rPr>
            <w:fldChar w:fldCharType="separate"/>
          </w:r>
          <w:r>
            <w:rPr>
              <w:rFonts w:hint="eastAsia"/>
              <w:lang w:val="en-US" w:eastAsia="zh-CN"/>
            </w:rPr>
            <w:t>（一） 投标公司资格要求</w:t>
          </w:r>
          <w:r>
            <w:tab/>
          </w:r>
          <w:r>
            <w:fldChar w:fldCharType="begin"/>
          </w:r>
          <w:r>
            <w:instrText xml:space="preserve"> PAGEREF _Toc24455 \h </w:instrText>
          </w:r>
          <w:r>
            <w:fldChar w:fldCharType="separate"/>
          </w:r>
          <w:r>
            <w:t>2</w:t>
          </w:r>
          <w:r>
            <w:fldChar w:fldCharType="end"/>
          </w:r>
          <w:r>
            <w:rPr>
              <w:szCs w:val="21"/>
            </w:rPr>
            <w:fldChar w:fldCharType="end"/>
          </w:r>
        </w:p>
        <w:p w14:paraId="28E2D04C">
          <w:pPr>
            <w:pStyle w:val="14"/>
            <w:tabs>
              <w:tab w:val="right" w:leader="dot" w:pos="8306"/>
            </w:tabs>
          </w:pPr>
          <w:r>
            <w:rPr>
              <w:szCs w:val="21"/>
            </w:rPr>
            <w:fldChar w:fldCharType="begin"/>
          </w:r>
          <w:r>
            <w:rPr>
              <w:szCs w:val="21"/>
            </w:rPr>
            <w:instrText xml:space="preserve"> HYPERLINK \l _Toc30908 </w:instrText>
          </w:r>
          <w:r>
            <w:rPr>
              <w:szCs w:val="21"/>
            </w:rPr>
            <w:fldChar w:fldCharType="separate"/>
          </w:r>
          <w:r>
            <w:rPr>
              <w:rFonts w:hint="eastAsia"/>
              <w:lang w:val="en-US" w:eastAsia="zh-CN"/>
            </w:rPr>
            <w:t>（二） 服务规范要求</w:t>
          </w:r>
          <w:r>
            <w:tab/>
          </w:r>
          <w:r>
            <w:fldChar w:fldCharType="begin"/>
          </w:r>
          <w:r>
            <w:instrText xml:space="preserve"> PAGEREF _Toc30908 \h </w:instrText>
          </w:r>
          <w:r>
            <w:fldChar w:fldCharType="separate"/>
          </w:r>
          <w:r>
            <w:t>3</w:t>
          </w:r>
          <w:r>
            <w:fldChar w:fldCharType="end"/>
          </w:r>
          <w:r>
            <w:rPr>
              <w:szCs w:val="21"/>
            </w:rPr>
            <w:fldChar w:fldCharType="end"/>
          </w:r>
        </w:p>
        <w:p w14:paraId="76DF2103">
          <w:pPr>
            <w:pStyle w:val="13"/>
            <w:tabs>
              <w:tab w:val="right" w:leader="dot" w:pos="8306"/>
            </w:tabs>
          </w:pPr>
          <w:r>
            <w:rPr>
              <w:szCs w:val="21"/>
            </w:rPr>
            <w:fldChar w:fldCharType="begin"/>
          </w:r>
          <w:r>
            <w:rPr>
              <w:szCs w:val="21"/>
            </w:rPr>
            <w:instrText xml:space="preserve"> HYPERLINK \l _Toc29971 </w:instrText>
          </w:r>
          <w:r>
            <w:rPr>
              <w:szCs w:val="21"/>
            </w:rPr>
            <w:fldChar w:fldCharType="separate"/>
          </w:r>
          <w:r>
            <w:rPr>
              <w:rFonts w:hint="eastAsia"/>
              <w:lang w:val="en-GB"/>
            </w:rPr>
            <w:t>第二部分 项目详细参数需求清单</w:t>
          </w:r>
          <w:r>
            <w:tab/>
          </w:r>
          <w:r>
            <w:fldChar w:fldCharType="begin"/>
          </w:r>
          <w:r>
            <w:instrText xml:space="preserve"> PAGEREF _Toc29971 \h </w:instrText>
          </w:r>
          <w:r>
            <w:fldChar w:fldCharType="separate"/>
          </w:r>
          <w:r>
            <w:t>4</w:t>
          </w:r>
          <w:r>
            <w:fldChar w:fldCharType="end"/>
          </w:r>
          <w:r>
            <w:rPr>
              <w:szCs w:val="21"/>
            </w:rPr>
            <w:fldChar w:fldCharType="end"/>
          </w:r>
        </w:p>
        <w:p w14:paraId="01A147FC">
          <w:pPr>
            <w:pStyle w:val="14"/>
            <w:tabs>
              <w:tab w:val="right" w:leader="dot" w:pos="8306"/>
            </w:tabs>
          </w:pPr>
          <w:r>
            <w:rPr>
              <w:szCs w:val="21"/>
            </w:rPr>
            <w:fldChar w:fldCharType="begin"/>
          </w:r>
          <w:r>
            <w:rPr>
              <w:szCs w:val="21"/>
            </w:rPr>
            <w:instrText xml:space="preserve"> HYPERLINK \l _Toc14749 </w:instrText>
          </w:r>
          <w:r>
            <w:rPr>
              <w:szCs w:val="21"/>
            </w:rPr>
            <w:fldChar w:fldCharType="separate"/>
          </w:r>
          <w:r>
            <w:rPr>
              <w:rFonts w:hint="eastAsia"/>
              <w:lang w:val="en-US" w:eastAsia="zh-CN"/>
            </w:rPr>
            <w:t>（一） 项目采购清单</w:t>
          </w:r>
          <w:r>
            <w:tab/>
          </w:r>
          <w:r>
            <w:fldChar w:fldCharType="begin"/>
          </w:r>
          <w:r>
            <w:instrText xml:space="preserve"> PAGEREF _Toc14749 \h </w:instrText>
          </w:r>
          <w:r>
            <w:fldChar w:fldCharType="separate"/>
          </w:r>
          <w:r>
            <w:t>4</w:t>
          </w:r>
          <w:r>
            <w:fldChar w:fldCharType="end"/>
          </w:r>
          <w:r>
            <w:rPr>
              <w:szCs w:val="21"/>
            </w:rPr>
            <w:fldChar w:fldCharType="end"/>
          </w:r>
        </w:p>
        <w:p w14:paraId="01EF0284">
          <w:pPr>
            <w:pStyle w:val="14"/>
            <w:tabs>
              <w:tab w:val="right" w:leader="dot" w:pos="8306"/>
            </w:tabs>
          </w:pPr>
          <w:r>
            <w:rPr>
              <w:szCs w:val="21"/>
            </w:rPr>
            <w:fldChar w:fldCharType="begin"/>
          </w:r>
          <w:r>
            <w:rPr>
              <w:szCs w:val="21"/>
            </w:rPr>
            <w:instrText xml:space="preserve"> HYPERLINK \l _Toc19200 </w:instrText>
          </w:r>
          <w:r>
            <w:rPr>
              <w:szCs w:val="21"/>
            </w:rPr>
            <w:fldChar w:fldCharType="separate"/>
          </w:r>
          <w:r>
            <w:rPr>
              <w:rFonts w:hint="eastAsia"/>
              <w:lang w:val="en-US" w:eastAsia="zh-CN"/>
            </w:rPr>
            <w:t>（二） 招标技术参数要求</w:t>
          </w:r>
          <w:r>
            <w:tab/>
          </w:r>
          <w:r>
            <w:fldChar w:fldCharType="begin"/>
          </w:r>
          <w:r>
            <w:instrText xml:space="preserve"> PAGEREF _Toc19200 \h </w:instrText>
          </w:r>
          <w:r>
            <w:fldChar w:fldCharType="separate"/>
          </w:r>
          <w:r>
            <w:t>4</w:t>
          </w:r>
          <w:r>
            <w:fldChar w:fldCharType="end"/>
          </w:r>
          <w:r>
            <w:rPr>
              <w:szCs w:val="21"/>
            </w:rPr>
            <w:fldChar w:fldCharType="end"/>
          </w:r>
        </w:p>
        <w:p w14:paraId="7999082F">
          <w:pPr>
            <w:pStyle w:val="12"/>
            <w:tabs>
              <w:tab w:val="right" w:leader="dot" w:pos="8306"/>
            </w:tabs>
          </w:pPr>
          <w:r>
            <w:rPr>
              <w:szCs w:val="21"/>
            </w:rPr>
            <w:fldChar w:fldCharType="begin"/>
          </w:r>
          <w:r>
            <w:rPr>
              <w:szCs w:val="21"/>
            </w:rPr>
            <w:instrText xml:space="preserve"> HYPERLINK \l _Toc5824 </w:instrText>
          </w:r>
          <w:r>
            <w:rPr>
              <w:szCs w:val="21"/>
            </w:rPr>
            <w:fldChar w:fldCharType="separate"/>
          </w:r>
          <w:r>
            <w:rPr>
              <w:rFonts w:hint="eastAsia" w:ascii="宋体" w:hAnsi="宋体" w:eastAsia="宋体" w:cs="宋体"/>
            </w:rPr>
            <w:t xml:space="preserve">1． </w:t>
          </w:r>
          <w:r>
            <w:rPr>
              <w:rFonts w:hint="eastAsia" w:ascii="宋体" w:hAnsi="宋体" w:cs="宋体"/>
              <w:lang w:val="en-US" w:eastAsia="zh-CN"/>
            </w:rPr>
            <w:t>超融合一体机技术参数要求</w:t>
          </w:r>
          <w:r>
            <w:tab/>
          </w:r>
          <w:r>
            <w:fldChar w:fldCharType="begin"/>
          </w:r>
          <w:r>
            <w:instrText xml:space="preserve"> PAGEREF _Toc5824 \h </w:instrText>
          </w:r>
          <w:r>
            <w:fldChar w:fldCharType="separate"/>
          </w:r>
          <w:r>
            <w:t>4</w:t>
          </w:r>
          <w:r>
            <w:fldChar w:fldCharType="end"/>
          </w:r>
          <w:r>
            <w:rPr>
              <w:szCs w:val="21"/>
            </w:rPr>
            <w:fldChar w:fldCharType="end"/>
          </w:r>
        </w:p>
        <w:p w14:paraId="728AB42A">
          <w:pPr>
            <w:pStyle w:val="12"/>
            <w:tabs>
              <w:tab w:val="right" w:leader="dot" w:pos="8306"/>
            </w:tabs>
          </w:pPr>
          <w:r>
            <w:rPr>
              <w:szCs w:val="21"/>
            </w:rPr>
            <w:fldChar w:fldCharType="begin"/>
          </w:r>
          <w:r>
            <w:rPr>
              <w:szCs w:val="21"/>
            </w:rPr>
            <w:instrText xml:space="preserve"> HYPERLINK \l _Toc7415 </w:instrText>
          </w:r>
          <w:r>
            <w:rPr>
              <w:szCs w:val="21"/>
            </w:rPr>
            <w:fldChar w:fldCharType="separate"/>
          </w:r>
          <w:r>
            <w:rPr>
              <w:rFonts w:hint="eastAsia" w:ascii="宋体" w:hAnsi="宋体" w:eastAsia="宋体" w:cs="宋体"/>
            </w:rPr>
            <w:t xml:space="preserve">2． </w:t>
          </w:r>
          <w:r>
            <w:rPr>
              <w:rFonts w:hint="eastAsia" w:ascii="宋体" w:hAnsi="宋体" w:cs="宋体"/>
              <w:lang w:val="en-US" w:eastAsia="zh-CN"/>
            </w:rPr>
            <w:t>超融合</w:t>
          </w:r>
          <w:r>
            <w:rPr>
              <w:rFonts w:hint="eastAsia" w:ascii="宋体" w:hAnsi="宋体" w:eastAsia="宋体" w:cs="宋体"/>
              <w:lang w:val="en-US" w:eastAsia="zh-CN"/>
            </w:rPr>
            <w:t>交换机</w:t>
          </w:r>
          <w:r>
            <w:rPr>
              <w:rFonts w:hint="eastAsia" w:ascii="宋体" w:hAnsi="宋体" w:eastAsia="宋体" w:cs="宋体"/>
            </w:rPr>
            <w:t>技术参数要求</w:t>
          </w:r>
          <w:r>
            <w:tab/>
          </w:r>
          <w:r>
            <w:fldChar w:fldCharType="begin"/>
          </w:r>
          <w:r>
            <w:instrText xml:space="preserve"> PAGEREF _Toc7415 \h </w:instrText>
          </w:r>
          <w:r>
            <w:fldChar w:fldCharType="separate"/>
          </w:r>
          <w:r>
            <w:t>6</w:t>
          </w:r>
          <w:r>
            <w:fldChar w:fldCharType="end"/>
          </w:r>
          <w:r>
            <w:rPr>
              <w:szCs w:val="21"/>
            </w:rPr>
            <w:fldChar w:fldCharType="end"/>
          </w:r>
        </w:p>
        <w:p w14:paraId="7734A3EA">
          <w:pPr>
            <w:pStyle w:val="13"/>
            <w:tabs>
              <w:tab w:val="right" w:leader="dot" w:pos="8306"/>
            </w:tabs>
          </w:pPr>
          <w:r>
            <w:rPr>
              <w:szCs w:val="21"/>
            </w:rPr>
            <w:fldChar w:fldCharType="begin"/>
          </w:r>
          <w:r>
            <w:rPr>
              <w:szCs w:val="21"/>
            </w:rPr>
            <w:instrText xml:space="preserve"> HYPERLINK \l _Toc21087 </w:instrText>
          </w:r>
          <w:r>
            <w:rPr>
              <w:szCs w:val="21"/>
            </w:rPr>
            <w:fldChar w:fldCharType="separate"/>
          </w:r>
          <w:r>
            <w:rPr>
              <w:rFonts w:hint="eastAsia"/>
              <w:lang w:val="en-GB"/>
            </w:rPr>
            <w:t>第三部分 项目集成要求</w:t>
          </w:r>
          <w:r>
            <w:tab/>
          </w:r>
          <w:r>
            <w:fldChar w:fldCharType="begin"/>
          </w:r>
          <w:r>
            <w:instrText xml:space="preserve"> PAGEREF _Toc21087 \h </w:instrText>
          </w:r>
          <w:r>
            <w:fldChar w:fldCharType="separate"/>
          </w:r>
          <w:r>
            <w:t>6</w:t>
          </w:r>
          <w:r>
            <w:fldChar w:fldCharType="end"/>
          </w:r>
          <w:r>
            <w:rPr>
              <w:szCs w:val="21"/>
            </w:rPr>
            <w:fldChar w:fldCharType="end"/>
          </w:r>
        </w:p>
        <w:p w14:paraId="3B1AC459">
          <w:pPr>
            <w:pStyle w:val="14"/>
            <w:tabs>
              <w:tab w:val="right" w:leader="dot" w:pos="8306"/>
            </w:tabs>
          </w:pPr>
          <w:r>
            <w:rPr>
              <w:szCs w:val="21"/>
            </w:rPr>
            <w:fldChar w:fldCharType="begin"/>
          </w:r>
          <w:r>
            <w:rPr>
              <w:szCs w:val="21"/>
            </w:rPr>
            <w:instrText xml:space="preserve"> HYPERLINK \l _Toc3248 </w:instrText>
          </w:r>
          <w:r>
            <w:rPr>
              <w:szCs w:val="21"/>
            </w:rPr>
            <w:fldChar w:fldCharType="separate"/>
          </w:r>
          <w:r>
            <w:rPr>
              <w:rFonts w:hint="eastAsia" w:eastAsia="宋体" w:cs="宋体"/>
              <w:lang w:val="en-US" w:eastAsia="zh-CN"/>
            </w:rPr>
            <w:t>（一） 超融合集成要求</w:t>
          </w:r>
          <w:r>
            <w:tab/>
          </w:r>
          <w:r>
            <w:fldChar w:fldCharType="begin"/>
          </w:r>
          <w:r>
            <w:instrText xml:space="preserve"> PAGEREF _Toc3248 \h </w:instrText>
          </w:r>
          <w:r>
            <w:fldChar w:fldCharType="separate"/>
          </w:r>
          <w:r>
            <w:t>6</w:t>
          </w:r>
          <w:r>
            <w:fldChar w:fldCharType="end"/>
          </w:r>
          <w:r>
            <w:rPr>
              <w:szCs w:val="21"/>
            </w:rPr>
            <w:fldChar w:fldCharType="end"/>
          </w:r>
        </w:p>
        <w:p w14:paraId="1111D8DE">
          <w:pPr>
            <w:pStyle w:val="14"/>
            <w:tabs>
              <w:tab w:val="right" w:leader="dot" w:pos="8306"/>
            </w:tabs>
          </w:pPr>
          <w:r>
            <w:rPr>
              <w:szCs w:val="21"/>
            </w:rPr>
            <w:fldChar w:fldCharType="begin"/>
          </w:r>
          <w:r>
            <w:rPr>
              <w:szCs w:val="21"/>
            </w:rPr>
            <w:instrText xml:space="preserve"> HYPERLINK \l _Toc30226 </w:instrText>
          </w:r>
          <w:r>
            <w:rPr>
              <w:szCs w:val="21"/>
            </w:rPr>
            <w:fldChar w:fldCharType="separate"/>
          </w:r>
          <w:r>
            <w:rPr>
              <w:rFonts w:hint="eastAsia" w:eastAsia="宋体" w:cs="宋体"/>
              <w:lang w:val="en-US" w:eastAsia="zh-CN"/>
            </w:rPr>
            <w:t>（二） 业务迁移要求</w:t>
          </w:r>
          <w:r>
            <w:tab/>
          </w:r>
          <w:r>
            <w:fldChar w:fldCharType="begin"/>
          </w:r>
          <w:r>
            <w:instrText xml:space="preserve"> PAGEREF _Toc30226 \h </w:instrText>
          </w:r>
          <w:r>
            <w:fldChar w:fldCharType="separate"/>
          </w:r>
          <w:r>
            <w:t>7</w:t>
          </w:r>
          <w:r>
            <w:fldChar w:fldCharType="end"/>
          </w:r>
          <w:r>
            <w:rPr>
              <w:szCs w:val="21"/>
            </w:rPr>
            <w:fldChar w:fldCharType="end"/>
          </w:r>
        </w:p>
        <w:p w14:paraId="4135E25F">
          <w:r>
            <w:rPr>
              <w:szCs w:val="21"/>
            </w:rPr>
            <w:fldChar w:fldCharType="end"/>
          </w:r>
        </w:p>
      </w:sdtContent>
    </w:sdt>
    <w:p w14:paraId="0741A792">
      <w:pPr>
        <w:ind w:firstLine="480" w:firstLineChars="200"/>
        <w:rPr>
          <w:lang w:val="en-GB"/>
        </w:rPr>
      </w:pPr>
      <w:r>
        <w:rPr>
          <w:rFonts w:hint="eastAsia"/>
          <w:lang w:val="en-GB"/>
        </w:rPr>
        <w:br w:type="page"/>
      </w:r>
    </w:p>
    <w:p w14:paraId="21DFC5E4">
      <w:pPr>
        <w:pStyle w:val="3"/>
        <w:bidi w:val="0"/>
        <w:ind w:left="0" w:leftChars="0" w:firstLine="0" w:firstLineChars="0"/>
        <w:rPr>
          <w:lang w:val="en-GB"/>
        </w:rPr>
      </w:pPr>
      <w:bookmarkStart w:id="0" w:name="_Toc26998"/>
      <w:r>
        <w:rPr>
          <w:rFonts w:hint="eastAsia"/>
          <w:lang w:val="en-GB"/>
        </w:rPr>
        <w:t>投标公司资质要求</w:t>
      </w:r>
      <w:bookmarkEnd w:id="0"/>
    </w:p>
    <w:p w14:paraId="1E71E483">
      <w:pPr>
        <w:pStyle w:val="5"/>
        <w:bidi w:val="0"/>
        <w:ind w:left="0" w:leftChars="0" w:firstLine="0" w:firstLineChars="0"/>
        <w:rPr>
          <w:rFonts w:hint="eastAsia"/>
          <w:lang w:val="en-US" w:eastAsia="zh-CN"/>
        </w:rPr>
      </w:pPr>
      <w:bookmarkStart w:id="1" w:name="_Toc24455"/>
      <w:bookmarkStart w:id="2" w:name="_Toc5176"/>
      <w:r>
        <w:rPr>
          <w:rFonts w:hint="eastAsia"/>
          <w:lang w:val="en-US" w:eastAsia="zh-CN"/>
        </w:rPr>
        <w:t>投标公司资格要求</w:t>
      </w:r>
      <w:bookmarkEnd w:id="1"/>
      <w:bookmarkEnd w:id="2"/>
    </w:p>
    <w:p w14:paraId="5D444A6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0"/>
        <w:textAlignment w:val="auto"/>
        <w:rPr>
          <w:rFonts w:ascii="宋体" w:hAnsi="宋体" w:eastAsia="宋体" w:cs="Times New Roman"/>
          <w:sz w:val="28"/>
          <w:szCs w:val="28"/>
        </w:rPr>
      </w:pPr>
      <w:r>
        <w:rPr>
          <w:rFonts w:hint="eastAsia" w:ascii="宋体" w:hAnsi="宋体" w:eastAsia="宋体" w:cs="Times New Roman"/>
          <w:sz w:val="28"/>
          <w:szCs w:val="28"/>
        </w:rPr>
        <w:t>注册地址及公司实力要求：投标单位必须是国内注册的供应商，具有合法经营资格、具有较强实力、有多年信息系统集成经验、具有良好信誉的专业系统</w:t>
      </w:r>
      <w:r>
        <w:rPr>
          <w:rFonts w:hint="eastAsia" w:ascii="宋体" w:hAnsi="宋体" w:cs="Times New Roman"/>
          <w:sz w:val="28"/>
          <w:szCs w:val="28"/>
          <w:lang w:eastAsia="zh-CN"/>
        </w:rPr>
        <w:t>运维公司</w:t>
      </w:r>
      <w:r>
        <w:rPr>
          <w:rFonts w:hint="eastAsia" w:ascii="宋体" w:hAnsi="宋体" w:eastAsia="宋体" w:cs="Times New Roman"/>
          <w:sz w:val="28"/>
          <w:szCs w:val="28"/>
        </w:rPr>
        <w:t>；</w:t>
      </w:r>
    </w:p>
    <w:p w14:paraId="1637212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0"/>
        <w:textAlignment w:val="auto"/>
        <w:rPr>
          <w:rFonts w:ascii="宋体" w:hAnsi="宋体" w:eastAsia="宋体" w:cs="Times New Roman"/>
          <w:sz w:val="28"/>
          <w:szCs w:val="28"/>
        </w:rPr>
      </w:pPr>
      <w:r>
        <w:rPr>
          <w:rFonts w:ascii="宋体" w:hAnsi="宋体" w:eastAsia="宋体" w:cs="Times New Roman"/>
          <w:sz w:val="28"/>
          <w:szCs w:val="28"/>
        </w:rPr>
        <w:t>具有独立承担民事责任的能力；</w:t>
      </w:r>
    </w:p>
    <w:p w14:paraId="6309A78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0"/>
        <w:textAlignment w:val="auto"/>
        <w:rPr>
          <w:rFonts w:ascii="宋体" w:hAnsi="宋体" w:eastAsia="宋体" w:cs="Times New Roman"/>
          <w:sz w:val="28"/>
          <w:szCs w:val="28"/>
        </w:rPr>
      </w:pPr>
      <w:r>
        <w:rPr>
          <w:rFonts w:ascii="宋体" w:hAnsi="宋体" w:eastAsia="宋体" w:cs="Times New Roman"/>
          <w:sz w:val="28"/>
          <w:szCs w:val="28"/>
        </w:rPr>
        <w:t>具有良好的商业信誉和健全的财务会计制度；</w:t>
      </w:r>
    </w:p>
    <w:p w14:paraId="1E6D60F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0"/>
        <w:textAlignment w:val="auto"/>
        <w:rPr>
          <w:rFonts w:ascii="宋体" w:hAnsi="宋体" w:eastAsia="宋体" w:cs="Times New Roman"/>
          <w:sz w:val="28"/>
          <w:szCs w:val="28"/>
        </w:rPr>
      </w:pPr>
      <w:r>
        <w:rPr>
          <w:rFonts w:ascii="宋体" w:hAnsi="宋体" w:eastAsia="宋体" w:cs="Times New Roman"/>
          <w:sz w:val="28"/>
          <w:szCs w:val="28"/>
        </w:rPr>
        <w:t>具有履行合同所必需的设备和专业技术能力；</w:t>
      </w:r>
    </w:p>
    <w:p w14:paraId="18BBB1C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0"/>
        <w:textAlignment w:val="auto"/>
        <w:rPr>
          <w:rFonts w:ascii="宋体" w:hAnsi="宋体" w:eastAsia="宋体" w:cs="Times New Roman"/>
          <w:sz w:val="28"/>
          <w:szCs w:val="28"/>
        </w:rPr>
      </w:pPr>
      <w:r>
        <w:rPr>
          <w:rFonts w:ascii="宋体" w:hAnsi="宋体" w:eastAsia="宋体" w:cs="Times New Roman"/>
          <w:sz w:val="28"/>
          <w:szCs w:val="28"/>
        </w:rPr>
        <w:t>有依法缴纳税收和社会保障资金的良好纪录；</w:t>
      </w:r>
    </w:p>
    <w:p w14:paraId="61287F1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0"/>
        <w:textAlignment w:val="auto"/>
        <w:rPr>
          <w:rFonts w:ascii="宋体" w:hAnsi="宋体" w:eastAsia="宋体" w:cs="Times New Roman"/>
          <w:sz w:val="28"/>
          <w:szCs w:val="28"/>
        </w:rPr>
      </w:pPr>
      <w:r>
        <w:rPr>
          <w:rFonts w:ascii="宋体" w:hAnsi="宋体" w:eastAsia="宋体" w:cs="Times New Roman"/>
          <w:sz w:val="28"/>
          <w:szCs w:val="28"/>
        </w:rPr>
        <w:t>参加采购活动前三年内，在经营活动中没有重大违法记录(受行政主管部门的处罚不能参加投标)；</w:t>
      </w:r>
    </w:p>
    <w:p w14:paraId="6790C8A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0"/>
        <w:textAlignment w:val="auto"/>
        <w:rPr>
          <w:rFonts w:ascii="宋体" w:hAnsi="宋体" w:eastAsia="宋体" w:cs="Times New Roman"/>
          <w:sz w:val="28"/>
          <w:szCs w:val="28"/>
        </w:rPr>
      </w:pPr>
      <w:r>
        <w:rPr>
          <w:rFonts w:ascii="宋体" w:hAnsi="宋体" w:eastAsia="宋体" w:cs="Times New Roman"/>
          <w:sz w:val="28"/>
          <w:szCs w:val="28"/>
        </w:rPr>
        <w:t>提供企业法人营业执照、税务登记证、组织机构代码证原件（已办理三证合一的企业</w:t>
      </w:r>
      <w:r>
        <w:rPr>
          <w:rFonts w:hint="eastAsia" w:ascii="宋体" w:hAnsi="宋体" w:eastAsia="宋体" w:cs="Times New Roman"/>
          <w:sz w:val="28"/>
          <w:szCs w:val="28"/>
          <w:lang w:eastAsia="zh-CN"/>
        </w:rPr>
        <w:t>，</w:t>
      </w:r>
      <w:r>
        <w:rPr>
          <w:rFonts w:ascii="宋体" w:hAnsi="宋体" w:eastAsia="宋体" w:cs="Times New Roman"/>
          <w:sz w:val="28"/>
          <w:szCs w:val="28"/>
        </w:rPr>
        <w:t>提供三证合一副本）；</w:t>
      </w:r>
    </w:p>
    <w:p w14:paraId="4567560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0"/>
        <w:textAlignment w:val="auto"/>
        <w:rPr>
          <w:rFonts w:ascii="宋体" w:hAnsi="宋体" w:eastAsia="宋体" w:cs="Times New Roman"/>
          <w:sz w:val="28"/>
          <w:szCs w:val="28"/>
        </w:rPr>
      </w:pPr>
      <w:r>
        <w:rPr>
          <w:rFonts w:ascii="宋体" w:hAnsi="宋体" w:eastAsia="宋体" w:cs="Times New Roman"/>
          <w:sz w:val="28"/>
          <w:szCs w:val="28"/>
        </w:rPr>
        <w:t>法人代表授权书原件（加盖公章）及被授权人身份证复印件（加盖公章）</w:t>
      </w:r>
      <w:r>
        <w:rPr>
          <w:rFonts w:hint="eastAsia" w:ascii="宋体" w:hAnsi="宋体" w:eastAsia="宋体" w:cs="Times New Roman"/>
          <w:sz w:val="28"/>
          <w:szCs w:val="28"/>
        </w:rPr>
        <w:t>。</w:t>
      </w:r>
    </w:p>
    <w:p w14:paraId="48ED63AD">
      <w:pPr>
        <w:pStyle w:val="2"/>
        <w:numPr>
          <w:ilvl w:val="0"/>
          <w:numId w:val="2"/>
        </w:numPr>
        <w:ind w:left="0" w:leftChars="0" w:firstLine="480" w:firstLineChars="0"/>
        <w:rPr>
          <w:rFonts w:hint="eastAsia" w:ascii="宋体" w:hAnsi="宋体" w:cs="Times New Roman"/>
          <w:b w:val="0"/>
          <w:bCs/>
          <w:sz w:val="28"/>
          <w:szCs w:val="28"/>
          <w:lang w:val="en-US" w:eastAsia="zh-CN"/>
        </w:rPr>
      </w:pPr>
      <w:r>
        <w:rPr>
          <w:rFonts w:hint="eastAsia" w:ascii="宋体" w:hAnsi="宋体" w:cs="Times New Roman"/>
          <w:b w:val="0"/>
          <w:bCs/>
          <w:sz w:val="28"/>
          <w:szCs w:val="28"/>
          <w:lang w:val="en-US" w:eastAsia="zh-CN"/>
        </w:rPr>
        <w:t>中标企业需提供原厂授权书及售后服务承诺函</w:t>
      </w:r>
    </w:p>
    <w:p w14:paraId="588178D8">
      <w:pPr>
        <w:pStyle w:val="5"/>
        <w:numPr>
          <w:numId w:val="0"/>
        </w:numPr>
        <w:bidi w:val="0"/>
        <w:ind w:leftChars="0"/>
        <w:rPr>
          <w:rFonts w:hint="default"/>
          <w:lang w:val="en-US" w:eastAsia="zh-CN"/>
        </w:rPr>
      </w:pPr>
      <w:bookmarkStart w:id="19" w:name="_GoBack"/>
      <w:bookmarkEnd w:id="19"/>
      <w:r>
        <w:rPr>
          <w:rFonts w:hint="eastAsia"/>
        </w:rPr>
        <w:br w:type="page"/>
      </w:r>
      <w:bookmarkStart w:id="3" w:name="_Toc30908"/>
      <w:r>
        <w:rPr>
          <w:rFonts w:hint="eastAsia"/>
          <w:lang w:val="en-US" w:eastAsia="zh-CN"/>
        </w:rPr>
        <w:t>服务规范要求</w:t>
      </w:r>
      <w:bookmarkEnd w:id="3"/>
    </w:p>
    <w:p w14:paraId="58FD3966">
      <w:pPr>
        <w:numPr>
          <w:ilvl w:val="0"/>
          <w:numId w:val="3"/>
        </w:numPr>
        <w:bidi w:val="0"/>
        <w:ind w:left="0" w:leftChars="0" w:firstLine="480" w:firstLineChars="160"/>
        <w:rPr>
          <w:rFonts w:hint="eastAsia" w:ascii="宋体" w:hAnsi="宋体" w:eastAsia="宋体" w:cs="宋体"/>
          <w:sz w:val="30"/>
          <w:szCs w:val="30"/>
        </w:rPr>
      </w:pPr>
      <w:r>
        <w:rPr>
          <w:rFonts w:hint="eastAsia" w:ascii="宋体" w:hAnsi="宋体" w:eastAsia="宋体" w:cs="宋体"/>
          <w:sz w:val="30"/>
          <w:szCs w:val="30"/>
        </w:rPr>
        <w:t>工期：自合同签订后</w:t>
      </w:r>
      <w:r>
        <w:rPr>
          <w:rFonts w:hint="eastAsia" w:ascii="宋体" w:hAnsi="宋体" w:eastAsia="宋体" w:cs="宋体"/>
          <w:sz w:val="30"/>
          <w:szCs w:val="30"/>
          <w:lang w:val="en-US" w:eastAsia="zh-CN"/>
        </w:rPr>
        <w:t>开始为</w:t>
      </w:r>
      <w:r>
        <w:rPr>
          <w:rFonts w:hint="eastAsia" w:ascii="宋体" w:hAnsi="宋体" w:cs="宋体"/>
          <w:sz w:val="30"/>
          <w:szCs w:val="30"/>
          <w:lang w:val="en-US" w:eastAsia="zh-CN"/>
        </w:rPr>
        <w:t>30天</w:t>
      </w:r>
      <w:r>
        <w:rPr>
          <w:rFonts w:hint="eastAsia" w:ascii="宋体" w:hAnsi="宋体" w:eastAsia="宋体" w:cs="宋体"/>
          <w:sz w:val="30"/>
          <w:szCs w:val="30"/>
        </w:rPr>
        <w:t>。</w:t>
      </w:r>
    </w:p>
    <w:p w14:paraId="4C02F568">
      <w:pPr>
        <w:numPr>
          <w:ilvl w:val="0"/>
          <w:numId w:val="3"/>
        </w:numPr>
        <w:bidi w:val="0"/>
        <w:ind w:left="0" w:leftChars="0" w:firstLine="480" w:firstLineChars="160"/>
        <w:rPr>
          <w:rFonts w:hint="eastAsia" w:ascii="宋体" w:hAnsi="宋体" w:eastAsia="宋体" w:cs="宋体"/>
          <w:sz w:val="30"/>
          <w:szCs w:val="30"/>
        </w:rPr>
      </w:pPr>
      <w:r>
        <w:rPr>
          <w:rFonts w:hint="eastAsia" w:ascii="宋体" w:hAnsi="宋体" w:eastAsia="宋体" w:cs="宋体"/>
          <w:sz w:val="30"/>
          <w:szCs w:val="30"/>
          <w:lang w:val="en-US" w:eastAsia="zh-CN"/>
        </w:rPr>
        <w:t>满足</w:t>
      </w:r>
      <w:r>
        <w:rPr>
          <w:rFonts w:hint="eastAsia" w:ascii="宋体" w:hAnsi="宋体" w:eastAsia="宋体" w:cs="宋体"/>
          <w:sz w:val="30"/>
          <w:szCs w:val="30"/>
        </w:rPr>
        <w:t>《中华人民共和国政府采购法》第二十二条相关规定</w:t>
      </w:r>
      <w:r>
        <w:rPr>
          <w:rFonts w:hint="eastAsia" w:ascii="宋体" w:hAnsi="宋体" w:eastAsia="宋体" w:cs="宋体"/>
          <w:sz w:val="30"/>
          <w:szCs w:val="30"/>
          <w:lang w:eastAsia="zh-CN"/>
        </w:rPr>
        <w:t>。</w:t>
      </w:r>
    </w:p>
    <w:p w14:paraId="3F98B268">
      <w:pPr>
        <w:numPr>
          <w:ilvl w:val="0"/>
          <w:numId w:val="3"/>
        </w:numPr>
        <w:bidi w:val="0"/>
        <w:ind w:left="0" w:leftChars="0" w:firstLine="480" w:firstLineChars="160"/>
        <w:rPr>
          <w:rFonts w:hint="eastAsia" w:ascii="宋体" w:hAnsi="宋体" w:eastAsia="宋体" w:cs="宋体"/>
          <w:sz w:val="30"/>
          <w:szCs w:val="30"/>
        </w:rPr>
      </w:pPr>
      <w:r>
        <w:rPr>
          <w:rFonts w:hint="eastAsia" w:ascii="宋体" w:hAnsi="宋体" w:eastAsia="宋体" w:cs="宋体"/>
          <w:sz w:val="30"/>
          <w:szCs w:val="30"/>
        </w:rPr>
        <w:t>预算：</w:t>
      </w:r>
      <w:r>
        <w:rPr>
          <w:rFonts w:hint="eastAsia" w:ascii="宋体" w:hAnsi="宋体" w:cs="宋体"/>
          <w:b/>
          <w:bCs/>
          <w:color w:val="FF0000"/>
          <w:sz w:val="30"/>
          <w:szCs w:val="30"/>
          <w:lang w:val="en-US" w:eastAsia="zh-CN"/>
        </w:rPr>
        <w:t>38</w:t>
      </w:r>
      <w:r>
        <w:rPr>
          <w:rFonts w:hint="eastAsia" w:ascii="宋体" w:hAnsi="宋体" w:eastAsia="宋体" w:cs="宋体"/>
          <w:b/>
          <w:bCs/>
          <w:color w:val="FF0000"/>
          <w:sz w:val="30"/>
          <w:szCs w:val="30"/>
        </w:rPr>
        <w:t>万元</w:t>
      </w:r>
    </w:p>
    <w:p w14:paraId="0878BEF8">
      <w:pPr>
        <w:ind w:left="0" w:leftChars="0" w:firstLine="384" w:firstLineChars="160"/>
        <w:rPr>
          <w:rFonts w:hint="eastAsia"/>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633A55A6">
      <w:pPr>
        <w:pStyle w:val="3"/>
        <w:bidi w:val="0"/>
        <w:ind w:left="0" w:leftChars="0" w:firstLine="0" w:firstLineChars="0"/>
        <w:rPr>
          <w:rFonts w:hint="eastAsia"/>
          <w:lang w:val="en-GB"/>
        </w:rPr>
      </w:pPr>
      <w:bookmarkStart w:id="4" w:name="_Toc173259532"/>
      <w:bookmarkStart w:id="5" w:name="_Toc29971"/>
      <w:r>
        <w:rPr>
          <w:rFonts w:hint="eastAsia"/>
          <w:lang w:val="en-GB"/>
        </w:rPr>
        <w:t>项目详细参数需求清单</w:t>
      </w:r>
      <w:bookmarkEnd w:id="4"/>
      <w:bookmarkEnd w:id="5"/>
    </w:p>
    <w:p w14:paraId="4AFCCA21">
      <w:pPr>
        <w:pStyle w:val="5"/>
        <w:bidi w:val="0"/>
        <w:ind w:left="0" w:leftChars="0" w:firstLine="0" w:firstLineChars="0"/>
        <w:rPr>
          <w:rFonts w:hint="eastAsia"/>
          <w:lang w:val="en-US" w:eastAsia="zh-CN"/>
        </w:rPr>
      </w:pPr>
      <w:bookmarkStart w:id="6" w:name="_Toc18597"/>
      <w:bookmarkStart w:id="7" w:name="_Toc14749"/>
      <w:bookmarkStart w:id="8" w:name="_Toc173259533"/>
      <w:r>
        <w:rPr>
          <w:rFonts w:hint="eastAsia"/>
          <w:lang w:val="en-US" w:eastAsia="zh-CN"/>
        </w:rPr>
        <w:t>项目采购清单</w:t>
      </w:r>
      <w:bookmarkEnd w:id="6"/>
      <w:bookmarkEnd w:id="7"/>
      <w:bookmarkEnd w:id="8"/>
    </w:p>
    <w:tbl>
      <w:tblPr>
        <w:tblStyle w:val="15"/>
        <w:tblW w:w="4998" w:type="pct"/>
        <w:tblInd w:w="0" w:type="dxa"/>
        <w:tblLayout w:type="autofit"/>
        <w:tblCellMar>
          <w:top w:w="0" w:type="dxa"/>
          <w:left w:w="108" w:type="dxa"/>
          <w:bottom w:w="0" w:type="dxa"/>
          <w:right w:w="108" w:type="dxa"/>
        </w:tblCellMar>
      </w:tblPr>
      <w:tblGrid>
        <w:gridCol w:w="766"/>
        <w:gridCol w:w="2068"/>
        <w:gridCol w:w="3485"/>
        <w:gridCol w:w="810"/>
        <w:gridCol w:w="701"/>
        <w:gridCol w:w="689"/>
      </w:tblGrid>
      <w:tr w14:paraId="44AD164C">
        <w:tblPrEx>
          <w:tblCellMar>
            <w:top w:w="0" w:type="dxa"/>
            <w:left w:w="108" w:type="dxa"/>
            <w:bottom w:w="0" w:type="dxa"/>
            <w:right w:w="108" w:type="dxa"/>
          </w:tblCellMar>
        </w:tblPrEx>
        <w:trPr>
          <w:trHeight w:val="32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8F8D">
            <w:pPr>
              <w:pStyle w:val="18"/>
              <w:bidi w:val="0"/>
            </w:pPr>
            <w:r>
              <w:rPr>
                <w:rFonts w:hint="eastAsia"/>
              </w:rPr>
              <w:t>序号</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5715F">
            <w:pPr>
              <w:pStyle w:val="18"/>
              <w:bidi w:val="0"/>
            </w:pPr>
            <w:r>
              <w:rPr>
                <w:rFonts w:hint="eastAsia"/>
              </w:rPr>
              <w:t>产品名称</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A08E5">
            <w:pPr>
              <w:pStyle w:val="18"/>
              <w:bidi w:val="0"/>
            </w:pPr>
            <w:r>
              <w:rPr>
                <w:rFonts w:hint="eastAsia"/>
              </w:rPr>
              <w:t>产品描述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31F60">
            <w:pPr>
              <w:pStyle w:val="18"/>
              <w:bidi w:val="0"/>
            </w:pPr>
            <w:r>
              <w:rPr>
                <w:rFonts w:hint="eastAsia"/>
              </w:rPr>
              <w:t>数量</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75953">
            <w:pPr>
              <w:pStyle w:val="18"/>
              <w:bidi w:val="0"/>
            </w:pPr>
            <w:r>
              <w:rPr>
                <w:rFonts w:hint="eastAsia"/>
              </w:rPr>
              <w:t>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4DA8">
            <w:pPr>
              <w:pStyle w:val="18"/>
              <w:bidi w:val="0"/>
              <w:rPr>
                <w:rFonts w:hint="eastAsia"/>
                <w:lang w:val="en-US" w:eastAsia="zh-CN"/>
              </w:rPr>
            </w:pPr>
            <w:r>
              <w:rPr>
                <w:rFonts w:hint="eastAsia"/>
                <w:lang w:val="en-US" w:eastAsia="zh-CN"/>
              </w:rPr>
              <w:t>备注</w:t>
            </w:r>
          </w:p>
        </w:tc>
      </w:tr>
      <w:tr w14:paraId="0F0E57BC">
        <w:tblPrEx>
          <w:tblCellMar>
            <w:top w:w="0" w:type="dxa"/>
            <w:left w:w="108" w:type="dxa"/>
            <w:bottom w:w="0" w:type="dxa"/>
            <w:right w:w="108" w:type="dxa"/>
          </w:tblCellMar>
        </w:tblPrEx>
        <w:trPr>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A3E7">
            <w:pPr>
              <w:pStyle w:val="18"/>
              <w:bidi w:val="0"/>
            </w:pPr>
            <w:r>
              <w:rPr>
                <w:rFonts w:hint="eastAsia"/>
              </w:rPr>
              <w:t>1</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7CDDF">
            <w:pPr>
              <w:pStyle w:val="18"/>
              <w:bidi w:val="0"/>
              <w:rPr>
                <w:rFonts w:hint="eastAsia"/>
                <w:lang w:val="en-US" w:eastAsia="zh-CN"/>
              </w:rPr>
            </w:pPr>
            <w:r>
              <w:rPr>
                <w:rFonts w:hint="eastAsia"/>
                <w:lang w:val="en-US" w:eastAsia="zh-Hans"/>
              </w:rPr>
              <w:t>超融合</w:t>
            </w:r>
            <w:r>
              <w:rPr>
                <w:rFonts w:hint="eastAsia"/>
                <w:lang w:val="en-US" w:eastAsia="zh-CN"/>
              </w:rPr>
              <w:t>一体机</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F144F">
            <w:pPr>
              <w:pStyle w:val="18"/>
              <w:bidi w:val="0"/>
            </w:pPr>
            <w:r>
              <w:rPr>
                <w:rFonts w:hint="eastAsia"/>
              </w:rPr>
              <w:t>《详细参数见招标技术参数要求》</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C1E85">
            <w:pPr>
              <w:pStyle w:val="18"/>
              <w:bidi w:val="0"/>
              <w:rPr>
                <w:rFonts w:hint="eastAsia"/>
                <w:lang w:eastAsia="zh-CN"/>
              </w:rPr>
            </w:pPr>
            <w:r>
              <w:rPr>
                <w:rFonts w:hint="eastAsia"/>
                <w:lang w:val="en-US" w:eastAsia="zh-CN"/>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BCC2B">
            <w:pPr>
              <w:pStyle w:val="18"/>
              <w:bidi w:val="0"/>
            </w:pPr>
            <w:r>
              <w:rPr>
                <w:rFonts w:hint="eastAsia"/>
              </w:rPr>
              <w:t>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F949D">
            <w:pPr>
              <w:pStyle w:val="18"/>
              <w:bidi w:val="0"/>
              <w:rPr>
                <w:rFonts w:hint="eastAsia"/>
              </w:rPr>
            </w:pPr>
          </w:p>
        </w:tc>
      </w:tr>
      <w:tr w14:paraId="550BB43B">
        <w:trPr>
          <w:trHeight w:val="23"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7C3B">
            <w:pPr>
              <w:pStyle w:val="18"/>
              <w:bidi w:val="0"/>
              <w:rPr>
                <w:rFonts w:hint="eastAsia"/>
                <w:lang w:eastAsia="zh-CN"/>
              </w:rPr>
            </w:pPr>
            <w:r>
              <w:rPr>
                <w:rFonts w:hint="eastAsia"/>
                <w:lang w:val="en-US" w:eastAsia="zh-CN"/>
              </w:rPr>
              <w:t>2</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4EFBD">
            <w:pPr>
              <w:pStyle w:val="18"/>
              <w:bidi w:val="0"/>
              <w:rPr>
                <w:rFonts w:hint="eastAsia"/>
                <w:lang w:val="en-US" w:eastAsia="zh-CN"/>
              </w:rPr>
            </w:pPr>
            <w:r>
              <w:rPr>
                <w:rFonts w:hint="eastAsia"/>
                <w:lang w:val="en-US" w:eastAsia="zh-CN"/>
              </w:rPr>
              <w:t>超融合</w:t>
            </w:r>
            <w:r>
              <w:rPr>
                <w:rFonts w:hint="eastAsia"/>
                <w:lang w:val="en-US" w:eastAsia="zh-Hans"/>
              </w:rPr>
              <w:t>交换机</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A691C">
            <w:pPr>
              <w:pStyle w:val="18"/>
              <w:bidi w:val="0"/>
            </w:pPr>
            <w:r>
              <w:rPr>
                <w:rFonts w:hint="eastAsia"/>
              </w:rPr>
              <w:t>《详细参数见招标技术参数要求》</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6DB25">
            <w:pPr>
              <w:pStyle w:val="18"/>
              <w:bidi w:val="0"/>
              <w:rPr>
                <w:rFonts w:hint="default"/>
                <w:lang w:val="en-US" w:eastAsia="zh-CN"/>
              </w:rPr>
            </w:pPr>
            <w:r>
              <w:rPr>
                <w:rFonts w:hint="eastAsia"/>
                <w:lang w:val="en-US" w:eastAsia="zh-CN"/>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D0F62">
            <w:pPr>
              <w:pStyle w:val="18"/>
              <w:bidi w:val="0"/>
              <w:rPr>
                <w:rFonts w:hint="default"/>
                <w:lang w:val="en-US" w:eastAsia="zh-CN"/>
              </w:rPr>
            </w:pPr>
            <w:r>
              <w:rPr>
                <w:rFonts w:hint="eastAsia"/>
                <w:lang w:val="en-US" w:eastAsia="zh-CN"/>
              </w:rPr>
              <w:t>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D5BF9">
            <w:pPr>
              <w:pStyle w:val="18"/>
              <w:bidi w:val="0"/>
              <w:rPr>
                <w:rFonts w:hint="eastAsia"/>
              </w:rPr>
            </w:pPr>
          </w:p>
        </w:tc>
      </w:tr>
    </w:tbl>
    <w:p w14:paraId="429E448A">
      <w:pPr>
        <w:pStyle w:val="5"/>
        <w:bidi w:val="0"/>
        <w:ind w:left="0" w:leftChars="0" w:firstLine="0" w:firstLineChars="0"/>
        <w:rPr>
          <w:rFonts w:hint="eastAsia"/>
          <w:lang w:val="en-US" w:eastAsia="zh-CN"/>
        </w:rPr>
      </w:pPr>
      <w:bookmarkStart w:id="9" w:name="_Toc19200"/>
      <w:bookmarkStart w:id="10" w:name="_Toc173259538"/>
      <w:r>
        <w:rPr>
          <w:rFonts w:hint="eastAsia"/>
          <w:lang w:val="en-US" w:eastAsia="zh-CN"/>
        </w:rPr>
        <w:t>招标技术参数要求</w:t>
      </w:r>
      <w:bookmarkEnd w:id="9"/>
      <w:bookmarkEnd w:id="10"/>
    </w:p>
    <w:p w14:paraId="1BFDF44D">
      <w:pPr>
        <w:pStyle w:val="2"/>
        <w:bidi w:val="0"/>
        <w:rPr>
          <w:rFonts w:hint="eastAsia" w:ascii="宋体" w:hAnsi="宋体" w:eastAsia="宋体" w:cs="宋体"/>
        </w:rPr>
      </w:pPr>
      <w:bookmarkStart w:id="11" w:name="_Toc5824"/>
      <w:r>
        <w:rPr>
          <w:rFonts w:hint="eastAsia" w:ascii="宋体" w:hAnsi="宋体" w:cs="宋体"/>
          <w:lang w:val="en-US" w:eastAsia="zh-CN"/>
        </w:rPr>
        <w:t>超融合一体机技术参数要求</w:t>
      </w:r>
      <w:bookmarkEnd w:id="11"/>
    </w:p>
    <w:tbl>
      <w:tblPr>
        <w:tblStyle w:val="15"/>
        <w:tblW w:w="519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28" w:type="dxa"/>
          <w:bottom w:w="0" w:type="dxa"/>
          <w:right w:w="28" w:type="dxa"/>
        </w:tblCellMar>
      </w:tblPr>
      <w:tblGrid>
        <w:gridCol w:w="1161"/>
        <w:gridCol w:w="7529"/>
      </w:tblGrid>
      <w:tr w14:paraId="6F29A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283" w:hRule="atLeast"/>
        </w:trPr>
        <w:tc>
          <w:tcPr>
            <w:tcW w:w="668" w:type="pct"/>
            <w:shd w:val="clear" w:color="auto" w:fill="auto"/>
            <w:vAlign w:val="center"/>
          </w:tcPr>
          <w:p w14:paraId="7B1BD634">
            <w:pPr>
              <w:pStyle w:val="18"/>
              <w:bidi w:val="0"/>
              <w:jc w:val="center"/>
              <w:rPr>
                <w:rFonts w:hint="default"/>
                <w:b/>
                <w:bCs/>
                <w:lang w:val="en-US" w:eastAsia="zh-CN"/>
              </w:rPr>
            </w:pPr>
            <w:r>
              <w:rPr>
                <w:rFonts w:hint="eastAsia"/>
                <w:b/>
                <w:bCs/>
                <w:lang w:val="en-US" w:eastAsia="zh-CN"/>
              </w:rPr>
              <w:t>指标项</w:t>
            </w:r>
          </w:p>
        </w:tc>
        <w:tc>
          <w:tcPr>
            <w:tcW w:w="4331" w:type="pct"/>
            <w:shd w:val="clear" w:color="auto" w:fill="auto"/>
            <w:vAlign w:val="center"/>
          </w:tcPr>
          <w:p w14:paraId="4BF8D128">
            <w:pPr>
              <w:pStyle w:val="18"/>
              <w:bidi w:val="0"/>
              <w:jc w:val="center"/>
              <w:rPr>
                <w:rFonts w:hint="default"/>
                <w:b/>
                <w:bCs/>
                <w:lang w:val="en-US" w:eastAsia="zh-CN"/>
              </w:rPr>
            </w:pPr>
            <w:r>
              <w:rPr>
                <w:rFonts w:hint="eastAsia"/>
                <w:b/>
                <w:bCs/>
                <w:lang w:val="en-US" w:eastAsia="zh-CN"/>
              </w:rPr>
              <w:t>主要配置</w:t>
            </w:r>
          </w:p>
        </w:tc>
      </w:tr>
      <w:tr w14:paraId="1B40F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283" w:hRule="atLeast"/>
        </w:trPr>
        <w:tc>
          <w:tcPr>
            <w:tcW w:w="668" w:type="pct"/>
            <w:shd w:val="clear" w:color="auto" w:fill="auto"/>
            <w:vAlign w:val="center"/>
          </w:tcPr>
          <w:p w14:paraId="19C1BE06">
            <w:pPr>
              <w:pStyle w:val="18"/>
              <w:bidi w:val="0"/>
              <w:jc w:val="center"/>
              <w:rPr>
                <w:rFonts w:hint="default"/>
                <w:lang w:val="en-US" w:eastAsia="zh-CN"/>
              </w:rPr>
            </w:pPr>
            <w:r>
              <w:rPr>
                <w:rFonts w:hint="eastAsia"/>
                <w:lang w:val="en-US" w:eastAsia="zh-CN"/>
              </w:rPr>
              <w:t>硬件要求</w:t>
            </w:r>
          </w:p>
        </w:tc>
        <w:tc>
          <w:tcPr>
            <w:tcW w:w="4331" w:type="pct"/>
            <w:shd w:val="clear" w:color="auto" w:fill="auto"/>
            <w:vAlign w:val="center"/>
          </w:tcPr>
          <w:p w14:paraId="281223EA">
            <w:pPr>
              <w:pStyle w:val="18"/>
              <w:bidi w:val="0"/>
              <w:jc w:val="left"/>
              <w:rPr>
                <w:rFonts w:hint="eastAsia"/>
                <w:lang w:val="en-US" w:eastAsia="zh-CN"/>
              </w:rPr>
            </w:pPr>
            <w:r>
              <w:rPr>
                <w:rFonts w:hint="eastAsia"/>
                <w:lang w:val="en-US" w:eastAsia="zh-CN"/>
              </w:rPr>
              <w:t>C86架构处理器：≥2颗16核CPU，主频≥2.5GHz；</w:t>
            </w:r>
          </w:p>
          <w:p w14:paraId="40F9EC30">
            <w:pPr>
              <w:pStyle w:val="18"/>
              <w:bidi w:val="0"/>
              <w:jc w:val="left"/>
              <w:rPr>
                <w:rFonts w:hint="eastAsia"/>
                <w:lang w:val="en-US" w:eastAsia="zh-CN"/>
              </w:rPr>
            </w:pPr>
            <w:r>
              <w:rPr>
                <w:rFonts w:hint="eastAsia"/>
                <w:lang w:val="en-US" w:eastAsia="zh-CN"/>
              </w:rPr>
              <w:t>内存：≥16*32GB DDR4 3200内存，本次单台配置≥2*240G SSD系统盘，≥3*1.92T SSD缓存盘，≥9*8T SATA数据盘；</w:t>
            </w:r>
          </w:p>
          <w:p w14:paraId="0EBAE2F4">
            <w:pPr>
              <w:pStyle w:val="18"/>
              <w:bidi w:val="0"/>
              <w:jc w:val="left"/>
              <w:rPr>
                <w:rFonts w:hint="eastAsia"/>
                <w:lang w:val="en-US" w:eastAsia="zh-CN"/>
              </w:rPr>
            </w:pPr>
            <w:r>
              <w:rPr>
                <w:rFonts w:hint="eastAsia"/>
                <w:lang w:val="en-US" w:eastAsia="zh-CN"/>
              </w:rPr>
              <w:t>接口：千兆以太网电口≥4个，万兆光口≥2</w:t>
            </w:r>
            <w:r>
              <w:rPr>
                <w:rFonts w:hint="eastAsia"/>
                <w:lang w:val="en-US" w:eastAsia="zh-Hans"/>
              </w:rPr>
              <w:t>个</w:t>
            </w:r>
            <w:r>
              <w:rPr>
                <w:rFonts w:hint="eastAsia"/>
                <w:lang w:val="en-US" w:eastAsia="zh-CN"/>
              </w:rPr>
              <w:t>（含模块）；</w:t>
            </w:r>
          </w:p>
          <w:p w14:paraId="3C6C1BD8">
            <w:pPr>
              <w:pStyle w:val="18"/>
              <w:bidi w:val="0"/>
              <w:jc w:val="left"/>
              <w:rPr>
                <w:rFonts w:hint="eastAsia"/>
                <w:lang w:val="en-US" w:eastAsia="zh-Hans"/>
              </w:rPr>
            </w:pPr>
            <w:r>
              <w:rPr>
                <w:rFonts w:hint="eastAsia"/>
                <w:lang w:val="en-US" w:eastAsia="zh-CN"/>
              </w:rPr>
              <w:t>所提供产品为一体机硬件，出厂预装超融合软件系统，非裸机设备，开箱即用，光纤线、光模块根据本项目需求提供；</w:t>
            </w:r>
          </w:p>
        </w:tc>
      </w:tr>
      <w:tr w14:paraId="41246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283" w:hRule="atLeast"/>
        </w:trPr>
        <w:tc>
          <w:tcPr>
            <w:tcW w:w="668" w:type="pct"/>
            <w:shd w:val="clear" w:color="auto" w:fill="auto"/>
            <w:vAlign w:val="center"/>
          </w:tcPr>
          <w:p w14:paraId="243D9F69">
            <w:pPr>
              <w:pStyle w:val="18"/>
              <w:bidi w:val="0"/>
              <w:jc w:val="center"/>
              <w:rPr>
                <w:rFonts w:hint="default"/>
                <w:lang w:val="en-US" w:eastAsia="zh-CN"/>
              </w:rPr>
            </w:pPr>
            <w:r>
              <w:rPr>
                <w:rFonts w:hint="eastAsia"/>
                <w:lang w:val="en-US" w:eastAsia="zh-CN"/>
              </w:rPr>
              <w:t>功能要求</w:t>
            </w:r>
          </w:p>
        </w:tc>
        <w:tc>
          <w:tcPr>
            <w:tcW w:w="4331" w:type="pct"/>
            <w:shd w:val="clear" w:color="auto" w:fill="auto"/>
            <w:vAlign w:val="center"/>
          </w:tcPr>
          <w:p w14:paraId="7F5DFB69">
            <w:pPr>
              <w:pStyle w:val="18"/>
              <w:bidi w:val="0"/>
              <w:jc w:val="left"/>
              <w:rPr>
                <w:rFonts w:hint="eastAsia"/>
                <w:lang w:val="en-US" w:eastAsia="zh-CN"/>
              </w:rPr>
            </w:pPr>
            <w:r>
              <w:rPr>
                <w:rFonts w:hint="eastAsia"/>
                <w:lang w:val="en-US" w:eastAsia="zh-CN"/>
              </w:rPr>
              <w:t>★虚拟化平台至少满足4颗物理CPU的虚拟化授权，包含服务器虚拟化、存储虚拟化，数据持续保护系统，为方便统一管理和后期扩容方便，授权可通过虚拟化平台统一管理和授权。（需提供产品功能截图）；</w:t>
            </w:r>
          </w:p>
          <w:p w14:paraId="102C84E9">
            <w:pPr>
              <w:pStyle w:val="18"/>
              <w:bidi w:val="0"/>
              <w:jc w:val="left"/>
              <w:rPr>
                <w:rFonts w:hint="eastAsia"/>
                <w:lang w:val="en-US" w:eastAsia="zh-CN"/>
              </w:rPr>
            </w:pPr>
            <w:r>
              <w:rPr>
                <w:rFonts w:hint="eastAsia"/>
                <w:lang w:val="en-US" w:eastAsia="zh-CN"/>
              </w:rPr>
              <w:t>提供云管平台，能够同时管理新建超融合集群和原有超融合业务集群，实现虚拟化业务的统一管理，便于管理人员运维。</w:t>
            </w:r>
          </w:p>
          <w:p w14:paraId="05920357">
            <w:pPr>
              <w:pStyle w:val="18"/>
              <w:bidi w:val="0"/>
              <w:jc w:val="left"/>
              <w:rPr>
                <w:rFonts w:hint="eastAsia"/>
                <w:lang w:val="en-US" w:eastAsia="zh-CN"/>
              </w:rPr>
            </w:pPr>
            <w:r>
              <w:rPr>
                <w:rFonts w:hint="eastAsia"/>
                <w:lang w:val="en-US" w:eastAsia="zh-CN"/>
              </w:rPr>
              <w:t>★支持大屏展示便于客户直观查看虚拟化资源池的使用情况和健康状态，包括集群资源情况，各主机资源使用情况，存储资源池的IO次数、IO速率、IO时延、存储命中率、主机命中率，以及集群故障与告警，支持Top5主机CPU和内存利用率、Top5虚拟机CPU和内存利用率信息大屏展示等（需提供产品功能截图） </w:t>
            </w:r>
          </w:p>
          <w:p w14:paraId="1592F054">
            <w:pPr>
              <w:pStyle w:val="18"/>
              <w:bidi w:val="0"/>
              <w:jc w:val="left"/>
              <w:rPr>
                <w:rFonts w:hint="eastAsia"/>
                <w:lang w:val="en-US" w:eastAsia="zh-CN"/>
              </w:rPr>
            </w:pPr>
            <w:r>
              <w:rPr>
                <w:rFonts w:hint="eastAsia"/>
                <w:lang w:val="en-US" w:eastAsia="zh-CN"/>
              </w:rPr>
              <w:t>虚拟化的管理平台、可以支持扩展同一品牌的存储虚拟化、网络功能虚拟化、虚拟应用防火墙、虚拟应用交付、SSLVPN软件、数据库审计软件等功能组件的，并支持统一管理，以保障平台的扩展性和兼容性</w:t>
            </w:r>
          </w:p>
          <w:p w14:paraId="6D621377">
            <w:pPr>
              <w:pStyle w:val="18"/>
              <w:bidi w:val="0"/>
              <w:jc w:val="left"/>
              <w:rPr>
                <w:rFonts w:hint="eastAsia"/>
                <w:lang w:val="en-US" w:eastAsia="zh-CN"/>
              </w:rPr>
            </w:pPr>
            <w:r>
              <w:rPr>
                <w:rFonts w:hint="eastAsia"/>
                <w:lang w:val="en-US" w:eastAsia="zh-CN"/>
              </w:rPr>
              <w:t>支持平台中的集群资源环境一键检测，可以选择检测对象，包括系统运行状态检测、系统配置检测、硬件健康检测（CPU检测、内存检测、网卡检测、硬盘基本功能检测）可以点击开始检测按钮对检测对象进行检测操作</w:t>
            </w:r>
          </w:p>
          <w:p w14:paraId="7751A5E5">
            <w:pPr>
              <w:pStyle w:val="18"/>
              <w:bidi w:val="0"/>
              <w:jc w:val="left"/>
              <w:rPr>
                <w:rFonts w:hint="eastAsia"/>
                <w:lang w:val="en-US" w:eastAsia="zh-CN"/>
              </w:rPr>
            </w:pPr>
            <w:r>
              <w:rPr>
                <w:rFonts w:hint="eastAsia"/>
                <w:lang w:val="en-US" w:eastAsia="zh-CN"/>
              </w:rPr>
              <w:t>★此项目核心业务计划部署在超融合平台，平台需定期升级保障平台稳定性，核心业务不能长时间停机，超融合平台需支持在线升级不影响业务；为保证升级时间与步骤可控，升级过程中支持对升级节点进行升级顺序编排、升级暂停；同时要求页面上直接升级，无需后台操作（需提供产品功能截图）</w:t>
            </w:r>
          </w:p>
          <w:p w14:paraId="25EB2BED">
            <w:pPr>
              <w:pStyle w:val="18"/>
              <w:bidi w:val="0"/>
              <w:jc w:val="left"/>
              <w:rPr>
                <w:rFonts w:hint="eastAsia"/>
                <w:lang w:val="en-US" w:eastAsia="zh-CN"/>
              </w:rPr>
            </w:pPr>
            <w:r>
              <w:rPr>
                <w:rFonts w:hint="eastAsia"/>
                <w:lang w:val="en-US" w:eastAsia="zh-CN"/>
              </w:rPr>
              <w:t>支持漏洞及版本信息巡检，推送补丁及升级信息，并支持补丁管理、更新、回滚</w:t>
            </w:r>
          </w:p>
          <w:p w14:paraId="68330E31">
            <w:pPr>
              <w:pStyle w:val="18"/>
              <w:bidi w:val="0"/>
              <w:jc w:val="left"/>
              <w:rPr>
                <w:rFonts w:hint="eastAsia"/>
                <w:lang w:val="en-US" w:eastAsia="zh-CN"/>
              </w:rPr>
            </w:pPr>
            <w:r>
              <w:rPr>
                <w:rFonts w:hint="eastAsia"/>
                <w:lang w:val="en-US" w:eastAsia="zh-CN"/>
              </w:rPr>
              <w:t>虚拟机可以实现物理机的全部功能，如具有自己的资源（内存、CPU、网卡、存储），可以指定单独的IP地址、MAC地址等；</w:t>
            </w:r>
          </w:p>
          <w:p w14:paraId="623CDBD7">
            <w:pPr>
              <w:pStyle w:val="18"/>
              <w:bidi w:val="0"/>
              <w:jc w:val="left"/>
              <w:rPr>
                <w:rFonts w:hint="eastAsia"/>
                <w:lang w:val="en-US" w:eastAsia="zh-CN"/>
              </w:rPr>
            </w:pPr>
            <w:r>
              <w:rPr>
                <w:rFonts w:hint="eastAsia"/>
                <w:lang w:val="en-US" w:eastAsia="zh-CN"/>
              </w:rPr>
              <w:t>为满足大规模管理运维的要求，在超融合管理平台界面上提供虚拟机删除、开关机、挂起、重启、关闭、关闭电源、克隆、迁移、备份、模板导出、快照、标签管理等功能，以上功能均支持批量操作。</w:t>
            </w:r>
          </w:p>
          <w:p w14:paraId="519C9906">
            <w:pPr>
              <w:pStyle w:val="18"/>
              <w:bidi w:val="0"/>
              <w:jc w:val="left"/>
              <w:rPr>
                <w:rFonts w:hint="eastAsia"/>
                <w:lang w:val="en-US" w:eastAsia="zh-CN"/>
              </w:rPr>
            </w:pPr>
            <w:r>
              <w:rPr>
                <w:rFonts w:hint="eastAsia"/>
                <w:lang w:val="en-US" w:eastAsia="zh-CN"/>
              </w:rPr>
              <w:t>为了更好的保护用户数据，支持设置定期全量备份、增量备份、差异备份，支持用户灵活配置备份策略，支持将虚拟机的备份文件定期归档到第二存储</w:t>
            </w:r>
          </w:p>
          <w:p w14:paraId="708F48C7">
            <w:pPr>
              <w:pStyle w:val="18"/>
              <w:bidi w:val="0"/>
              <w:jc w:val="left"/>
              <w:rPr>
                <w:rFonts w:hint="eastAsia"/>
                <w:lang w:val="en-US" w:eastAsia="zh-CN"/>
              </w:rPr>
            </w:pPr>
            <w:r>
              <w:rPr>
                <w:rFonts w:hint="eastAsia"/>
                <w:lang w:val="en-US" w:eastAsia="zh-CN"/>
              </w:rPr>
              <w:t>支持UPS联动，为尽可能保障数据中心断电场景下的业务，可在市电断电时通过UPS临时供应电量，当UPS电量过低时，按照虚拟机优先级先将不重要的虚拟机进行软关机</w:t>
            </w:r>
          </w:p>
          <w:p w14:paraId="04027925">
            <w:pPr>
              <w:pStyle w:val="18"/>
              <w:bidi w:val="0"/>
              <w:jc w:val="left"/>
              <w:rPr>
                <w:rFonts w:hint="eastAsia"/>
                <w:lang w:val="en-US" w:eastAsia="zh-CN"/>
              </w:rPr>
            </w:pPr>
            <w:r>
              <w:rPr>
                <w:rFonts w:hint="eastAsia"/>
                <w:lang w:val="en-US" w:eastAsia="zh-CN"/>
              </w:rPr>
              <w:t>支持点击还原按钮，还原回收站列表指定项，可设置回收站文件保留天数，可以查看回收站列表项信息，包括名称、描述、存储和删除时间和保留时间</w:t>
            </w:r>
          </w:p>
          <w:p w14:paraId="1FB7ACEA">
            <w:pPr>
              <w:pStyle w:val="18"/>
              <w:bidi w:val="0"/>
              <w:jc w:val="left"/>
              <w:rPr>
                <w:rFonts w:hint="eastAsia"/>
                <w:lang w:val="en-US" w:eastAsia="zh-CN"/>
              </w:rPr>
            </w:pPr>
            <w:r>
              <w:rPr>
                <w:rFonts w:hint="eastAsia"/>
                <w:lang w:val="en-US" w:eastAsia="zh-CN"/>
              </w:rPr>
              <w:t>为避免主机假死导致系列问题发生，支持识别假死主机并标签化为亚健康主机，通过邮件或短信告警提醒用户进行处理，并限制重要业务在亚健康主机上运行，规避风险</w:t>
            </w:r>
          </w:p>
          <w:p w14:paraId="07ED105F">
            <w:pPr>
              <w:pStyle w:val="18"/>
              <w:bidi w:val="0"/>
              <w:jc w:val="left"/>
              <w:rPr>
                <w:rFonts w:hint="eastAsia"/>
                <w:lang w:val="en-US" w:eastAsia="zh-CN"/>
              </w:rPr>
            </w:pPr>
            <w:r>
              <w:rPr>
                <w:rFonts w:hint="eastAsia"/>
                <w:lang w:val="en-US" w:eastAsia="zh-CN"/>
              </w:rPr>
              <w:t>支持内存ECC自动纠错机制，当扫描到物理主机的内存条出现ECC CE和UE错误时，能够将对应内存空间进行隔离并定位故障内存的槽位，减少硬件问题对业务的影响</w:t>
            </w:r>
          </w:p>
          <w:p w14:paraId="7F190471">
            <w:pPr>
              <w:pStyle w:val="18"/>
              <w:bidi w:val="0"/>
              <w:jc w:val="left"/>
              <w:rPr>
                <w:rFonts w:hint="eastAsia"/>
                <w:lang w:val="en-US" w:eastAsia="zh-CN"/>
              </w:rPr>
            </w:pPr>
            <w:r>
              <w:rPr>
                <w:rFonts w:hint="eastAsia"/>
                <w:lang w:val="en-US" w:eastAsia="zh-CN"/>
              </w:rPr>
              <w:t>★通过License激活的方式，实现网络虚拟化功能（分布式虚拟交换机、虚拟路由器、虚拟应用防火墙、虚拟应用负载均衡），支持Vxlan网络和现有的Vlan网络对接，实现虚拟化平台与原有网络的兼容性（需提供产品功能截图）</w:t>
            </w:r>
          </w:p>
          <w:p w14:paraId="0A689441">
            <w:pPr>
              <w:pStyle w:val="18"/>
              <w:bidi w:val="0"/>
              <w:jc w:val="left"/>
              <w:rPr>
                <w:rFonts w:hint="eastAsia"/>
                <w:lang w:val="en-US" w:eastAsia="zh-CN"/>
              </w:rPr>
            </w:pPr>
            <w:r>
              <w:rPr>
                <w:rFonts w:hint="eastAsia"/>
                <w:lang w:val="en-US" w:eastAsia="zh-CN"/>
              </w:rPr>
              <w:t>本次配置不限制虚拟路由器创建数量，虚拟路由器支持HA功能，当虚拟路由器运行的主机出现故障时，可以实现故障自动恢复，保障业务的高可靠性</w:t>
            </w:r>
          </w:p>
          <w:p w14:paraId="6F60B98D">
            <w:pPr>
              <w:pStyle w:val="18"/>
              <w:bidi w:val="0"/>
              <w:jc w:val="left"/>
              <w:rPr>
                <w:rFonts w:hint="eastAsia"/>
                <w:lang w:val="en-US" w:eastAsia="zh-CN"/>
              </w:rPr>
            </w:pPr>
            <w:r>
              <w:rPr>
                <w:rFonts w:hint="eastAsia"/>
                <w:lang w:val="en-US" w:eastAsia="zh-CN"/>
              </w:rPr>
              <w:t>在管理平台上可以通过拖拽连线完成网络拓扑的构建，可以在网络拓扑页面通过功能键实现虚拟网络连接、开启和关闭等操作</w:t>
            </w:r>
          </w:p>
          <w:p w14:paraId="3E3B173B">
            <w:pPr>
              <w:pStyle w:val="18"/>
              <w:bidi w:val="0"/>
              <w:jc w:val="left"/>
              <w:rPr>
                <w:rFonts w:hint="eastAsia"/>
                <w:lang w:val="en-US" w:eastAsia="zh-CN"/>
              </w:rPr>
            </w:pPr>
            <w:r>
              <w:rPr>
                <w:rFonts w:hint="eastAsia"/>
                <w:lang w:val="en-US" w:eastAsia="zh-CN"/>
              </w:rPr>
              <w:t>为满足用户使用IPv6地址的需求，支持为虚拟机配置IPv6地址，并可通过IPv6地址访问该业务</w:t>
            </w:r>
          </w:p>
          <w:p w14:paraId="753FA4AB">
            <w:pPr>
              <w:pStyle w:val="18"/>
              <w:bidi w:val="0"/>
              <w:jc w:val="left"/>
              <w:rPr>
                <w:rFonts w:hint="eastAsia"/>
                <w:lang w:val="en-US" w:eastAsia="zh-CN"/>
              </w:rPr>
            </w:pPr>
            <w:r>
              <w:rPr>
                <w:rFonts w:hint="eastAsia"/>
                <w:lang w:val="en-US" w:eastAsia="zh-CN"/>
              </w:rPr>
              <w:t>支持创建分布式虚拟防火墙，可基于虚拟机、虚拟机组、虚拟机标签、IP、IP范围、IP组构建安全防火墙。</w:t>
            </w:r>
          </w:p>
          <w:p w14:paraId="21814F96">
            <w:pPr>
              <w:pStyle w:val="18"/>
              <w:bidi w:val="0"/>
              <w:jc w:val="left"/>
              <w:rPr>
                <w:rFonts w:hint="eastAsia"/>
                <w:lang w:val="en-US" w:eastAsia="zh-Hans"/>
              </w:rPr>
            </w:pPr>
            <w:r>
              <w:rPr>
                <w:rFonts w:hint="eastAsia"/>
                <w:lang w:val="en-US" w:eastAsia="zh-CN"/>
              </w:rPr>
              <w:t>超融合能够提供端口镜像功能，支持设置流量镜像将超融合内部网络流量镜像到内部虚拟机、nfv、外部安全设备进行流量审计；</w:t>
            </w:r>
          </w:p>
          <w:p w14:paraId="30D1A14B">
            <w:pPr>
              <w:pStyle w:val="18"/>
              <w:bidi w:val="0"/>
              <w:jc w:val="left"/>
              <w:rPr>
                <w:rFonts w:hint="eastAsia"/>
                <w:lang w:val="en-US" w:eastAsia="zh-Hans"/>
              </w:rPr>
            </w:pPr>
            <w:r>
              <w:rPr>
                <w:rFonts w:hint="eastAsia"/>
                <w:lang w:val="en-US" w:eastAsia="zh-CN"/>
              </w:rPr>
              <w:t>为保障网络传输的可靠性，针对所有网口光衰导致的时延、闪断等网络性能异常的情况，云平台可实现定位到包括管理网口、业务网口、存储网口等聚合网口里具体链路的网络亚健康告警</w:t>
            </w:r>
          </w:p>
          <w:p w14:paraId="0E0BADA4">
            <w:pPr>
              <w:pStyle w:val="18"/>
              <w:bidi w:val="0"/>
              <w:jc w:val="left"/>
              <w:rPr>
                <w:rFonts w:hint="eastAsia"/>
                <w:lang w:val="en-US" w:eastAsia="zh-CN"/>
              </w:rPr>
            </w:pPr>
            <w:r>
              <w:rPr>
                <w:rFonts w:hint="eastAsia"/>
                <w:lang w:val="en-US" w:eastAsia="zh-CN"/>
              </w:rPr>
              <w:t>采用分布式的软件定义存储架构，在通用x86服务器部署，把所有服务器硬盘组织成一个虚拟存储资源池，提供分布式存储服务，无需独立的元数据及控制器节点；通过新增物理服务器可以实现存储容量和性能的横向扩展（Scale-Out架构），扩容过程保证业务零中断</w:t>
            </w:r>
          </w:p>
          <w:p w14:paraId="45AD0D94">
            <w:pPr>
              <w:pStyle w:val="18"/>
              <w:bidi w:val="0"/>
              <w:jc w:val="left"/>
              <w:rPr>
                <w:rFonts w:hint="eastAsia"/>
                <w:lang w:val="en-US" w:eastAsia="zh-CN"/>
              </w:rPr>
            </w:pPr>
            <w:r>
              <w:rPr>
                <w:rFonts w:hint="eastAsia"/>
                <w:lang w:val="en-US" w:eastAsia="zh-CN"/>
              </w:rPr>
              <w:t>★支持存储虚拟化功能，无需安装额外的软件，在一个统一的管理平台上使用License激活的方式即可开通使用，存储虚拟化与计算虚拟化为紧耦合架构，减少底层开销，提升性能（需提供产品功能截图）</w:t>
            </w:r>
          </w:p>
          <w:p w14:paraId="65A1EA78">
            <w:pPr>
              <w:pStyle w:val="18"/>
              <w:bidi w:val="0"/>
              <w:jc w:val="left"/>
              <w:rPr>
                <w:rFonts w:hint="eastAsia"/>
                <w:lang w:val="en-US" w:eastAsia="zh-CN"/>
              </w:rPr>
            </w:pPr>
            <w:r>
              <w:rPr>
                <w:rFonts w:hint="eastAsia"/>
                <w:lang w:val="en-US" w:eastAsia="zh-CN"/>
              </w:rPr>
              <w:t>支持为虚拟磁盘配置不同的存储策略以满足特定场景的需求，如系统盘和数据盘选择高性能策略，备份盘选择低性能策略；</w:t>
            </w:r>
          </w:p>
          <w:p w14:paraId="0A71597B">
            <w:pPr>
              <w:pStyle w:val="18"/>
              <w:bidi w:val="0"/>
              <w:jc w:val="left"/>
              <w:rPr>
                <w:rFonts w:hint="eastAsia"/>
                <w:lang w:val="en-US" w:eastAsia="zh-CN"/>
              </w:rPr>
            </w:pPr>
            <w:r>
              <w:rPr>
                <w:rFonts w:hint="eastAsia"/>
                <w:lang w:val="en-US" w:eastAsia="zh-CN"/>
              </w:rPr>
              <w:t>支持选择多种克隆方式，包括快速全量克隆、全量克隆和链接克隆，可查看通过链接克隆的虚拟机是否运行正常，可以设置克隆完成后自动启动克隆虚拟机操作</w:t>
            </w:r>
          </w:p>
          <w:p w14:paraId="7D0D123A">
            <w:pPr>
              <w:pStyle w:val="18"/>
              <w:bidi w:val="0"/>
              <w:jc w:val="left"/>
              <w:rPr>
                <w:rFonts w:hint="eastAsia"/>
                <w:lang w:val="en-US" w:eastAsia="zh-CN"/>
              </w:rPr>
            </w:pPr>
            <w:r>
              <w:rPr>
                <w:rFonts w:hint="eastAsia"/>
                <w:lang w:val="en-US" w:eastAsia="zh-CN"/>
              </w:rPr>
              <w:t>★支持数据重建优先级调整，可以查看数据重建任务列表信息，包括对象名称、对象类型、数据量和优先级等信息，可以点击操作中的优先级对数据重建进行优先重建，保证重要的业务优先恢复数据的安全性（提供带有CMA、CNAS标识的检测报告证明，至少包含报告首页，对应功能测试页和报告尾页）</w:t>
            </w:r>
          </w:p>
          <w:p w14:paraId="4E0A9F4C">
            <w:pPr>
              <w:pStyle w:val="18"/>
              <w:bidi w:val="0"/>
              <w:jc w:val="left"/>
              <w:rPr>
                <w:rFonts w:hint="eastAsia"/>
                <w:lang w:val="en-US" w:eastAsia="zh-CN"/>
              </w:rPr>
            </w:pPr>
            <w:r>
              <w:rPr>
                <w:rFonts w:hint="eastAsia"/>
                <w:lang w:val="en-US" w:eastAsia="zh-CN"/>
              </w:rPr>
              <w:t>★支持数据重建智能保护业务性能，可以对数据重建速度进行智能限速，避免数据重建过程中IO性能占用导致对业务的性能造成影响（需提供产品功能截图）</w:t>
            </w:r>
          </w:p>
          <w:p w14:paraId="56FF0CFD">
            <w:pPr>
              <w:pStyle w:val="18"/>
              <w:bidi w:val="0"/>
              <w:jc w:val="left"/>
              <w:rPr>
                <w:rFonts w:hint="eastAsia"/>
                <w:lang w:val="en-US" w:eastAsia="zh-CN"/>
              </w:rPr>
            </w:pPr>
            <w:r>
              <w:rPr>
                <w:rFonts w:hint="eastAsia"/>
                <w:lang w:val="en-US" w:eastAsia="zh-CN"/>
              </w:rPr>
              <w:t>支持条带化功能，并且支持以虚拟磁盘为单位设置不同的条带数</w:t>
            </w:r>
          </w:p>
          <w:p w14:paraId="66804BF7">
            <w:pPr>
              <w:pStyle w:val="18"/>
              <w:bidi w:val="0"/>
              <w:jc w:val="left"/>
              <w:rPr>
                <w:rFonts w:hint="eastAsia"/>
                <w:lang w:val="en-US" w:eastAsia="zh-CN"/>
              </w:rPr>
            </w:pPr>
            <w:r>
              <w:rPr>
                <w:rFonts w:hint="eastAsia"/>
                <w:lang w:val="en-US" w:eastAsia="zh-CN"/>
              </w:rPr>
              <w:t>可以进行一键部署数据库操作，可以选择数据库类型，包括MySQL、SQL Server和Oracle，可以选择部署架构，包括MySQL（单机，主从），SQL Server（单机，AlwaysOn），Oracle（单机，RAC）</w:t>
            </w:r>
          </w:p>
          <w:p w14:paraId="20634050">
            <w:pPr>
              <w:pStyle w:val="18"/>
              <w:bidi w:val="0"/>
              <w:jc w:val="left"/>
              <w:rPr>
                <w:rFonts w:hint="eastAsia"/>
                <w:lang w:val="en-US" w:eastAsia="zh-CN"/>
              </w:rPr>
            </w:pPr>
            <w:r>
              <w:rPr>
                <w:rFonts w:hint="eastAsia"/>
                <w:lang w:val="en-US" w:eastAsia="zh-CN"/>
              </w:rPr>
              <w:t>为保证集群业务或者oracle rac数据库业务的快照一致性，以便故障时业务可通过快照恢复，支持对虚拟机配置一致性组，对整个一致性组进行快照</w:t>
            </w:r>
          </w:p>
          <w:p w14:paraId="05EF4490">
            <w:pPr>
              <w:pStyle w:val="18"/>
              <w:bidi w:val="0"/>
              <w:jc w:val="left"/>
              <w:rPr>
                <w:rFonts w:hint="eastAsia"/>
                <w:lang w:val="en-US" w:eastAsia="zh-CN"/>
              </w:rPr>
            </w:pPr>
            <w:r>
              <w:rPr>
                <w:rFonts w:hint="eastAsia"/>
                <w:lang w:val="en-US" w:eastAsia="zh-CN"/>
              </w:rPr>
              <w:t>支持坏道扫描功能，由用户设置扫描的时间段定期对集群的硬盘进行扫描，及时发现潜藏的坏道</w:t>
            </w:r>
          </w:p>
          <w:p w14:paraId="1F2F5F14">
            <w:pPr>
              <w:pStyle w:val="18"/>
              <w:bidi w:val="0"/>
              <w:jc w:val="left"/>
              <w:rPr>
                <w:rFonts w:hint="eastAsia"/>
                <w:lang w:val="en-US" w:eastAsia="zh-CN"/>
              </w:rPr>
            </w:pPr>
            <w:r>
              <w:rPr>
                <w:rFonts w:hint="eastAsia"/>
                <w:lang w:val="en-US" w:eastAsia="zh-CN"/>
              </w:rPr>
              <w:t>★为了更好地进行运维，支持智能坏道预测，准确识别出接下来会出现坏道的硬盘，实现故障前预测并处理，规避故障风险（需提供产品功能截图）</w:t>
            </w:r>
          </w:p>
          <w:p w14:paraId="2A464F22">
            <w:pPr>
              <w:pStyle w:val="18"/>
              <w:bidi w:val="0"/>
              <w:jc w:val="left"/>
              <w:rPr>
                <w:rFonts w:hint="eastAsia"/>
                <w:lang w:val="en-US" w:eastAsia="zh-Hans"/>
              </w:rPr>
            </w:pPr>
            <w:r>
              <w:rPr>
                <w:rFonts w:hint="eastAsia"/>
                <w:lang w:val="en-US" w:eastAsia="zh-CN"/>
              </w:rPr>
              <w:t>支持与现有超融合平台进行兼容对接。</w:t>
            </w:r>
          </w:p>
        </w:tc>
      </w:tr>
      <w:tr w14:paraId="58F97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28" w:type="dxa"/>
            <w:bottom w:w="0" w:type="dxa"/>
            <w:right w:w="28" w:type="dxa"/>
          </w:tblCellMar>
        </w:tblPrEx>
        <w:trPr>
          <w:trHeight w:val="283" w:hRule="atLeast"/>
        </w:trPr>
        <w:tc>
          <w:tcPr>
            <w:tcW w:w="668" w:type="pct"/>
            <w:shd w:val="clear" w:color="auto" w:fill="auto"/>
            <w:vAlign w:val="center"/>
          </w:tcPr>
          <w:p w14:paraId="35A86ED6">
            <w:pPr>
              <w:pStyle w:val="18"/>
              <w:bidi w:val="0"/>
              <w:jc w:val="center"/>
              <w:rPr>
                <w:rFonts w:hint="default"/>
                <w:lang w:val="en-US" w:eastAsia="zh-CN"/>
              </w:rPr>
            </w:pPr>
            <w:r>
              <w:rPr>
                <w:rFonts w:hint="eastAsia"/>
                <w:lang w:val="en-US" w:eastAsia="zh-CN"/>
              </w:rPr>
              <w:t>其他要求</w:t>
            </w:r>
          </w:p>
        </w:tc>
        <w:tc>
          <w:tcPr>
            <w:tcW w:w="4331" w:type="pct"/>
            <w:shd w:val="clear" w:color="auto" w:fill="auto"/>
            <w:vAlign w:val="center"/>
          </w:tcPr>
          <w:p w14:paraId="0B79252C">
            <w:pPr>
              <w:pStyle w:val="18"/>
              <w:bidi w:val="0"/>
              <w:jc w:val="left"/>
              <w:rPr>
                <w:rFonts w:hint="default"/>
                <w:lang w:val="en-US" w:eastAsia="zh-CN"/>
              </w:rPr>
            </w:pPr>
            <w:r>
              <w:rPr>
                <w:rFonts w:hint="eastAsia"/>
                <w:lang w:val="en-US" w:eastAsia="zh-CN"/>
              </w:rPr>
              <w:t>提供三年</w:t>
            </w:r>
            <w:r>
              <w:rPr>
                <w:rFonts w:hint="eastAsia"/>
                <w:lang w:val="en-US" w:eastAsia="zh-Hans"/>
              </w:rPr>
              <w:t>原厂质保，</w:t>
            </w:r>
            <w:r>
              <w:rPr>
                <w:rFonts w:hint="eastAsia"/>
                <w:lang w:val="en-US" w:eastAsia="zh-CN"/>
              </w:rPr>
              <w:t>中标后</w:t>
            </w:r>
            <w:r>
              <w:rPr>
                <w:rFonts w:hint="eastAsia"/>
                <w:lang w:val="en-US" w:eastAsia="zh-Hans"/>
              </w:rPr>
              <w:t>提供原厂商服务承诺函加盖制造商和投标人公章</w:t>
            </w:r>
          </w:p>
        </w:tc>
      </w:tr>
    </w:tbl>
    <w:p w14:paraId="6C07A243">
      <w:pPr>
        <w:pStyle w:val="2"/>
        <w:bidi w:val="0"/>
        <w:rPr>
          <w:rFonts w:hint="eastAsia" w:ascii="宋体" w:hAnsi="宋体" w:eastAsia="宋体" w:cs="宋体"/>
        </w:rPr>
      </w:pPr>
      <w:bookmarkStart w:id="12" w:name="_Toc7415"/>
      <w:r>
        <w:rPr>
          <w:rFonts w:hint="eastAsia" w:ascii="宋体" w:hAnsi="宋体" w:cs="宋体"/>
          <w:lang w:val="en-US" w:eastAsia="zh-CN"/>
        </w:rPr>
        <w:t>超融合</w:t>
      </w:r>
      <w:r>
        <w:rPr>
          <w:rFonts w:hint="eastAsia" w:ascii="宋体" w:hAnsi="宋体" w:eastAsia="宋体" w:cs="宋体"/>
          <w:lang w:val="en-US" w:eastAsia="zh-CN"/>
        </w:rPr>
        <w:t>交换机</w:t>
      </w:r>
      <w:r>
        <w:rPr>
          <w:rFonts w:hint="eastAsia" w:ascii="宋体" w:hAnsi="宋体" w:eastAsia="宋体" w:cs="宋体"/>
        </w:rPr>
        <w:t>技术参数要求</w:t>
      </w:r>
      <w:bookmarkEnd w:id="12"/>
    </w:p>
    <w:tbl>
      <w:tblPr>
        <w:tblStyle w:val="15"/>
        <w:tblW w:w="5232" w:type="pct"/>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5"/>
        <w:gridCol w:w="7537"/>
      </w:tblGrid>
      <w:tr w14:paraId="344F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669" w:type="pct"/>
            <w:tcBorders>
              <w:top w:val="single" w:color="auto" w:sz="4" w:space="0"/>
              <w:left w:val="single" w:color="auto" w:sz="4" w:space="0"/>
              <w:bottom w:val="single" w:color="auto" w:sz="4" w:space="0"/>
              <w:right w:val="single" w:color="auto" w:sz="4" w:space="0"/>
            </w:tcBorders>
            <w:vAlign w:val="center"/>
          </w:tcPr>
          <w:p w14:paraId="461B3C8D">
            <w:pPr>
              <w:pStyle w:val="18"/>
              <w:bidi w:val="0"/>
              <w:jc w:val="center"/>
              <w:rPr>
                <w:rFonts w:hint="default"/>
                <w:b/>
                <w:bCs/>
                <w:lang w:val="en-US" w:eastAsia="zh-CN"/>
              </w:rPr>
            </w:pPr>
            <w:r>
              <w:rPr>
                <w:rFonts w:hint="eastAsia"/>
                <w:b/>
                <w:bCs/>
                <w:lang w:val="en-US" w:eastAsia="zh-CN"/>
              </w:rPr>
              <w:t>指标项</w:t>
            </w:r>
          </w:p>
        </w:tc>
        <w:tc>
          <w:tcPr>
            <w:tcW w:w="4330" w:type="pct"/>
            <w:tcBorders>
              <w:top w:val="single" w:color="auto" w:sz="4" w:space="0"/>
              <w:left w:val="single" w:color="auto" w:sz="4" w:space="0"/>
              <w:bottom w:val="single" w:color="auto" w:sz="4" w:space="0"/>
              <w:right w:val="single" w:color="auto" w:sz="4" w:space="0"/>
            </w:tcBorders>
            <w:noWrap/>
            <w:vAlign w:val="center"/>
          </w:tcPr>
          <w:p w14:paraId="1FB8E7B9">
            <w:pPr>
              <w:pStyle w:val="18"/>
              <w:bidi w:val="0"/>
              <w:jc w:val="center"/>
              <w:rPr>
                <w:rFonts w:hint="eastAsia"/>
                <w:b/>
                <w:bCs/>
                <w:lang w:val="en-US" w:eastAsia="zh-CN"/>
              </w:rPr>
            </w:pPr>
            <w:r>
              <w:rPr>
                <w:rFonts w:hint="eastAsia"/>
                <w:b/>
                <w:bCs/>
                <w:lang w:val="en-US" w:eastAsia="zh-CN"/>
              </w:rPr>
              <w:t>主要配置</w:t>
            </w:r>
          </w:p>
        </w:tc>
      </w:tr>
      <w:tr w14:paraId="4932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669" w:type="pct"/>
            <w:tcBorders>
              <w:top w:val="single" w:color="auto" w:sz="4" w:space="0"/>
              <w:left w:val="single" w:color="auto" w:sz="4" w:space="0"/>
              <w:bottom w:val="single" w:color="auto" w:sz="4" w:space="0"/>
              <w:right w:val="single" w:color="auto" w:sz="4" w:space="0"/>
            </w:tcBorders>
            <w:vAlign w:val="center"/>
          </w:tcPr>
          <w:p w14:paraId="45D6AF10">
            <w:pPr>
              <w:pStyle w:val="18"/>
              <w:bidi w:val="0"/>
              <w:rPr>
                <w:rFonts w:hint="default"/>
                <w:lang w:val="en-US" w:eastAsia="zh-CN"/>
              </w:rPr>
            </w:pPr>
            <w:r>
              <w:rPr>
                <w:rFonts w:hint="eastAsia"/>
                <w:lang w:val="en-US" w:eastAsia="zh-CN"/>
              </w:rPr>
              <w:t>性能要求</w:t>
            </w:r>
          </w:p>
        </w:tc>
        <w:tc>
          <w:tcPr>
            <w:tcW w:w="4330" w:type="pct"/>
            <w:tcBorders>
              <w:top w:val="single" w:color="auto" w:sz="4" w:space="0"/>
              <w:left w:val="single" w:color="auto" w:sz="4" w:space="0"/>
              <w:bottom w:val="single" w:color="auto" w:sz="4" w:space="0"/>
              <w:right w:val="single" w:color="auto" w:sz="4" w:space="0"/>
            </w:tcBorders>
            <w:noWrap/>
            <w:vAlign w:val="center"/>
          </w:tcPr>
          <w:p w14:paraId="5D84D125">
            <w:pPr>
              <w:pStyle w:val="18"/>
              <w:bidi w:val="0"/>
              <w:jc w:val="left"/>
              <w:rPr>
                <w:rFonts w:hint="eastAsia"/>
                <w:lang w:val="en-US" w:eastAsia="zh-CN"/>
              </w:rPr>
            </w:pPr>
            <w:r>
              <w:rPr>
                <w:rFonts w:hint="eastAsia"/>
                <w:lang w:val="en-US" w:eastAsia="zh-Hans"/>
              </w:rPr>
              <w:t>交换容量≥2.56Tbps，包转发率≥810Mpps，以官网最小值为准。</w:t>
            </w:r>
          </w:p>
        </w:tc>
      </w:tr>
      <w:tr w14:paraId="4608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669" w:type="pct"/>
            <w:tcBorders>
              <w:top w:val="single" w:color="auto" w:sz="4" w:space="0"/>
              <w:left w:val="single" w:color="auto" w:sz="4" w:space="0"/>
              <w:bottom w:val="single" w:color="auto" w:sz="4" w:space="0"/>
              <w:right w:val="single" w:color="auto" w:sz="4" w:space="0"/>
            </w:tcBorders>
            <w:vAlign w:val="center"/>
          </w:tcPr>
          <w:p w14:paraId="6EAC71B5">
            <w:pPr>
              <w:pStyle w:val="18"/>
              <w:bidi w:val="0"/>
              <w:rPr>
                <w:rFonts w:hint="default"/>
                <w:lang w:val="en-US" w:eastAsia="zh-CN"/>
              </w:rPr>
            </w:pPr>
            <w:r>
              <w:rPr>
                <w:rFonts w:hint="eastAsia"/>
                <w:lang w:val="en-US" w:eastAsia="zh-CN"/>
              </w:rPr>
              <w:t>硬件要求</w:t>
            </w:r>
          </w:p>
        </w:tc>
        <w:tc>
          <w:tcPr>
            <w:tcW w:w="4330" w:type="pct"/>
            <w:tcBorders>
              <w:top w:val="single" w:color="auto" w:sz="4" w:space="0"/>
              <w:left w:val="single" w:color="auto" w:sz="4" w:space="0"/>
              <w:bottom w:val="single" w:color="auto" w:sz="4" w:space="0"/>
              <w:right w:val="single" w:color="auto" w:sz="4" w:space="0"/>
            </w:tcBorders>
            <w:noWrap/>
            <w:vAlign w:val="center"/>
          </w:tcPr>
          <w:p w14:paraId="7DE222B5">
            <w:pPr>
              <w:pStyle w:val="18"/>
              <w:bidi w:val="0"/>
              <w:jc w:val="left"/>
              <w:rPr>
                <w:rFonts w:hint="eastAsia"/>
                <w:lang w:val="en-US" w:eastAsia="zh-Hans"/>
              </w:rPr>
            </w:pPr>
            <w:r>
              <w:rPr>
                <w:rFonts w:hint="eastAsia"/>
                <w:lang w:val="en-US" w:eastAsia="zh-Hans"/>
              </w:rPr>
              <w:t>★万兆SFP+光口≥</w:t>
            </w:r>
            <w:r>
              <w:rPr>
                <w:rFonts w:hint="eastAsia"/>
                <w:lang w:val="en-US" w:eastAsia="zh-CN"/>
              </w:rPr>
              <w:t>24</w:t>
            </w:r>
            <w:r>
              <w:rPr>
                <w:rFonts w:hint="eastAsia"/>
                <w:lang w:val="en-US" w:eastAsia="zh-Hans"/>
              </w:rPr>
              <w:t>个</w:t>
            </w:r>
            <w:r>
              <w:rPr>
                <w:rFonts w:hint="eastAsia"/>
                <w:lang w:val="en-US" w:eastAsia="zh-CN"/>
              </w:rPr>
              <w:t>(含12个模块)</w:t>
            </w:r>
            <w:r>
              <w:rPr>
                <w:rFonts w:hint="eastAsia"/>
                <w:lang w:val="en-US" w:eastAsia="zh-Hans"/>
              </w:rPr>
              <w:t>；千兆电口≥</w:t>
            </w:r>
            <w:r>
              <w:rPr>
                <w:rFonts w:hint="eastAsia"/>
                <w:lang w:val="en-US" w:eastAsia="zh-CN"/>
              </w:rPr>
              <w:t>24</w:t>
            </w:r>
            <w:r>
              <w:rPr>
                <w:rFonts w:hint="eastAsia"/>
                <w:lang w:val="en-US" w:eastAsia="zh-Hans"/>
              </w:rPr>
              <w:t>个</w:t>
            </w:r>
          </w:p>
          <w:p w14:paraId="767B3F43">
            <w:pPr>
              <w:pStyle w:val="18"/>
              <w:bidi w:val="0"/>
              <w:jc w:val="left"/>
              <w:rPr>
                <w:rFonts w:hint="eastAsia"/>
                <w:lang w:val="en-US" w:eastAsia="zh-CN"/>
              </w:rPr>
            </w:pPr>
            <w:r>
              <w:rPr>
                <w:rFonts w:hint="eastAsia"/>
                <w:lang w:val="en-US" w:eastAsia="zh-Hans"/>
              </w:rPr>
              <w:t>★支持双交流电源模块1+1冗余（热插拔）；</w:t>
            </w:r>
          </w:p>
        </w:tc>
      </w:tr>
      <w:tr w14:paraId="6FAE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669" w:type="pct"/>
            <w:tcBorders>
              <w:top w:val="single" w:color="auto" w:sz="4" w:space="0"/>
              <w:left w:val="single" w:color="auto" w:sz="4" w:space="0"/>
              <w:bottom w:val="single" w:color="auto" w:sz="4" w:space="0"/>
              <w:right w:val="single" w:color="auto" w:sz="4" w:space="0"/>
            </w:tcBorders>
            <w:vAlign w:val="center"/>
          </w:tcPr>
          <w:p w14:paraId="17835692">
            <w:pPr>
              <w:pStyle w:val="18"/>
              <w:bidi w:val="0"/>
              <w:rPr>
                <w:rFonts w:hint="eastAsia"/>
                <w:lang w:val="en-US" w:eastAsia="zh-CN"/>
              </w:rPr>
            </w:pPr>
            <w:r>
              <w:rPr>
                <w:rFonts w:hint="eastAsia"/>
                <w:lang w:val="en-US" w:eastAsia="zh-CN"/>
              </w:rPr>
              <w:t>功能要求</w:t>
            </w:r>
          </w:p>
        </w:tc>
        <w:tc>
          <w:tcPr>
            <w:tcW w:w="4330" w:type="pct"/>
            <w:tcBorders>
              <w:top w:val="single" w:color="auto" w:sz="4" w:space="0"/>
              <w:left w:val="single" w:color="auto" w:sz="4" w:space="0"/>
              <w:bottom w:val="single" w:color="auto" w:sz="4" w:space="0"/>
              <w:right w:val="single" w:color="auto" w:sz="4" w:space="0"/>
            </w:tcBorders>
            <w:noWrap/>
            <w:vAlign w:val="center"/>
          </w:tcPr>
          <w:p w14:paraId="482D71E9">
            <w:pPr>
              <w:pStyle w:val="18"/>
              <w:bidi w:val="0"/>
              <w:jc w:val="left"/>
              <w:rPr>
                <w:rFonts w:hint="eastAsia"/>
                <w:lang w:val="en-US" w:eastAsia="zh-Hans"/>
              </w:rPr>
            </w:pPr>
            <w:r>
              <w:rPr>
                <w:rFonts w:hint="eastAsia"/>
                <w:lang w:val="en-US" w:eastAsia="zh-Hans"/>
              </w:rPr>
              <w:t>支持M-LAG技术，跨设备链路聚合（非堆叠技术实现），要求配对的设备有独立的控制平面，要求提供具有CMA和CNAS认证章的第三方权威机构测试报告；</w:t>
            </w:r>
          </w:p>
          <w:p w14:paraId="19795105">
            <w:pPr>
              <w:pStyle w:val="18"/>
              <w:bidi w:val="0"/>
              <w:jc w:val="left"/>
              <w:rPr>
                <w:rFonts w:hint="eastAsia"/>
                <w:lang w:val="en-US" w:eastAsia="zh-CN"/>
              </w:rPr>
            </w:pPr>
            <w:r>
              <w:rPr>
                <w:rFonts w:hint="eastAsia"/>
                <w:lang w:val="en-US" w:eastAsia="zh-Hans"/>
              </w:rPr>
              <w:t>为满足网络安全建设需求，交换机需满足《信息安全技术 交换机安全技术要求GA/T684-2007》,符合安全交换机标准，提供与之对应的权威机构出具的检测报告</w:t>
            </w:r>
          </w:p>
        </w:tc>
      </w:tr>
      <w:tr w14:paraId="2058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669" w:type="pct"/>
            <w:tcBorders>
              <w:top w:val="single" w:color="auto" w:sz="4" w:space="0"/>
              <w:left w:val="single" w:color="auto" w:sz="4" w:space="0"/>
              <w:bottom w:val="single" w:color="auto" w:sz="4" w:space="0"/>
              <w:right w:val="single" w:color="auto" w:sz="4" w:space="0"/>
            </w:tcBorders>
            <w:vAlign w:val="center"/>
          </w:tcPr>
          <w:p w14:paraId="2BD4A0C7">
            <w:pPr>
              <w:pStyle w:val="18"/>
              <w:bidi w:val="0"/>
              <w:jc w:val="center"/>
              <w:rPr>
                <w:rFonts w:hint="default" w:eastAsia="宋体"/>
                <w:lang w:val="en-US" w:eastAsia="zh-CN"/>
              </w:rPr>
            </w:pPr>
            <w:r>
              <w:rPr>
                <w:rFonts w:hint="eastAsia" w:eastAsia="宋体"/>
                <w:lang w:val="en-US" w:eastAsia="zh-CN"/>
              </w:rPr>
              <w:t>其他要求</w:t>
            </w:r>
          </w:p>
        </w:tc>
        <w:tc>
          <w:tcPr>
            <w:tcW w:w="4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C9726F">
            <w:pPr>
              <w:pStyle w:val="18"/>
              <w:bidi w:val="0"/>
              <w:jc w:val="left"/>
              <w:rPr>
                <w:rFonts w:hint="eastAsia"/>
                <w:lang w:val="en-US" w:eastAsia="zh-CN"/>
              </w:rPr>
            </w:pPr>
            <w:r>
              <w:rPr>
                <w:rFonts w:hint="eastAsia" w:eastAsia="宋体"/>
                <w:lang w:val="en-US" w:eastAsia="zh-CN"/>
              </w:rPr>
              <w:t>提供三年</w:t>
            </w:r>
            <w:r>
              <w:rPr>
                <w:rFonts w:hint="eastAsia" w:eastAsia="宋体"/>
                <w:lang w:val="en-US" w:eastAsia="zh-Hans"/>
              </w:rPr>
              <w:t>原厂质保，</w:t>
            </w:r>
            <w:r>
              <w:rPr>
                <w:rFonts w:hint="eastAsia" w:eastAsia="宋体"/>
                <w:lang w:val="en-US" w:eastAsia="zh-CN"/>
              </w:rPr>
              <w:t>中标后</w:t>
            </w:r>
            <w:r>
              <w:rPr>
                <w:rFonts w:hint="eastAsia" w:eastAsia="宋体"/>
                <w:lang w:val="en-US" w:eastAsia="zh-Hans"/>
              </w:rPr>
              <w:t>提供原厂商服务承诺函加盖制造商和投标人公章</w:t>
            </w:r>
          </w:p>
        </w:tc>
      </w:tr>
    </w:tbl>
    <w:p w14:paraId="54546DF4">
      <w:pPr>
        <w:pStyle w:val="3"/>
        <w:bidi w:val="0"/>
        <w:ind w:left="0" w:leftChars="0" w:firstLine="0" w:firstLineChars="0"/>
        <w:rPr>
          <w:rFonts w:hint="eastAsia"/>
          <w:lang w:val="en-GB"/>
        </w:rPr>
      </w:pPr>
      <w:bookmarkStart w:id="13" w:name="_Toc21087"/>
      <w:bookmarkStart w:id="14" w:name="_Toc173259543"/>
      <w:bookmarkStart w:id="15" w:name="_Toc29159"/>
      <w:r>
        <w:rPr>
          <w:rFonts w:hint="eastAsia"/>
          <w:lang w:val="en-GB"/>
        </w:rPr>
        <w:t>项目集成要求</w:t>
      </w:r>
      <w:bookmarkEnd w:id="13"/>
      <w:bookmarkEnd w:id="14"/>
    </w:p>
    <w:p w14:paraId="200F0FDB">
      <w:pPr>
        <w:pStyle w:val="5"/>
        <w:bidi w:val="0"/>
        <w:ind w:left="0" w:leftChars="0" w:firstLine="0" w:firstLineChars="0"/>
        <w:rPr>
          <w:rFonts w:hint="eastAsia" w:eastAsia="宋体" w:cs="宋体"/>
          <w:lang w:val="en-US" w:eastAsia="zh-CN"/>
        </w:rPr>
      </w:pPr>
      <w:bookmarkStart w:id="16" w:name="_Toc3248"/>
      <w:r>
        <w:rPr>
          <w:rFonts w:hint="eastAsia" w:eastAsia="宋体" w:cs="宋体"/>
          <w:lang w:val="en-US" w:eastAsia="zh-CN"/>
        </w:rPr>
        <w:t>超融合集成要求</w:t>
      </w:r>
      <w:bookmarkEnd w:id="16"/>
    </w:p>
    <w:p w14:paraId="0D3CA4E9">
      <w:pPr>
        <w:numPr>
          <w:ilvl w:val="0"/>
          <w:numId w:val="4"/>
        </w:numPr>
        <w:bidi w:val="0"/>
        <w:ind w:left="14" w:leftChars="0" w:firstLine="466" w:firstLineChars="0"/>
        <w:rPr>
          <w:rFonts w:hint="eastAsia"/>
          <w:lang w:val="en-US" w:eastAsia="zh-CN"/>
        </w:rPr>
      </w:pPr>
      <w:r>
        <w:rPr>
          <w:rFonts w:hint="eastAsia" w:ascii="宋体" w:hAnsi="宋体" w:cs="宋体"/>
          <w:lang w:val="en-US" w:eastAsia="zh-CN"/>
        </w:rPr>
        <w:t>投标人需将我院现有超融合平台与本次项目购买超融合实现统一纳管功能，能够在原有超融合平台中对新增主机进行统一管控，实现虚拟机主机性能监测。</w:t>
      </w:r>
    </w:p>
    <w:p w14:paraId="11B7993B">
      <w:pPr>
        <w:numPr>
          <w:ilvl w:val="0"/>
          <w:numId w:val="4"/>
        </w:numPr>
        <w:bidi w:val="0"/>
        <w:ind w:left="14" w:leftChars="0" w:firstLine="466" w:firstLineChars="0"/>
        <w:rPr>
          <w:rFonts w:hint="eastAsia" w:ascii="宋体" w:hAnsi="宋体" w:eastAsia="宋体" w:cs="宋体"/>
          <w:lang w:val="en-US" w:eastAsia="zh-CN"/>
        </w:rPr>
      </w:pPr>
      <w:r>
        <w:rPr>
          <w:rFonts w:hint="eastAsia" w:ascii="宋体" w:hAnsi="宋体" w:cs="宋体"/>
          <w:lang w:val="en-US" w:eastAsia="zh-CN"/>
        </w:rPr>
        <w:t>投标人在项目实施期间需对我院现有深信服超融合平台存储私网、业务主网进行调整工作。在不影响业务的情况下调整超融合网络架构。将现网4台存储交换机以及4台业务主网交换机经行调整，全面整合我院超融合架构。</w:t>
      </w:r>
    </w:p>
    <w:p w14:paraId="5EBFFF63">
      <w:pPr>
        <w:numPr>
          <w:ilvl w:val="0"/>
          <w:numId w:val="4"/>
        </w:numPr>
        <w:bidi w:val="0"/>
        <w:ind w:left="14" w:leftChars="0" w:firstLine="466" w:firstLineChars="0"/>
        <w:rPr>
          <w:rFonts w:hint="eastAsia" w:ascii="宋体" w:hAnsi="宋体" w:eastAsia="宋体" w:cs="宋体"/>
          <w:lang w:val="en-US" w:eastAsia="zh-CN"/>
        </w:rPr>
      </w:pPr>
      <w:r>
        <w:rPr>
          <w:rFonts w:hint="eastAsia" w:ascii="宋体" w:hAnsi="宋体" w:cs="宋体"/>
          <w:lang w:val="en-US" w:eastAsia="zh-CN"/>
        </w:rPr>
        <w:t>投标人需根据我院实际情况将本次购买的24口万兆交接机进行调试，在此期间投标人与我院信息科相关负责人进行沟通，将我院现有超融合网络统一接入到本次项目购买的超融合交换机中，从而优化我院网络。</w:t>
      </w:r>
    </w:p>
    <w:p w14:paraId="230C98B8">
      <w:pPr>
        <w:numPr>
          <w:ilvl w:val="0"/>
          <w:numId w:val="4"/>
        </w:numPr>
        <w:bidi w:val="0"/>
        <w:ind w:left="14" w:leftChars="0" w:firstLine="466" w:firstLineChars="0"/>
        <w:rPr>
          <w:rFonts w:hint="eastAsia" w:ascii="宋体" w:hAnsi="宋体" w:eastAsia="宋体" w:cs="宋体"/>
          <w:lang w:val="en-US" w:eastAsia="zh-CN"/>
        </w:rPr>
      </w:pPr>
      <w:r>
        <w:rPr>
          <w:rFonts w:hint="eastAsia" w:ascii="宋体" w:hAnsi="宋体" w:eastAsia="宋体" w:cs="宋体"/>
          <w:lang w:val="en-US" w:eastAsia="zh-CN"/>
        </w:rPr>
        <w:t>投标人需对当前的超融合平台进行全面评估，包括硬件、软件、网络和数据存储等方面。根据需求和评估结果</w:t>
      </w:r>
      <w:bookmarkStart w:id="17" w:name="OLE_LINK10"/>
      <w:r>
        <w:rPr>
          <w:rFonts w:hint="eastAsia" w:ascii="宋体" w:hAnsi="宋体" w:eastAsia="宋体" w:cs="宋体"/>
          <w:lang w:val="en-US" w:eastAsia="zh-CN"/>
        </w:rPr>
        <w:t>，提供符合实际的技术和解决方案来实现扩容</w:t>
      </w:r>
      <w:bookmarkEnd w:id="17"/>
      <w:r>
        <w:rPr>
          <w:rFonts w:hint="eastAsia" w:ascii="宋体" w:hAnsi="宋体" w:eastAsia="宋体" w:cs="宋体"/>
          <w:lang w:val="en-US" w:eastAsia="zh-CN"/>
        </w:rPr>
        <w:t>。如果扩容涉及数据存储的变化，需确保数据能够安全地迁移。并提供风险应对措施方案。整个设备及相关软件安装调试完毕后保证我院各业务系统能够稳定地运行。</w:t>
      </w:r>
    </w:p>
    <w:p w14:paraId="50AE6179">
      <w:pPr>
        <w:numPr>
          <w:ilvl w:val="0"/>
          <w:numId w:val="4"/>
        </w:numPr>
        <w:bidi w:val="0"/>
        <w:ind w:left="14" w:leftChars="0" w:firstLine="466" w:firstLineChars="0"/>
        <w:rPr>
          <w:rFonts w:hint="eastAsia" w:ascii="宋体" w:hAnsi="宋体" w:eastAsia="宋体" w:cs="宋体"/>
          <w:lang w:val="en-US" w:eastAsia="zh-CN"/>
        </w:rPr>
      </w:pPr>
      <w:r>
        <w:rPr>
          <w:rFonts w:hint="eastAsia" w:ascii="宋体" w:hAnsi="宋体" w:eastAsia="宋体" w:cs="宋体"/>
          <w:lang w:val="en-US" w:eastAsia="zh-CN"/>
        </w:rPr>
        <w:t>新增硬件（如服务器、网络设备等）需与现有超融合</w:t>
      </w:r>
      <w:r>
        <w:rPr>
          <w:rFonts w:hint="eastAsia" w:ascii="宋体" w:hAnsi="宋体" w:cs="宋体"/>
          <w:lang w:val="en-US" w:eastAsia="zh-CN"/>
        </w:rPr>
        <w:t>平台</w:t>
      </w:r>
      <w:r>
        <w:rPr>
          <w:rFonts w:hint="eastAsia" w:ascii="宋体" w:hAnsi="宋体" w:eastAsia="宋体" w:cs="宋体"/>
          <w:lang w:val="en-US" w:eastAsia="zh-CN"/>
        </w:rPr>
        <w:t>中的硬件兼容，包括但不限于CPU型号、内存规格、存储接口等。</w:t>
      </w:r>
    </w:p>
    <w:p w14:paraId="73F3C9FB">
      <w:pPr>
        <w:numPr>
          <w:ilvl w:val="0"/>
          <w:numId w:val="4"/>
        </w:numPr>
        <w:bidi w:val="0"/>
        <w:ind w:left="14" w:leftChars="0" w:firstLine="466" w:firstLineChars="0"/>
        <w:rPr>
          <w:rFonts w:hint="eastAsia" w:ascii="宋体" w:hAnsi="宋体" w:eastAsia="宋体" w:cs="宋体"/>
          <w:lang w:val="en-US" w:eastAsia="zh-CN"/>
        </w:rPr>
      </w:pPr>
      <w:r>
        <w:rPr>
          <w:rFonts w:hint="eastAsia" w:ascii="宋体" w:hAnsi="宋体" w:eastAsia="宋体" w:cs="宋体"/>
          <w:lang w:val="en-US" w:eastAsia="zh-CN"/>
        </w:rPr>
        <w:t>新增硬件的性能（如计算能力、存储IOPS、网络带宽等）应满足或超过当前</w:t>
      </w:r>
      <w:r>
        <w:rPr>
          <w:rFonts w:hint="eastAsia" w:ascii="宋体" w:hAnsi="宋体" w:cs="宋体"/>
          <w:lang w:val="en-US" w:eastAsia="zh-CN"/>
        </w:rPr>
        <w:t>超融合平台</w:t>
      </w:r>
      <w:r>
        <w:rPr>
          <w:rFonts w:hint="eastAsia" w:ascii="宋体" w:hAnsi="宋体" w:eastAsia="宋体" w:cs="宋体"/>
          <w:lang w:val="en-US" w:eastAsia="zh-CN"/>
        </w:rPr>
        <w:t>的平均水平，以确保扩容后系统整体性能不下降。</w:t>
      </w:r>
    </w:p>
    <w:p w14:paraId="5FF79EF2">
      <w:pPr>
        <w:numPr>
          <w:ilvl w:val="0"/>
          <w:numId w:val="4"/>
        </w:numPr>
        <w:bidi w:val="0"/>
        <w:ind w:left="14" w:leftChars="0" w:firstLine="466" w:firstLineChars="0"/>
        <w:rPr>
          <w:rFonts w:hint="eastAsia" w:ascii="宋体" w:hAnsi="宋体" w:eastAsia="宋体" w:cs="宋体"/>
          <w:lang w:val="en-US" w:eastAsia="zh-CN"/>
        </w:rPr>
      </w:pPr>
      <w:r>
        <w:rPr>
          <w:rFonts w:hint="eastAsia" w:ascii="宋体" w:hAnsi="宋体" w:eastAsia="宋体" w:cs="宋体"/>
          <w:lang w:val="en-US" w:eastAsia="zh-CN"/>
        </w:rPr>
        <w:t>确认新增节点所搭载的操作系统及虚拟化软件版本与现有平台一致或兼容，可纳入我院现有超融合平台统一管理，包括监控、配置、升级等功能，若无法实现，项目不予验收。</w:t>
      </w:r>
    </w:p>
    <w:p w14:paraId="34A44878">
      <w:pPr>
        <w:numPr>
          <w:ilvl w:val="0"/>
          <w:numId w:val="4"/>
        </w:numPr>
        <w:bidi w:val="0"/>
        <w:ind w:left="14" w:leftChars="0" w:firstLine="466" w:firstLineChars="0"/>
        <w:rPr>
          <w:rFonts w:hint="eastAsia" w:ascii="宋体" w:hAnsi="宋体" w:eastAsia="宋体" w:cs="宋体"/>
          <w:lang w:val="en-US" w:eastAsia="zh-CN"/>
        </w:rPr>
      </w:pPr>
      <w:r>
        <w:rPr>
          <w:rFonts w:hint="eastAsia" w:ascii="宋体" w:hAnsi="宋体" w:eastAsia="宋体" w:cs="宋体"/>
          <w:lang w:val="en-US" w:eastAsia="zh-CN"/>
        </w:rPr>
        <w:t>确保扩容过程中及扩容后，关键数据能够得到及时、有效的备份和恢复，避免数据丢失。</w:t>
      </w:r>
    </w:p>
    <w:p w14:paraId="4E24751D">
      <w:pPr>
        <w:numPr>
          <w:ilvl w:val="0"/>
          <w:numId w:val="4"/>
        </w:numPr>
        <w:bidi w:val="0"/>
        <w:ind w:left="14" w:leftChars="0" w:firstLine="466" w:firstLineChars="0"/>
        <w:rPr>
          <w:rFonts w:hint="eastAsia" w:ascii="宋体" w:hAnsi="宋体" w:eastAsia="宋体" w:cs="宋体"/>
          <w:lang w:val="en-US" w:eastAsia="zh-CN"/>
        </w:rPr>
      </w:pPr>
      <w:r>
        <w:rPr>
          <w:rFonts w:hint="eastAsia" w:ascii="宋体" w:hAnsi="宋体" w:eastAsia="宋体" w:cs="宋体"/>
          <w:lang w:val="en-US" w:eastAsia="zh-CN"/>
        </w:rPr>
        <w:t>平台扩容后，验证系统的各项功能是否正常工作。</w:t>
      </w:r>
    </w:p>
    <w:p w14:paraId="7048C5CF">
      <w:pPr>
        <w:numPr>
          <w:ilvl w:val="0"/>
          <w:numId w:val="4"/>
        </w:numPr>
        <w:bidi w:val="0"/>
        <w:ind w:left="14" w:leftChars="0" w:firstLine="466" w:firstLineChars="0"/>
        <w:rPr>
          <w:rFonts w:hint="eastAsia" w:ascii="宋体" w:hAnsi="宋体" w:eastAsia="宋体" w:cs="宋体"/>
          <w:lang w:val="en-US" w:eastAsia="zh-CN"/>
        </w:rPr>
      </w:pPr>
      <w:r>
        <w:rPr>
          <w:rFonts w:hint="eastAsia" w:ascii="宋体" w:hAnsi="宋体" w:eastAsia="宋体" w:cs="宋体"/>
          <w:lang w:val="en-US" w:eastAsia="zh-CN"/>
        </w:rPr>
        <w:t>平台扩容完成后，通过调整CPU、内存、存储等资源的分配策略，优化系统性能。</w:t>
      </w:r>
    </w:p>
    <w:p w14:paraId="0949EFDA">
      <w:pPr>
        <w:pStyle w:val="5"/>
        <w:bidi w:val="0"/>
        <w:ind w:left="0" w:leftChars="0" w:firstLine="0" w:firstLineChars="0"/>
        <w:rPr>
          <w:rFonts w:hint="eastAsia" w:eastAsia="宋体" w:cs="宋体"/>
          <w:lang w:val="en-US" w:eastAsia="zh-CN"/>
        </w:rPr>
      </w:pPr>
      <w:bookmarkStart w:id="18" w:name="_Toc30226"/>
      <w:r>
        <w:rPr>
          <w:rFonts w:hint="eastAsia" w:eastAsia="宋体" w:cs="宋体"/>
          <w:lang w:val="en-US" w:eastAsia="zh-CN"/>
        </w:rPr>
        <w:t>业务迁移要求</w:t>
      </w:r>
      <w:bookmarkEnd w:id="18"/>
    </w:p>
    <w:p w14:paraId="1E88BD6F">
      <w:pPr>
        <w:numPr>
          <w:ilvl w:val="0"/>
          <w:numId w:val="5"/>
        </w:numPr>
        <w:bidi w:val="0"/>
        <w:ind w:left="14" w:leftChars="0" w:firstLine="466" w:firstLineChars="0"/>
        <w:rPr>
          <w:rFonts w:hint="eastAsia" w:ascii="宋体" w:hAnsi="宋体" w:eastAsia="宋体" w:cs="宋体"/>
          <w:lang w:val="en-US" w:eastAsia="zh-CN"/>
        </w:rPr>
      </w:pPr>
      <w:r>
        <w:rPr>
          <w:rFonts w:hint="eastAsia" w:ascii="宋体" w:hAnsi="宋体" w:eastAsia="宋体" w:cs="宋体"/>
          <w:lang w:val="en-US" w:eastAsia="zh-CN"/>
        </w:rPr>
        <w:t>投标人需完成我院现有超融合平台部分业务系统及数据的迁移工作。将我院现有超融合平台上正在运行的业务系统迁移到新购超融合服务器上，实现现有超融合管理平台统一纳管新增超融合主机。业务系统迁移必须按我院的要求，保证在我院正常业务不受影响的情况下完成业务系统及数据迁移，投标人中标后项目实施前，需提供详细数据迁移方案，需经过相关专家论证。若不提供，项目不予验收</w:t>
      </w:r>
      <w:bookmarkEnd w:id="15"/>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EEFD">
    <w:pPr>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66274">
                          <w:pPr>
                            <w:tabs>
                              <w:tab w:val="center" w:pos="4153"/>
                              <w:tab w:val="right" w:pos="8306"/>
                            </w:tabs>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C66274">
                    <w:pPr>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4766D">
    <w:pPr>
      <w:spacing w:line="189" w:lineRule="auto"/>
      <w:ind w:left="4453"/>
      <w:rPr>
        <w:sz w:val="18"/>
        <w:szCs w:val="18"/>
      </w:rPr>
    </w:pPr>
    <w:r>
      <w:rPr>
        <w:spacing w:val="7"/>
        <w:sz w:val="18"/>
        <w:szCs w:val="18"/>
      </w:rPr>
      <w:t>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B9011"/>
    <w:multiLevelType w:val="singleLevel"/>
    <w:tmpl w:val="945B9011"/>
    <w:lvl w:ilvl="0" w:tentative="0">
      <w:start w:val="1"/>
      <w:numFmt w:val="decimal"/>
      <w:suff w:val="space"/>
      <w:lvlText w:val="%1."/>
      <w:lvlJc w:val="left"/>
      <w:pPr>
        <w:ind w:left="454" w:leftChars="0" w:hanging="454" w:firstLineChars="0"/>
      </w:pPr>
      <w:rPr>
        <w:rFonts w:hint="default"/>
      </w:rPr>
    </w:lvl>
  </w:abstractNum>
  <w:abstractNum w:abstractNumId="1">
    <w:nsid w:val="E596C61C"/>
    <w:multiLevelType w:val="singleLevel"/>
    <w:tmpl w:val="E596C61C"/>
    <w:lvl w:ilvl="0" w:tentative="0">
      <w:start w:val="1"/>
      <w:numFmt w:val="decimal"/>
      <w:suff w:val="space"/>
      <w:lvlText w:val="%1."/>
      <w:lvlJc w:val="left"/>
      <w:pPr>
        <w:ind w:left="454" w:leftChars="0" w:hanging="454" w:firstLineChars="0"/>
      </w:pPr>
      <w:rPr>
        <w:rFonts w:hint="default"/>
      </w:rPr>
    </w:lvl>
  </w:abstractNum>
  <w:abstractNum w:abstractNumId="2">
    <w:nsid w:val="5577930D"/>
    <w:multiLevelType w:val="multilevel"/>
    <w:tmpl w:val="5577930D"/>
    <w:lvl w:ilvl="0" w:tentative="0">
      <w:start w:val="1"/>
      <w:numFmt w:val="chineseCounting"/>
      <w:pStyle w:val="3"/>
      <w:suff w:val="nothing"/>
      <w:lvlText w:val="第%1部分 "/>
      <w:lvlJc w:val="left"/>
      <w:pPr>
        <w:tabs>
          <w:tab w:val="left" w:pos="0"/>
        </w:tabs>
        <w:ind w:left="0" w:firstLine="0"/>
      </w:pPr>
      <w:rPr>
        <w:rFonts w:hint="eastAsia"/>
      </w:rPr>
    </w:lvl>
    <w:lvl w:ilvl="1" w:tentative="0">
      <w:start w:val="1"/>
      <w:numFmt w:val="chineseCounting"/>
      <w:pStyle w:val="5"/>
      <w:suff w:val="nothing"/>
      <w:lvlText w:val="（%2）"/>
      <w:lvlJc w:val="left"/>
      <w:pPr>
        <w:ind w:left="0" w:firstLine="0"/>
      </w:pPr>
      <w:rPr>
        <w:rFonts w:hint="eastAsia"/>
      </w:rPr>
    </w:lvl>
    <w:lvl w:ilvl="2" w:tentative="0">
      <w:start w:val="1"/>
      <w:numFmt w:val="decimal"/>
      <w:pStyle w:val="2"/>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3">
    <w:nsid w:val="5FA4392C"/>
    <w:multiLevelType w:val="singleLevel"/>
    <w:tmpl w:val="5FA4392C"/>
    <w:lvl w:ilvl="0" w:tentative="0">
      <w:start w:val="1"/>
      <w:numFmt w:val="decimal"/>
      <w:suff w:val="space"/>
      <w:lvlText w:val="(%1)"/>
      <w:lvlJc w:val="left"/>
      <w:pPr>
        <w:ind w:left="454" w:leftChars="0" w:hanging="454" w:firstLineChars="0"/>
      </w:pPr>
      <w:rPr>
        <w:rFonts w:hint="default"/>
      </w:rPr>
    </w:lvl>
  </w:abstractNum>
  <w:abstractNum w:abstractNumId="4">
    <w:nsid w:val="755A41AC"/>
    <w:multiLevelType w:val="multilevel"/>
    <w:tmpl w:val="755A41A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F609B"/>
    <w:rsid w:val="012D42FD"/>
    <w:rsid w:val="038720C2"/>
    <w:rsid w:val="063B3638"/>
    <w:rsid w:val="064E336B"/>
    <w:rsid w:val="0BA73BFC"/>
    <w:rsid w:val="0E323572"/>
    <w:rsid w:val="0ED06732"/>
    <w:rsid w:val="14F03BE9"/>
    <w:rsid w:val="188F7670"/>
    <w:rsid w:val="197361BC"/>
    <w:rsid w:val="1D994A74"/>
    <w:rsid w:val="1DDA43AF"/>
    <w:rsid w:val="1FD0464E"/>
    <w:rsid w:val="200D4526"/>
    <w:rsid w:val="209459C7"/>
    <w:rsid w:val="220D3C83"/>
    <w:rsid w:val="229D6DB5"/>
    <w:rsid w:val="22CD1871"/>
    <w:rsid w:val="231D6147"/>
    <w:rsid w:val="2BD33847"/>
    <w:rsid w:val="301F641B"/>
    <w:rsid w:val="33274478"/>
    <w:rsid w:val="33A930DF"/>
    <w:rsid w:val="37861AA4"/>
    <w:rsid w:val="3A0E1EEE"/>
    <w:rsid w:val="3EBF609B"/>
    <w:rsid w:val="3F010273"/>
    <w:rsid w:val="3FD634AE"/>
    <w:rsid w:val="401D2E8B"/>
    <w:rsid w:val="416E578B"/>
    <w:rsid w:val="42AE05F3"/>
    <w:rsid w:val="461503E5"/>
    <w:rsid w:val="469765DF"/>
    <w:rsid w:val="4B50661E"/>
    <w:rsid w:val="4C417FD8"/>
    <w:rsid w:val="541C548D"/>
    <w:rsid w:val="549360ED"/>
    <w:rsid w:val="55D41E21"/>
    <w:rsid w:val="587E4E6E"/>
    <w:rsid w:val="58953AAF"/>
    <w:rsid w:val="59A467A0"/>
    <w:rsid w:val="5AE64A95"/>
    <w:rsid w:val="606C1599"/>
    <w:rsid w:val="61D10CEC"/>
    <w:rsid w:val="62AF7E63"/>
    <w:rsid w:val="643E324C"/>
    <w:rsid w:val="668B64F1"/>
    <w:rsid w:val="69AB1384"/>
    <w:rsid w:val="6B8975CA"/>
    <w:rsid w:val="71267542"/>
    <w:rsid w:val="732F14B3"/>
    <w:rsid w:val="73A100AF"/>
    <w:rsid w:val="76571BB5"/>
    <w:rsid w:val="78DC0B36"/>
    <w:rsid w:val="7B3E36DA"/>
    <w:rsid w:val="7B644801"/>
    <w:rsid w:val="7C060DAE"/>
    <w:rsid w:val="7C656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446" w:firstLineChars="200"/>
      <w:jc w:val="both"/>
    </w:pPr>
    <w:rPr>
      <w:rFonts w:ascii="Calibri" w:hAnsi="Calibri" w:eastAsia="宋体" w:cs="宋体"/>
      <w:kern w:val="2"/>
      <w:sz w:val="24"/>
      <w:szCs w:val="21"/>
      <w:lang w:val="en-US" w:eastAsia="zh-CN" w:bidi="ar-SA"/>
    </w:rPr>
  </w:style>
  <w:style w:type="paragraph" w:styleId="3">
    <w:name w:val="heading 1"/>
    <w:basedOn w:val="4"/>
    <w:next w:val="1"/>
    <w:qFormat/>
    <w:uiPriority w:val="0"/>
    <w:pPr>
      <w:keepNext/>
      <w:keepLines/>
      <w:numPr>
        <w:ilvl w:val="0"/>
        <w:numId w:val="1"/>
      </w:numPr>
      <w:spacing w:beforeLines="0" w:beforeAutospacing="0" w:afterLines="0" w:afterAutospacing="0" w:line="360" w:lineRule="auto"/>
      <w:ind w:firstLine="0" w:firstLineChars="0"/>
      <w:jc w:val="left"/>
      <w:outlineLvl w:val="0"/>
    </w:pPr>
    <w:rPr>
      <w:rFonts w:eastAsia="宋体"/>
      <w:kern w:val="44"/>
      <w:sz w:val="44"/>
    </w:rPr>
  </w:style>
  <w:style w:type="paragraph" w:styleId="5">
    <w:name w:val="heading 2"/>
    <w:basedOn w:val="1"/>
    <w:next w:val="1"/>
    <w:unhideWhenUsed/>
    <w:qFormat/>
    <w:uiPriority w:val="0"/>
    <w:pPr>
      <w:keepNext/>
      <w:keepLines/>
      <w:numPr>
        <w:ilvl w:val="1"/>
        <w:numId w:val="1"/>
      </w:numPr>
      <w:spacing w:beforeLines="0" w:beforeAutospacing="0" w:afterLines="0" w:afterAutospacing="0" w:line="360" w:lineRule="auto"/>
      <w:ind w:firstLine="0" w:firstLineChars="0"/>
      <w:outlineLvl w:val="1"/>
    </w:pPr>
    <w:rPr>
      <w:rFonts w:ascii="Arial" w:hAnsi="Arial" w:eastAsia="宋体"/>
      <w:b/>
      <w:sz w:val="32"/>
    </w:rPr>
  </w:style>
  <w:style w:type="paragraph" w:styleId="2">
    <w:name w:val="heading 3"/>
    <w:basedOn w:val="1"/>
    <w:next w:val="1"/>
    <w:unhideWhenUsed/>
    <w:qFormat/>
    <w:uiPriority w:val="0"/>
    <w:pPr>
      <w:keepNext/>
      <w:keepLines/>
      <w:numPr>
        <w:ilvl w:val="2"/>
        <w:numId w:val="1"/>
      </w:numPr>
      <w:spacing w:beforeLines="0" w:beforeAutospacing="0" w:afterLines="0" w:afterAutospacing="0" w:line="360" w:lineRule="auto"/>
      <w:ind w:firstLine="400" w:firstLineChars="0"/>
      <w:outlineLvl w:val="2"/>
    </w:pPr>
    <w:rPr>
      <w:b/>
      <w:sz w:val="32"/>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firstLine="402" w:firstLineChars="0"/>
      <w:outlineLvl w:val="3"/>
    </w:pPr>
    <w:rPr>
      <w:rFonts w:ascii="Arial" w:hAnsi="Arial"/>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Title"/>
    <w:basedOn w:val="1"/>
    <w:next w:val="1"/>
    <w:qFormat/>
    <w:uiPriority w:val="98"/>
    <w:pPr>
      <w:spacing w:before="240" w:after="60"/>
      <w:jc w:val="center"/>
      <w:outlineLvl w:val="0"/>
    </w:pPr>
    <w:rPr>
      <w:rFonts w:ascii="等线 Light" w:hAnsi="等线 Light"/>
      <w:b/>
      <w:bCs/>
      <w:sz w:val="32"/>
      <w:szCs w:val="32"/>
    </w:rPr>
  </w:style>
  <w:style w:type="paragraph" w:styleId="12">
    <w:name w:val="toc 3"/>
    <w:basedOn w:val="1"/>
    <w:next w:val="1"/>
    <w:qFormat/>
    <w:uiPriority w:val="0"/>
    <w:pPr>
      <w:spacing w:line="360" w:lineRule="auto"/>
      <w:ind w:left="840" w:leftChars="400"/>
    </w:pPr>
    <w:rPr>
      <w:rFonts w:eastAsia="宋体"/>
      <w:sz w:val="24"/>
    </w:rPr>
  </w:style>
  <w:style w:type="paragraph" w:styleId="13">
    <w:name w:val="toc 1"/>
    <w:basedOn w:val="1"/>
    <w:next w:val="1"/>
    <w:qFormat/>
    <w:uiPriority w:val="0"/>
    <w:pPr>
      <w:spacing w:line="360" w:lineRule="auto"/>
    </w:pPr>
    <w:rPr>
      <w:rFonts w:eastAsia="宋体"/>
      <w:sz w:val="24"/>
    </w:rPr>
  </w:style>
  <w:style w:type="paragraph" w:styleId="14">
    <w:name w:val="toc 2"/>
    <w:basedOn w:val="1"/>
    <w:next w:val="1"/>
    <w:qFormat/>
    <w:uiPriority w:val="0"/>
    <w:pPr>
      <w:spacing w:line="360" w:lineRule="auto"/>
      <w:ind w:left="420" w:leftChars="200"/>
    </w:pPr>
    <w:rPr>
      <w:rFonts w:eastAsia="宋体"/>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表格"/>
    <w:basedOn w:val="1"/>
    <w:qFormat/>
    <w:uiPriority w:val="0"/>
    <w:pPr>
      <w:spacing w:line="240" w:lineRule="auto"/>
      <w:ind w:left="0" w:firstLine="0" w:firstLineChars="0"/>
      <w:jc w:val="center"/>
    </w:pPr>
    <w:rPr>
      <w:rFonts w:ascii="新宋体" w:hAnsi="新宋体" w:cs="新宋体"/>
      <w:spacing w:val="-7"/>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774</Words>
  <Characters>822</Characters>
  <Lines>0</Lines>
  <Paragraphs>0</Paragraphs>
  <TotalTime>6</TotalTime>
  <ScaleCrop>false</ScaleCrop>
  <LinksUpToDate>false</LinksUpToDate>
  <CharactersWithSpaces>871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2025-02-25T04:19:00Z</dcterms:created>
  <dc:creator>彭嵘</dc:creator>
  <cp:lastModifiedBy>WPS_1533199494</cp:lastModifiedBy>
  <dcterms:modified xsi:type="dcterms:W3CDTF">2025-06-25T04:29:55Z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E94A8AC09BA74BC2B92C1998020A68AE_13</vt:lpwstr>
  </property>
  <property fmtid="{D5CDD505-2E9C-101B-9397-08002B2CF9AE}" pid="4" name="KSOTemplateDocerSaveRecord">
    <vt:lpwstr>eyJoZGlkIjoiMDU1ZWE2NDYzZTZjZjljYmZmZDM0MjUxZTI1MmQwYzMiLCJ1c2VySWQiOiIzOTE2NzgwODEifQ==</vt:lpwstr>
  </property>
</Properties>
</file>