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B01A9F9">
      <w:pPr>
        <w:jc w:val="center"/>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库尔勒市人民法院执行案款2023年、2024</w:t>
      </w:r>
      <w:bookmarkStart w:id="0" w:name="_GoBack"/>
      <w:bookmarkEnd w:id="0"/>
      <w:r>
        <w:rPr>
          <w:rFonts w:hint="eastAsia" w:ascii="方正小标宋_GBK" w:hAnsi="方正小标宋_GBK" w:eastAsia="方正小标宋_GBK" w:cs="方正小标宋_GBK"/>
          <w:sz w:val="44"/>
          <w:szCs w:val="44"/>
          <w:lang w:val="en-US" w:eastAsia="zh-CN"/>
        </w:rPr>
        <w:t>年度审计服务内容</w:t>
      </w:r>
    </w:p>
    <w:p w14:paraId="5114D87B"/>
    <w:p w14:paraId="711BC5D2">
      <w:pPr>
        <w:ind w:firstLine="640" w:firstLineChars="200"/>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一、 项目概况</w:t>
      </w:r>
    </w:p>
    <w:p w14:paraId="6D2B95FC">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 项目名称：</w:t>
      </w:r>
      <w:r>
        <w:rPr>
          <w:rFonts w:hint="eastAsia" w:ascii="Times New Roman" w:hAnsi="Times New Roman" w:eastAsia="方正仿宋_GBK" w:cs="Times New Roman"/>
          <w:sz w:val="32"/>
          <w:szCs w:val="32"/>
          <w:lang w:eastAsia="zh-CN"/>
        </w:rPr>
        <w:t>库尔勒市人民法院</w:t>
      </w:r>
      <w:r>
        <w:rPr>
          <w:rFonts w:hint="default" w:ascii="Times New Roman" w:hAnsi="Times New Roman" w:eastAsia="方正仿宋_GBK" w:cs="Times New Roman"/>
          <w:sz w:val="32"/>
          <w:szCs w:val="32"/>
        </w:rPr>
        <w:t>执行案款年度审计服务采购项目</w:t>
      </w:r>
    </w:p>
    <w:p w14:paraId="6E2E66D5">
      <w:pPr>
        <w:ind w:firstLine="640" w:firstLineChars="200"/>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2. 采购方：</w:t>
      </w:r>
      <w:r>
        <w:rPr>
          <w:rFonts w:hint="eastAsia" w:ascii="Times New Roman" w:hAnsi="Times New Roman" w:eastAsia="方正仿宋_GBK" w:cs="Times New Roman"/>
          <w:sz w:val="32"/>
          <w:szCs w:val="32"/>
          <w:lang w:eastAsia="zh-CN"/>
        </w:rPr>
        <w:t>库尔勒市人民法院</w:t>
      </w:r>
    </w:p>
    <w:p w14:paraId="7E28CD5B">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 项目标的：执行案款年度审计服务</w:t>
      </w:r>
    </w:p>
    <w:p w14:paraId="72EB5DE4">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 项目预算（实质性要求）：</w:t>
      </w:r>
      <w:r>
        <w:rPr>
          <w:rFonts w:hint="eastAsia" w:ascii="Times New Roman" w:hAnsi="Times New Roman" w:eastAsia="方正仿宋_GBK" w:cs="Times New Roman"/>
          <w:sz w:val="32"/>
          <w:szCs w:val="32"/>
          <w:lang w:val="en-US" w:eastAsia="zh-CN"/>
        </w:rPr>
        <w:t>180</w:t>
      </w:r>
      <w:r>
        <w:rPr>
          <w:rFonts w:hint="default" w:ascii="Times New Roman" w:hAnsi="Times New Roman" w:eastAsia="方正仿宋_GBK" w:cs="Times New Roman"/>
          <w:sz w:val="32"/>
          <w:szCs w:val="32"/>
        </w:rPr>
        <w:t>000元；超过采购预算的报价无效。</w:t>
      </w:r>
    </w:p>
    <w:p w14:paraId="53591467">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 最高限价（实质性要求）：</w:t>
      </w:r>
      <w:r>
        <w:rPr>
          <w:rFonts w:hint="eastAsia" w:ascii="Times New Roman" w:hAnsi="Times New Roman" w:eastAsia="方正仿宋_GBK" w:cs="Times New Roman"/>
          <w:sz w:val="32"/>
          <w:szCs w:val="32"/>
          <w:lang w:val="en-US" w:eastAsia="zh-CN"/>
        </w:rPr>
        <w:t>180</w:t>
      </w:r>
      <w:r>
        <w:rPr>
          <w:rFonts w:hint="default" w:ascii="Times New Roman" w:hAnsi="Times New Roman" w:eastAsia="方正仿宋_GBK" w:cs="Times New Roman"/>
          <w:sz w:val="32"/>
          <w:szCs w:val="32"/>
        </w:rPr>
        <w:t>000元，超过最高限价的报价无效。</w:t>
      </w:r>
    </w:p>
    <w:p w14:paraId="21CBFD83">
      <w:pPr>
        <w:ind w:firstLine="640" w:firstLineChars="200"/>
        <w:rPr>
          <w:rFonts w:hint="eastAsia"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6. 采购方式：</w:t>
      </w:r>
      <w:r>
        <w:rPr>
          <w:rFonts w:hint="eastAsia" w:ascii="Times New Roman" w:hAnsi="Times New Roman" w:eastAsia="方正仿宋_GBK" w:cs="Times New Roman"/>
          <w:sz w:val="32"/>
          <w:szCs w:val="32"/>
          <w:lang w:eastAsia="zh-CN"/>
        </w:rPr>
        <w:t>竞价</w:t>
      </w:r>
    </w:p>
    <w:p w14:paraId="06C19D98">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7. 评审方法：综合评分法</w:t>
      </w:r>
    </w:p>
    <w:p w14:paraId="4BB0B18A">
      <w:pPr>
        <w:ind w:firstLine="640" w:firstLineChars="200"/>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二、供应商资格条件要求</w:t>
      </w:r>
    </w:p>
    <w:p w14:paraId="7C9440AE">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 供应商应具备</w:t>
      </w:r>
      <w:r>
        <w:rPr>
          <w:rFonts w:hint="eastAsia" w:ascii="Times New Roman" w:hAnsi="Times New Roman" w:eastAsia="方正仿宋_GBK" w:cs="Times New Roman"/>
          <w:sz w:val="32"/>
          <w:szCs w:val="32"/>
          <w:lang w:eastAsia="zh-CN"/>
        </w:rPr>
        <w:t>《政府采购法》第二十二条规定的条件</w:t>
      </w:r>
      <w:r>
        <w:rPr>
          <w:rFonts w:hint="default" w:ascii="Times New Roman" w:hAnsi="Times New Roman" w:eastAsia="方正仿宋_GBK" w:cs="Times New Roman"/>
          <w:sz w:val="32"/>
          <w:szCs w:val="32"/>
        </w:rPr>
        <w:t>；</w:t>
      </w:r>
    </w:p>
    <w:p w14:paraId="2D6D4C08">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 供应商具备有效期内的会计师事务所执业许可证；</w:t>
      </w:r>
    </w:p>
    <w:p w14:paraId="6CACF87C">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 本项目不接受联合体投标，不允许投标人对本项目招标服务进行分包和转包。</w:t>
      </w:r>
    </w:p>
    <w:p w14:paraId="56F82019">
      <w:pPr>
        <w:ind w:firstLine="640" w:firstLineChars="200"/>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三、供应商资格证明材料</w:t>
      </w:r>
    </w:p>
    <w:p w14:paraId="662875C3">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 营业执照副本复印件或法人登记证书副本复印件；</w:t>
      </w:r>
    </w:p>
    <w:p w14:paraId="185A55A0">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 提供2022年1月起任意时段缴纳税收的银行电子回单或者税务部门出具的纳税证明或完税证明的复印件；</w:t>
      </w:r>
    </w:p>
    <w:p w14:paraId="03CA31F1">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 提供2022年1月起任意时段缴纳社保的银行电子回单或社保部门出具的社保缴纳证明材料复印件；</w:t>
      </w:r>
    </w:p>
    <w:p w14:paraId="101D8035">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 提供近三年内经营活动中无重大违法记录的证明材料（提供承诺函）；</w:t>
      </w:r>
    </w:p>
    <w:p w14:paraId="566F7E44">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5. 提供单位及其现任法定代表人、主要负责人不具有行贿犯罪记录的证明材料（提供承诺函）；</w:t>
      </w:r>
    </w:p>
    <w:p w14:paraId="3B930874">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6. 提供通过</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信用中国</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网(www.creditchina.gov.cn) 等渠道查询供应商的信用记录并保存信用记录结果网页截图。如相关失信记录已失效，供应商需提供相关证明资料；</w:t>
      </w:r>
    </w:p>
    <w:p w14:paraId="0F23AF4C">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7. 根据采购项目的特殊要求，规定供应商提供的特定条件的证明材料。</w:t>
      </w:r>
    </w:p>
    <w:p w14:paraId="340D2449">
      <w:pPr>
        <w:ind w:firstLine="640" w:firstLineChars="200"/>
        <w:rPr>
          <w:rFonts w:hint="eastAsia" w:ascii="方正黑体_GBK" w:hAnsi="方正黑体_GBK" w:eastAsia="方正黑体_GBK" w:cs="方正黑体_GBK"/>
          <w:sz w:val="32"/>
          <w:szCs w:val="32"/>
        </w:rPr>
      </w:pPr>
      <w:r>
        <w:rPr>
          <w:rFonts w:hint="eastAsia" w:ascii="方正黑体_GBK" w:hAnsi="方正黑体_GBK" w:eastAsia="方正黑体_GBK" w:cs="方正黑体_GBK"/>
          <w:sz w:val="32"/>
          <w:szCs w:val="32"/>
        </w:rPr>
        <w:t>四、采购项目技术、服务及其他商务要求</w:t>
      </w:r>
    </w:p>
    <w:p w14:paraId="3714A1B0">
      <w:pPr>
        <w:ind w:firstLine="640" w:firstLineChars="200"/>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（一）技术及商务要求</w:t>
      </w:r>
    </w:p>
    <w:p w14:paraId="2946A9F9">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 审计内容</w:t>
      </w:r>
    </w:p>
    <w:p w14:paraId="7486426D">
      <w:pPr>
        <w:ind w:firstLine="640" w:firstLineChars="200"/>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val="en-US" w:eastAsia="zh-CN"/>
        </w:rPr>
        <w:t>1</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2023年1月1日至12月31日执行案款（收案款约</w:t>
      </w:r>
      <w:r>
        <w:rPr>
          <w:rFonts w:hint="eastAsia" w:ascii="Times New Roman" w:hAnsi="Times New Roman" w:eastAsia="方正仿宋_GBK" w:cs="Times New Roman"/>
          <w:sz w:val="32"/>
          <w:szCs w:val="32"/>
          <w:lang w:val="en-US" w:eastAsia="zh-CN"/>
        </w:rPr>
        <w:t>10335</w:t>
      </w:r>
      <w:r>
        <w:rPr>
          <w:rFonts w:hint="default" w:ascii="Times New Roman" w:hAnsi="Times New Roman" w:eastAsia="方正仿宋_GBK" w:cs="Times New Roman"/>
          <w:sz w:val="32"/>
          <w:szCs w:val="32"/>
        </w:rPr>
        <w:t>笔、金额约</w:t>
      </w:r>
      <w:r>
        <w:rPr>
          <w:rFonts w:hint="eastAsia" w:ascii="Times New Roman" w:hAnsi="Times New Roman" w:eastAsia="方正仿宋_GBK" w:cs="Times New Roman"/>
          <w:sz w:val="32"/>
          <w:szCs w:val="32"/>
          <w:lang w:val="en-US" w:eastAsia="zh-CN"/>
        </w:rPr>
        <w:t>4.8176</w:t>
      </w:r>
      <w:r>
        <w:rPr>
          <w:rFonts w:hint="eastAsia" w:ascii="Times New Roman" w:hAnsi="Times New Roman" w:eastAsia="方正仿宋_GBK" w:cs="Times New Roman"/>
          <w:sz w:val="32"/>
          <w:szCs w:val="32"/>
          <w:lang w:eastAsia="zh-CN"/>
        </w:rPr>
        <w:t>亿</w:t>
      </w:r>
      <w:r>
        <w:rPr>
          <w:rFonts w:hint="default" w:ascii="Times New Roman" w:hAnsi="Times New Roman" w:eastAsia="方正仿宋_GBK" w:cs="Times New Roman"/>
          <w:sz w:val="32"/>
          <w:szCs w:val="32"/>
          <w:lang w:eastAsia="zh-CN"/>
        </w:rPr>
        <w:t>元</w:t>
      </w:r>
      <w:r>
        <w:rPr>
          <w:rFonts w:hint="default" w:ascii="Times New Roman" w:hAnsi="Times New Roman" w:eastAsia="方正仿宋_GBK" w:cs="Times New Roman"/>
          <w:sz w:val="32"/>
          <w:szCs w:val="32"/>
        </w:rPr>
        <w:t>，支付案款约</w:t>
      </w:r>
      <w:r>
        <w:rPr>
          <w:rFonts w:hint="eastAsia" w:ascii="Times New Roman" w:hAnsi="Times New Roman" w:eastAsia="方正仿宋_GBK" w:cs="Times New Roman"/>
          <w:sz w:val="32"/>
          <w:szCs w:val="32"/>
          <w:lang w:val="en-US" w:eastAsia="zh-CN"/>
        </w:rPr>
        <w:t>11638</w:t>
      </w:r>
      <w:r>
        <w:rPr>
          <w:rFonts w:hint="default" w:ascii="Times New Roman" w:hAnsi="Times New Roman" w:eastAsia="方正仿宋_GBK" w:cs="Times New Roman"/>
          <w:sz w:val="32"/>
          <w:szCs w:val="32"/>
        </w:rPr>
        <w:t>笔、金额约</w:t>
      </w:r>
      <w:r>
        <w:rPr>
          <w:rFonts w:hint="eastAsia" w:ascii="Times New Roman" w:hAnsi="Times New Roman" w:eastAsia="方正仿宋_GBK" w:cs="Times New Roman"/>
          <w:sz w:val="32"/>
          <w:szCs w:val="32"/>
          <w:lang w:val="en-US" w:eastAsia="zh-CN"/>
        </w:rPr>
        <w:t>4.3828</w:t>
      </w:r>
      <w:r>
        <w:rPr>
          <w:rFonts w:hint="default" w:ascii="Times New Roman" w:hAnsi="Times New Roman" w:eastAsia="方正仿宋_GBK" w:cs="Times New Roman"/>
          <w:sz w:val="32"/>
          <w:szCs w:val="32"/>
          <w:lang w:eastAsia="zh-CN"/>
        </w:rPr>
        <w:t>亿</w:t>
      </w:r>
      <w:r>
        <w:rPr>
          <w:rFonts w:hint="default" w:ascii="Times New Roman" w:hAnsi="Times New Roman" w:eastAsia="方正仿宋_GBK" w:cs="Times New Roman"/>
          <w:sz w:val="32"/>
          <w:szCs w:val="32"/>
        </w:rPr>
        <w:t>元）收、存、管、发整体情况</w:t>
      </w:r>
      <w:r>
        <w:rPr>
          <w:rFonts w:hint="default" w:ascii="Times New Roman" w:hAnsi="Times New Roman" w:eastAsia="方正仿宋_GBK" w:cs="Times New Roman"/>
          <w:sz w:val="32"/>
          <w:szCs w:val="32"/>
          <w:lang w:eastAsia="zh-CN"/>
        </w:rPr>
        <w:t>；</w:t>
      </w:r>
    </w:p>
    <w:p w14:paraId="54A0E016">
      <w:pPr>
        <w:ind w:firstLine="640" w:firstLineChars="200"/>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color w:val="auto"/>
          <w:sz w:val="32"/>
          <w:szCs w:val="32"/>
        </w:rPr>
        <w:t>202</w:t>
      </w:r>
      <w:r>
        <w:rPr>
          <w:rFonts w:hint="default" w:ascii="Times New Roman" w:hAnsi="Times New Roman" w:eastAsia="方正仿宋_GBK" w:cs="Times New Roman"/>
          <w:color w:val="auto"/>
          <w:sz w:val="32"/>
          <w:szCs w:val="32"/>
          <w:lang w:val="en-US" w:eastAsia="zh-CN"/>
        </w:rPr>
        <w:t>4</w:t>
      </w:r>
      <w:r>
        <w:rPr>
          <w:rFonts w:hint="default" w:ascii="Times New Roman" w:hAnsi="Times New Roman" w:eastAsia="方正仿宋_GBK" w:cs="Times New Roman"/>
          <w:color w:val="auto"/>
          <w:sz w:val="32"/>
          <w:szCs w:val="32"/>
        </w:rPr>
        <w:t>年1月1日至</w:t>
      </w:r>
      <w:r>
        <w:rPr>
          <w:rFonts w:hint="eastAsia" w:ascii="Times New Roman" w:hAnsi="Times New Roman" w:eastAsia="方正仿宋_GBK" w:cs="Times New Roman"/>
          <w:color w:val="auto"/>
          <w:sz w:val="32"/>
          <w:szCs w:val="32"/>
          <w:lang w:val="en-US" w:eastAsia="zh-CN"/>
        </w:rPr>
        <w:t>12</w:t>
      </w:r>
      <w:r>
        <w:rPr>
          <w:rFonts w:hint="default" w:ascii="Times New Roman" w:hAnsi="Times New Roman" w:eastAsia="方正仿宋_GBK" w:cs="Times New Roman"/>
          <w:color w:val="auto"/>
          <w:sz w:val="32"/>
          <w:szCs w:val="32"/>
        </w:rPr>
        <w:t>月31日执行案款（收案款约</w:t>
      </w:r>
      <w:r>
        <w:rPr>
          <w:rFonts w:hint="eastAsia" w:ascii="Times New Roman" w:hAnsi="Times New Roman" w:eastAsia="方正仿宋_GBK" w:cs="Times New Roman"/>
          <w:color w:val="auto"/>
          <w:sz w:val="32"/>
          <w:szCs w:val="32"/>
          <w:lang w:val="en-US" w:eastAsia="zh-CN"/>
        </w:rPr>
        <w:t>9300</w:t>
      </w:r>
      <w:r>
        <w:rPr>
          <w:rFonts w:hint="default" w:ascii="Times New Roman" w:hAnsi="Times New Roman" w:eastAsia="方正仿宋_GBK" w:cs="Times New Roman"/>
          <w:color w:val="auto"/>
          <w:sz w:val="32"/>
          <w:szCs w:val="32"/>
        </w:rPr>
        <w:t>笔、金额约</w:t>
      </w:r>
      <w:r>
        <w:rPr>
          <w:rFonts w:hint="eastAsia" w:ascii="Times New Roman" w:hAnsi="Times New Roman" w:eastAsia="方正仿宋_GBK" w:cs="Times New Roman"/>
          <w:color w:val="auto"/>
          <w:sz w:val="32"/>
          <w:szCs w:val="32"/>
          <w:lang w:val="en-US" w:eastAsia="zh-CN"/>
        </w:rPr>
        <w:t>4.3113</w:t>
      </w:r>
      <w:r>
        <w:rPr>
          <w:rFonts w:hint="default" w:ascii="Times New Roman" w:hAnsi="Times New Roman" w:eastAsia="方正仿宋_GBK" w:cs="Times New Roman"/>
          <w:color w:val="auto"/>
          <w:sz w:val="32"/>
          <w:szCs w:val="32"/>
          <w:lang w:eastAsia="zh-CN"/>
        </w:rPr>
        <w:t>亿</w:t>
      </w:r>
      <w:r>
        <w:rPr>
          <w:rFonts w:hint="default" w:ascii="Times New Roman" w:hAnsi="Times New Roman" w:eastAsia="方正仿宋_GBK" w:cs="Times New Roman"/>
          <w:color w:val="auto"/>
          <w:sz w:val="32"/>
          <w:szCs w:val="32"/>
        </w:rPr>
        <w:t>元，支付案款约</w:t>
      </w:r>
      <w:r>
        <w:rPr>
          <w:rFonts w:hint="eastAsia" w:ascii="Times New Roman" w:hAnsi="Times New Roman" w:eastAsia="方正仿宋_GBK" w:cs="Times New Roman"/>
          <w:color w:val="auto"/>
          <w:sz w:val="32"/>
          <w:szCs w:val="32"/>
          <w:lang w:val="en-US" w:eastAsia="zh-CN"/>
        </w:rPr>
        <w:t>10300</w:t>
      </w:r>
      <w:r>
        <w:rPr>
          <w:rFonts w:hint="default" w:ascii="Times New Roman" w:hAnsi="Times New Roman" w:eastAsia="方正仿宋_GBK" w:cs="Times New Roman"/>
          <w:color w:val="auto"/>
          <w:sz w:val="32"/>
          <w:szCs w:val="32"/>
        </w:rPr>
        <w:t>笔、金额约</w:t>
      </w:r>
      <w:r>
        <w:rPr>
          <w:rFonts w:hint="eastAsia" w:ascii="Times New Roman" w:hAnsi="Times New Roman" w:eastAsia="方正仿宋_GBK" w:cs="Times New Roman"/>
          <w:color w:val="auto"/>
          <w:sz w:val="32"/>
          <w:szCs w:val="32"/>
          <w:lang w:val="en-US" w:eastAsia="zh-CN"/>
        </w:rPr>
        <w:t>4.7194</w:t>
      </w:r>
      <w:r>
        <w:rPr>
          <w:rFonts w:hint="default" w:ascii="Times New Roman" w:hAnsi="Times New Roman" w:eastAsia="方正仿宋_GBK" w:cs="Times New Roman"/>
          <w:color w:val="auto"/>
          <w:sz w:val="32"/>
          <w:szCs w:val="32"/>
          <w:lang w:eastAsia="zh-CN"/>
        </w:rPr>
        <w:t>亿</w:t>
      </w:r>
      <w:r>
        <w:rPr>
          <w:rFonts w:hint="default" w:ascii="Times New Roman" w:hAnsi="Times New Roman" w:eastAsia="方正仿宋_GBK" w:cs="Times New Roman"/>
          <w:color w:val="auto"/>
          <w:sz w:val="32"/>
          <w:szCs w:val="32"/>
        </w:rPr>
        <w:t>元）收、存、管、发整体情况</w:t>
      </w:r>
      <w:r>
        <w:rPr>
          <w:rFonts w:hint="default" w:ascii="Times New Roman" w:hAnsi="Times New Roman" w:eastAsia="方正仿宋_GBK" w:cs="Times New Roman"/>
          <w:color w:val="auto"/>
          <w:sz w:val="32"/>
          <w:szCs w:val="32"/>
          <w:lang w:eastAsia="zh-CN"/>
        </w:rPr>
        <w:t>。</w:t>
      </w:r>
    </w:p>
    <w:p w14:paraId="1C87AE91">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以人民法院</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一案一账号</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案款管理系统及银行流水为基础，通过对照人民法院执行案件流程信息管理系统信息、执行案件卷宗、执行案件发放审批材料、财务凭证等相关材料，逐笔核对执行案款收付情况。重点对经审批超期未发案款情况事由是否属实，审批手续是否完备，将案款发放给变更、追加的当事人及案外人相关材料及审批流程是否合规等情况进行全面排查。重点审计内容如下。</w:t>
      </w:r>
    </w:p>
    <w:tbl>
      <w:tblPr>
        <w:tblStyle w:val="4"/>
        <w:tblW w:w="8361"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15" w:type="dxa"/>
          <w:left w:w="15" w:type="dxa"/>
          <w:bottom w:w="15" w:type="dxa"/>
          <w:right w:w="15" w:type="dxa"/>
        </w:tblCellMar>
      </w:tblPr>
      <w:tblGrid>
        <w:gridCol w:w="1461"/>
        <w:gridCol w:w="2277"/>
        <w:gridCol w:w="4623"/>
      </w:tblGrid>
      <w:tr w14:paraId="6622F75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rPr>
          <w:trHeight w:val="533" w:hRule="atLeast"/>
        </w:trPr>
        <w:tc>
          <w:tcPr>
            <w:tcW w:w="1461" w:type="dxa"/>
            <w:tcBorders>
              <w:top w:val="single" w:color="000000" w:sz="4" w:space="0"/>
              <w:left w:val="single" w:color="000000" w:sz="4" w:space="0"/>
              <w:bottom w:val="single" w:color="000000" w:sz="4" w:space="0"/>
              <w:right w:val="single" w:color="000000" w:sz="4" w:space="0"/>
            </w:tcBorders>
            <w:noWrap w:val="0"/>
            <w:tcMar>
              <w:top w:w="0" w:type="dxa"/>
              <w:left w:w="84" w:type="dxa"/>
              <w:bottom w:w="0" w:type="dxa"/>
              <w:right w:w="84" w:type="dxa"/>
            </w:tcMar>
            <w:vAlign w:val="center"/>
          </w:tcPr>
          <w:p w14:paraId="2080DCBA">
            <w:pPr>
              <w:jc w:val="center"/>
              <w:rPr>
                <w:rFonts w:hint="eastAsia" w:ascii="方正小标宋_GBK" w:hAnsi="方正小标宋_GBK" w:eastAsia="方正小标宋_GBK" w:cs="方正小标宋_GBK"/>
                <w:sz w:val="28"/>
                <w:szCs w:val="28"/>
              </w:rPr>
            </w:pPr>
            <w:r>
              <w:rPr>
                <w:rFonts w:hint="eastAsia" w:ascii="方正小标宋_GBK" w:hAnsi="方正小标宋_GBK" w:eastAsia="方正小标宋_GBK" w:cs="方正小标宋_GBK"/>
                <w:sz w:val="28"/>
                <w:szCs w:val="28"/>
              </w:rPr>
              <w:t>主要内容</w:t>
            </w:r>
          </w:p>
        </w:tc>
        <w:tc>
          <w:tcPr>
            <w:tcW w:w="2277" w:type="dxa"/>
            <w:tcBorders>
              <w:top w:val="single" w:color="000000" w:sz="4" w:space="0"/>
              <w:left w:val="nil"/>
              <w:bottom w:val="single" w:color="000000" w:sz="4" w:space="0"/>
              <w:right w:val="single" w:color="000000" w:sz="4" w:space="0"/>
            </w:tcBorders>
            <w:noWrap w:val="0"/>
            <w:tcMar>
              <w:top w:w="0" w:type="dxa"/>
              <w:left w:w="84" w:type="dxa"/>
              <w:bottom w:w="0" w:type="dxa"/>
              <w:right w:w="84" w:type="dxa"/>
            </w:tcMar>
            <w:vAlign w:val="center"/>
          </w:tcPr>
          <w:p w14:paraId="2CBB2E6E">
            <w:pPr>
              <w:jc w:val="center"/>
              <w:rPr>
                <w:rFonts w:hint="eastAsia" w:ascii="方正小标宋_GBK" w:hAnsi="方正小标宋_GBK" w:eastAsia="方正小标宋_GBK" w:cs="方正小标宋_GBK"/>
                <w:sz w:val="28"/>
                <w:szCs w:val="28"/>
              </w:rPr>
            </w:pPr>
            <w:r>
              <w:rPr>
                <w:rFonts w:hint="eastAsia" w:ascii="方正小标宋_GBK" w:hAnsi="方正小标宋_GBK" w:eastAsia="方正小标宋_GBK" w:cs="方正小标宋_GBK"/>
                <w:sz w:val="28"/>
                <w:szCs w:val="28"/>
              </w:rPr>
              <w:t>整治问题</w:t>
            </w:r>
          </w:p>
        </w:tc>
        <w:tc>
          <w:tcPr>
            <w:tcW w:w="4623" w:type="dxa"/>
            <w:tcBorders>
              <w:top w:val="single" w:color="000000" w:sz="4" w:space="0"/>
              <w:left w:val="nil"/>
              <w:bottom w:val="single" w:color="000000" w:sz="4" w:space="0"/>
              <w:right w:val="single" w:color="000000" w:sz="4" w:space="0"/>
            </w:tcBorders>
            <w:noWrap w:val="0"/>
            <w:tcMar>
              <w:top w:w="0" w:type="dxa"/>
              <w:left w:w="84" w:type="dxa"/>
              <w:bottom w:w="0" w:type="dxa"/>
              <w:right w:w="84" w:type="dxa"/>
            </w:tcMar>
            <w:vAlign w:val="center"/>
          </w:tcPr>
          <w:p w14:paraId="5903FE73">
            <w:pPr>
              <w:jc w:val="center"/>
              <w:rPr>
                <w:rFonts w:hint="eastAsia" w:ascii="方正小标宋_GBK" w:hAnsi="方正小标宋_GBK" w:eastAsia="方正小标宋_GBK" w:cs="方正小标宋_GBK"/>
                <w:sz w:val="28"/>
                <w:szCs w:val="28"/>
              </w:rPr>
            </w:pPr>
            <w:r>
              <w:rPr>
                <w:rFonts w:hint="eastAsia" w:ascii="方正小标宋_GBK" w:hAnsi="方正小标宋_GBK" w:eastAsia="方正小标宋_GBK" w:cs="方正小标宋_GBK"/>
                <w:sz w:val="28"/>
                <w:szCs w:val="28"/>
              </w:rPr>
              <w:t>重点审计内容</w:t>
            </w:r>
          </w:p>
        </w:tc>
      </w:tr>
      <w:tr w14:paraId="451B043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c>
          <w:tcPr>
            <w:tcW w:w="1461" w:type="dxa"/>
            <w:tcBorders>
              <w:top w:val="nil"/>
              <w:left w:val="single" w:color="000000" w:sz="4" w:space="0"/>
              <w:bottom w:val="single" w:color="000000" w:sz="4" w:space="0"/>
              <w:right w:val="single" w:color="000000" w:sz="4" w:space="0"/>
            </w:tcBorders>
            <w:noWrap w:val="0"/>
            <w:tcMar>
              <w:top w:w="0" w:type="dxa"/>
              <w:left w:w="84" w:type="dxa"/>
              <w:bottom w:w="0" w:type="dxa"/>
              <w:right w:w="84" w:type="dxa"/>
            </w:tcMar>
            <w:vAlign w:val="center"/>
          </w:tcPr>
          <w:p w14:paraId="31A70F3F">
            <w:pPr>
              <w:rPr>
                <w:rFonts w:hint="default" w:ascii="Times New Roman" w:hAnsi="Times New Roman" w:eastAsia="方正仿宋_GBK" w:cs="Times New Roman"/>
              </w:rPr>
            </w:pPr>
            <w:r>
              <w:rPr>
                <w:rFonts w:hint="default" w:ascii="Times New Roman" w:hAnsi="Times New Roman" w:eastAsia="方正仿宋_GBK" w:cs="Times New Roman"/>
              </w:rPr>
              <w:t>执行案款管理制度建设情况</w:t>
            </w:r>
          </w:p>
        </w:tc>
        <w:tc>
          <w:tcPr>
            <w:tcW w:w="2277" w:type="dxa"/>
            <w:tcBorders>
              <w:top w:val="nil"/>
              <w:left w:val="nil"/>
              <w:bottom w:val="single" w:color="000000" w:sz="4" w:space="0"/>
              <w:right w:val="single" w:color="000000" w:sz="4" w:space="0"/>
            </w:tcBorders>
            <w:noWrap w:val="0"/>
            <w:tcMar>
              <w:top w:w="0" w:type="dxa"/>
              <w:left w:w="84" w:type="dxa"/>
              <w:bottom w:w="0" w:type="dxa"/>
              <w:right w:w="84" w:type="dxa"/>
            </w:tcMar>
            <w:vAlign w:val="center"/>
          </w:tcPr>
          <w:p w14:paraId="5F177C5C">
            <w:pPr>
              <w:rPr>
                <w:rFonts w:hint="default" w:ascii="Times New Roman" w:hAnsi="Times New Roman" w:eastAsia="方正仿宋_GBK" w:cs="Times New Roman"/>
              </w:rPr>
            </w:pPr>
            <w:r>
              <w:rPr>
                <w:rFonts w:hint="default" w:ascii="Times New Roman" w:hAnsi="Times New Roman" w:eastAsia="方正仿宋_GBK" w:cs="Times New Roman"/>
              </w:rPr>
              <w:t>重点整治执行案款管理部门权责不清晰，相互监督不到位，未建立执行案款台账和对账制度，执行款收付不规范，违规使用网银等问题。</w:t>
            </w:r>
          </w:p>
        </w:tc>
        <w:tc>
          <w:tcPr>
            <w:tcW w:w="4623" w:type="dxa"/>
            <w:tcBorders>
              <w:top w:val="nil"/>
              <w:left w:val="nil"/>
              <w:bottom w:val="single" w:color="000000" w:sz="4" w:space="0"/>
              <w:right w:val="single" w:color="000000" w:sz="4" w:space="0"/>
            </w:tcBorders>
            <w:noWrap w:val="0"/>
            <w:tcMar>
              <w:top w:w="0" w:type="dxa"/>
              <w:left w:w="84" w:type="dxa"/>
              <w:bottom w:w="0" w:type="dxa"/>
              <w:right w:w="84" w:type="dxa"/>
            </w:tcMar>
            <w:vAlign w:val="center"/>
          </w:tcPr>
          <w:p w14:paraId="3CF96823">
            <w:pPr>
              <w:rPr>
                <w:rFonts w:hint="default" w:ascii="Times New Roman" w:hAnsi="Times New Roman" w:eastAsia="方正仿宋_GBK" w:cs="Times New Roman"/>
              </w:rPr>
            </w:pPr>
            <w:r>
              <w:rPr>
                <w:rFonts w:hint="default" w:ascii="Times New Roman" w:hAnsi="Times New Roman" w:eastAsia="方正仿宋_GBK" w:cs="Times New Roman"/>
              </w:rPr>
              <w:t>1.排查执行案款专户管理部门，审查执行案款是否由执行部门与财务部门分工负责、相互配合、相互监督。</w:t>
            </w:r>
          </w:p>
          <w:p w14:paraId="05189774">
            <w:pPr>
              <w:rPr>
                <w:rFonts w:hint="default" w:ascii="Times New Roman" w:hAnsi="Times New Roman" w:eastAsia="方正仿宋_GBK" w:cs="Times New Roman"/>
              </w:rPr>
            </w:pPr>
            <w:r>
              <w:rPr>
                <w:rFonts w:hint="default" w:ascii="Times New Roman" w:hAnsi="Times New Roman" w:eastAsia="方正仿宋_GBK" w:cs="Times New Roman"/>
              </w:rPr>
              <w:t>2.排查是否落实案款管理制度的有关规定。</w:t>
            </w:r>
          </w:p>
          <w:p w14:paraId="51C4A45C">
            <w:pPr>
              <w:rPr>
                <w:rFonts w:hint="default" w:ascii="Times New Roman" w:hAnsi="Times New Roman" w:eastAsia="方正仿宋_GBK" w:cs="Times New Roman"/>
              </w:rPr>
            </w:pPr>
            <w:r>
              <w:rPr>
                <w:rFonts w:hint="default" w:ascii="Times New Roman" w:hAnsi="Times New Roman" w:eastAsia="方正仿宋_GBK" w:cs="Times New Roman"/>
              </w:rPr>
              <w:t>3.是否按照案款管理规定设置执行案款监管员对案款进行专人管理。</w:t>
            </w:r>
          </w:p>
          <w:p w14:paraId="72106FC9">
            <w:pPr>
              <w:rPr>
                <w:rFonts w:hint="default" w:ascii="Times New Roman" w:hAnsi="Times New Roman" w:eastAsia="方正仿宋_GBK" w:cs="Times New Roman"/>
              </w:rPr>
            </w:pPr>
            <w:r>
              <w:rPr>
                <w:rFonts w:hint="default" w:ascii="Times New Roman" w:hAnsi="Times New Roman" w:eastAsia="方正仿宋_GBK" w:cs="Times New Roman"/>
              </w:rPr>
              <w:t>4.排查是否存在一人兼任多个或所有案款收付审批环节的情形。</w:t>
            </w:r>
          </w:p>
          <w:p w14:paraId="501EC36F">
            <w:pPr>
              <w:rPr>
                <w:rFonts w:hint="default" w:ascii="Times New Roman" w:hAnsi="Times New Roman" w:eastAsia="方正仿宋_GBK" w:cs="Times New Roman"/>
              </w:rPr>
            </w:pPr>
            <w:r>
              <w:rPr>
                <w:rFonts w:hint="default" w:ascii="Times New Roman" w:hAnsi="Times New Roman" w:eastAsia="方正仿宋_GBK" w:cs="Times New Roman"/>
              </w:rPr>
              <w:t>5.排查是否建立、落实执行案款对账制度、部门间是否定期核对执行案款情况。</w:t>
            </w:r>
          </w:p>
        </w:tc>
      </w:tr>
      <w:tr w14:paraId="1E05C18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c>
          <w:tcPr>
            <w:tcW w:w="1461" w:type="dxa"/>
            <w:tcBorders>
              <w:top w:val="nil"/>
              <w:left w:val="single" w:color="000000" w:sz="4" w:space="0"/>
              <w:bottom w:val="single" w:color="000000" w:sz="4" w:space="0"/>
              <w:right w:val="single" w:color="000000" w:sz="4" w:space="0"/>
            </w:tcBorders>
            <w:noWrap w:val="0"/>
            <w:tcMar>
              <w:top w:w="0" w:type="dxa"/>
              <w:left w:w="84" w:type="dxa"/>
              <w:bottom w:w="0" w:type="dxa"/>
              <w:right w:w="84" w:type="dxa"/>
            </w:tcMar>
            <w:vAlign w:val="center"/>
          </w:tcPr>
          <w:p w14:paraId="35C26926">
            <w:pPr>
              <w:jc w:val="center"/>
              <w:rPr>
                <w:rFonts w:hint="default" w:ascii="Times New Roman" w:hAnsi="Times New Roman" w:eastAsia="方正仿宋_GBK" w:cs="Times New Roman"/>
              </w:rPr>
            </w:pPr>
            <w:r>
              <w:rPr>
                <w:rFonts w:hint="default" w:ascii="Times New Roman" w:hAnsi="Times New Roman" w:eastAsia="方正仿宋_GBK" w:cs="Times New Roman"/>
              </w:rPr>
              <w:t>执行案款专户设置情况</w:t>
            </w:r>
          </w:p>
        </w:tc>
        <w:tc>
          <w:tcPr>
            <w:tcW w:w="2277" w:type="dxa"/>
            <w:tcBorders>
              <w:top w:val="nil"/>
              <w:left w:val="nil"/>
              <w:bottom w:val="single" w:color="000000" w:sz="4" w:space="0"/>
              <w:right w:val="single" w:color="000000" w:sz="4" w:space="0"/>
            </w:tcBorders>
            <w:noWrap w:val="0"/>
            <w:tcMar>
              <w:top w:w="0" w:type="dxa"/>
              <w:left w:w="84" w:type="dxa"/>
              <w:bottom w:w="0" w:type="dxa"/>
              <w:right w:w="84" w:type="dxa"/>
            </w:tcMar>
            <w:vAlign w:val="center"/>
          </w:tcPr>
          <w:p w14:paraId="7E63CBEB">
            <w:pPr>
              <w:rPr>
                <w:rFonts w:hint="default" w:ascii="Times New Roman" w:hAnsi="Times New Roman" w:eastAsia="方正仿宋_GBK" w:cs="Times New Roman"/>
              </w:rPr>
            </w:pPr>
            <w:r>
              <w:rPr>
                <w:rFonts w:hint="default" w:ascii="Times New Roman" w:hAnsi="Times New Roman" w:eastAsia="方正仿宋_GBK" w:cs="Times New Roman"/>
              </w:rPr>
              <w:t>重点整治开立执行账户不规范，执行案款专户不专用，其他过路款、不明款违规进入执行账户等问题。</w:t>
            </w:r>
          </w:p>
        </w:tc>
        <w:tc>
          <w:tcPr>
            <w:tcW w:w="4623" w:type="dxa"/>
            <w:tcBorders>
              <w:top w:val="nil"/>
              <w:left w:val="nil"/>
              <w:bottom w:val="single" w:color="000000" w:sz="4" w:space="0"/>
              <w:right w:val="single" w:color="000000" w:sz="4" w:space="0"/>
            </w:tcBorders>
            <w:noWrap w:val="0"/>
            <w:tcMar>
              <w:top w:w="0" w:type="dxa"/>
              <w:left w:w="84" w:type="dxa"/>
              <w:bottom w:w="0" w:type="dxa"/>
              <w:right w:w="84" w:type="dxa"/>
            </w:tcMar>
            <w:vAlign w:val="center"/>
          </w:tcPr>
          <w:p w14:paraId="0C9A6175">
            <w:pPr>
              <w:rPr>
                <w:rFonts w:hint="default" w:ascii="Times New Roman" w:hAnsi="Times New Roman" w:eastAsia="方正仿宋_GBK" w:cs="Times New Roman"/>
              </w:rPr>
            </w:pPr>
            <w:r>
              <w:rPr>
                <w:rFonts w:hint="default" w:ascii="Times New Roman" w:hAnsi="Times New Roman" w:eastAsia="方正仿宋_GBK" w:cs="Times New Roman"/>
              </w:rPr>
              <w:t>6.是否根据相关规定设置执行案款专户或在案款专户中设置执行款科目。</w:t>
            </w:r>
          </w:p>
          <w:p w14:paraId="0840C1BC">
            <w:pPr>
              <w:rPr>
                <w:rFonts w:hint="default" w:ascii="Times New Roman" w:hAnsi="Times New Roman" w:eastAsia="方正仿宋_GBK" w:cs="Times New Roman"/>
              </w:rPr>
            </w:pPr>
            <w:r>
              <w:rPr>
                <w:rFonts w:hint="default" w:ascii="Times New Roman" w:hAnsi="Times New Roman" w:eastAsia="方正仿宋_GBK" w:cs="Times New Roman"/>
              </w:rPr>
              <w:t>7.是否所有收发案款情况均登记至</w:t>
            </w:r>
            <w:r>
              <w:rPr>
                <w:rFonts w:hint="eastAsia" w:ascii="Times New Roman" w:hAnsi="Times New Roman" w:eastAsia="方正仿宋_GBK" w:cs="Times New Roman"/>
                <w:lang w:eastAsia="zh-CN"/>
              </w:rPr>
              <w:t>“</w:t>
            </w:r>
            <w:r>
              <w:rPr>
                <w:rFonts w:hint="default" w:ascii="Times New Roman" w:hAnsi="Times New Roman" w:eastAsia="方正仿宋_GBK" w:cs="Times New Roman"/>
              </w:rPr>
              <w:t>一案一账号</w:t>
            </w:r>
            <w:r>
              <w:rPr>
                <w:rFonts w:hint="eastAsia" w:ascii="Times New Roman" w:hAnsi="Times New Roman" w:eastAsia="方正仿宋_GBK" w:cs="Times New Roman"/>
                <w:lang w:eastAsia="zh-CN"/>
              </w:rPr>
              <w:t>”</w:t>
            </w:r>
            <w:r>
              <w:rPr>
                <w:rFonts w:hint="default" w:ascii="Times New Roman" w:hAnsi="Times New Roman" w:eastAsia="方正仿宋_GBK" w:cs="Times New Roman"/>
              </w:rPr>
              <w:t>案款管理系统中，是否依然存在执行案款游离系统外等问题。</w:t>
            </w:r>
          </w:p>
          <w:p w14:paraId="49A6854B">
            <w:pPr>
              <w:rPr>
                <w:rFonts w:hint="default" w:ascii="Times New Roman" w:hAnsi="Times New Roman" w:eastAsia="方正仿宋_GBK" w:cs="Times New Roman"/>
              </w:rPr>
            </w:pPr>
            <w:r>
              <w:rPr>
                <w:rFonts w:hint="default" w:ascii="Times New Roman" w:hAnsi="Times New Roman" w:eastAsia="方正仿宋_GBK" w:cs="Times New Roman"/>
              </w:rPr>
              <w:t>8.排查清理执行案款专户中的非执行案款，</w:t>
            </w:r>
            <w:r>
              <w:rPr>
                <w:rFonts w:hint="eastAsia" w:ascii="Times New Roman" w:hAnsi="Times New Roman" w:eastAsia="方正仿宋_GBK" w:cs="Times New Roman"/>
                <w:lang w:eastAsia="zh-CN"/>
              </w:rPr>
              <w:t>“</w:t>
            </w:r>
            <w:r>
              <w:rPr>
                <w:rFonts w:hint="default" w:ascii="Times New Roman" w:hAnsi="Times New Roman" w:eastAsia="方正仿宋_GBK" w:cs="Times New Roman"/>
              </w:rPr>
              <w:t>过路款</w:t>
            </w:r>
            <w:r>
              <w:rPr>
                <w:rFonts w:hint="eastAsia" w:ascii="Times New Roman" w:hAnsi="Times New Roman" w:eastAsia="方正仿宋_GBK" w:cs="Times New Roman"/>
                <w:lang w:eastAsia="zh-CN"/>
              </w:rPr>
              <w:t>”</w:t>
            </w:r>
            <w:r>
              <w:rPr>
                <w:rFonts w:hint="default" w:ascii="Times New Roman" w:hAnsi="Times New Roman" w:eastAsia="方正仿宋_GBK" w:cs="Times New Roman"/>
              </w:rPr>
              <w:t>、暂存等非执行案款是否依然进入执行款专户。</w:t>
            </w:r>
          </w:p>
          <w:p w14:paraId="35527E60">
            <w:pPr>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9.是否将执行案款交至政府部门暂存或代管，是否存在政府部门挪用、借用等情况。</w:t>
            </w:r>
          </w:p>
        </w:tc>
      </w:tr>
      <w:tr w14:paraId="10C2F8A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15" w:type="dxa"/>
            <w:left w:w="15" w:type="dxa"/>
            <w:bottom w:w="15" w:type="dxa"/>
            <w:right w:w="15" w:type="dxa"/>
          </w:tblCellMar>
        </w:tblPrEx>
        <w:tc>
          <w:tcPr>
            <w:tcW w:w="1461" w:type="dxa"/>
            <w:tcBorders>
              <w:top w:val="nil"/>
              <w:left w:val="single" w:color="000000" w:sz="4" w:space="0"/>
              <w:bottom w:val="single" w:color="000000" w:sz="4" w:space="0"/>
              <w:right w:val="single" w:color="000000" w:sz="4" w:space="0"/>
            </w:tcBorders>
            <w:noWrap w:val="0"/>
            <w:tcMar>
              <w:top w:w="0" w:type="dxa"/>
              <w:left w:w="84" w:type="dxa"/>
              <w:bottom w:w="0" w:type="dxa"/>
              <w:right w:w="84" w:type="dxa"/>
            </w:tcMar>
            <w:vAlign w:val="center"/>
          </w:tcPr>
          <w:p w14:paraId="3CA05E50">
            <w:pPr>
              <w:jc w:val="center"/>
              <w:rPr>
                <w:rFonts w:hint="default" w:ascii="Times New Roman" w:hAnsi="Times New Roman" w:eastAsia="方正仿宋_GBK" w:cs="Times New Roman"/>
              </w:rPr>
            </w:pPr>
            <w:r>
              <w:rPr>
                <w:rFonts w:hint="default" w:ascii="Times New Roman" w:hAnsi="Times New Roman" w:eastAsia="方正仿宋_GBK" w:cs="Times New Roman"/>
              </w:rPr>
              <w:t>执行案款账目管理情况</w:t>
            </w:r>
          </w:p>
        </w:tc>
        <w:tc>
          <w:tcPr>
            <w:tcW w:w="2277" w:type="dxa"/>
            <w:tcBorders>
              <w:top w:val="nil"/>
              <w:left w:val="nil"/>
              <w:bottom w:val="single" w:color="000000" w:sz="4" w:space="0"/>
              <w:right w:val="single" w:color="000000" w:sz="4" w:space="0"/>
            </w:tcBorders>
            <w:noWrap w:val="0"/>
            <w:tcMar>
              <w:top w:w="0" w:type="dxa"/>
              <w:left w:w="84" w:type="dxa"/>
              <w:bottom w:w="0" w:type="dxa"/>
              <w:right w:w="84" w:type="dxa"/>
            </w:tcMar>
            <w:vAlign w:val="center"/>
          </w:tcPr>
          <w:p w14:paraId="3AAB1617">
            <w:pPr>
              <w:rPr>
                <w:rFonts w:hint="default" w:ascii="Times New Roman" w:hAnsi="Times New Roman" w:eastAsia="方正仿宋_GBK" w:cs="Times New Roman"/>
              </w:rPr>
            </w:pPr>
            <w:r>
              <w:rPr>
                <w:rFonts w:hint="default" w:ascii="Times New Roman" w:hAnsi="Times New Roman" w:eastAsia="方正仿宋_GBK" w:cs="Times New Roman"/>
              </w:rPr>
              <w:t>重点排查、整治执行案款账目不清，执行案款收付混乱、违规发放、乱发放、违规超期不发放，历史积存无人认领的不明款不上缴、不提存等问题。整治未建立执行案款监督制约机制，执行局和财务部门长期不对账，执行案款长期失查失管等问题。</w:t>
            </w:r>
          </w:p>
        </w:tc>
        <w:tc>
          <w:tcPr>
            <w:tcW w:w="4623" w:type="dxa"/>
            <w:tcBorders>
              <w:top w:val="nil"/>
              <w:left w:val="nil"/>
              <w:bottom w:val="single" w:color="000000" w:sz="4" w:space="0"/>
              <w:right w:val="single" w:color="000000" w:sz="4" w:space="0"/>
            </w:tcBorders>
            <w:noWrap w:val="0"/>
            <w:tcMar>
              <w:top w:w="0" w:type="dxa"/>
              <w:left w:w="84" w:type="dxa"/>
              <w:bottom w:w="0" w:type="dxa"/>
              <w:right w:w="84" w:type="dxa"/>
            </w:tcMar>
            <w:vAlign w:val="center"/>
          </w:tcPr>
          <w:p w14:paraId="606D8FFB">
            <w:pPr>
              <w:rPr>
                <w:rFonts w:hint="default" w:ascii="Times New Roman" w:hAnsi="Times New Roman" w:eastAsia="方正仿宋_GBK" w:cs="Times New Roman"/>
              </w:rPr>
            </w:pPr>
            <w:r>
              <w:rPr>
                <w:rFonts w:hint="eastAsia" w:ascii="Times New Roman" w:hAnsi="Times New Roman" w:eastAsia="方正仿宋_GBK" w:cs="Times New Roman"/>
                <w:lang w:val="en-US" w:eastAsia="zh-CN"/>
              </w:rPr>
              <w:t>10</w:t>
            </w:r>
            <w:r>
              <w:rPr>
                <w:rFonts w:hint="default" w:ascii="Times New Roman" w:hAnsi="Times New Roman" w:eastAsia="方正仿宋_GBK" w:cs="Times New Roman"/>
              </w:rPr>
              <w:t>.重点审查将案款发放给变更、追加的当事人及案外人的相关材料和审批情况。</w:t>
            </w:r>
          </w:p>
          <w:p w14:paraId="5B4575AF">
            <w:pPr>
              <w:rPr>
                <w:rFonts w:hint="default" w:ascii="Times New Roman" w:hAnsi="Times New Roman" w:eastAsia="方正仿宋_GBK" w:cs="Times New Roman"/>
              </w:rPr>
            </w:pPr>
            <w:r>
              <w:rPr>
                <w:rFonts w:hint="eastAsia" w:ascii="Times New Roman" w:hAnsi="Times New Roman" w:eastAsia="方正仿宋_GBK" w:cs="Times New Roman"/>
                <w:lang w:val="en-US" w:eastAsia="zh-CN"/>
              </w:rPr>
              <w:t>11</w:t>
            </w:r>
            <w:r>
              <w:rPr>
                <w:rFonts w:hint="default" w:ascii="Times New Roman" w:hAnsi="Times New Roman" w:eastAsia="方正仿宋_GBK" w:cs="Times New Roman"/>
              </w:rPr>
              <w:t>.</w:t>
            </w:r>
            <w:r>
              <w:rPr>
                <w:rFonts w:hint="eastAsia" w:ascii="Times New Roman" w:hAnsi="Times New Roman" w:eastAsia="方正仿宋_GBK" w:cs="Times New Roman"/>
                <w:lang w:eastAsia="zh-CN"/>
              </w:rPr>
              <w:t>重点审查</w:t>
            </w:r>
            <w:r>
              <w:rPr>
                <w:rFonts w:hint="default" w:ascii="Times New Roman" w:hAnsi="Times New Roman" w:eastAsia="方正仿宋_GBK" w:cs="Times New Roman"/>
              </w:rPr>
              <w:t>是否存在</w:t>
            </w:r>
            <w:r>
              <w:rPr>
                <w:rFonts w:hint="eastAsia" w:ascii="Times New Roman" w:hAnsi="Times New Roman" w:eastAsia="方正仿宋_GBK" w:cs="Times New Roman"/>
                <w:lang w:eastAsia="zh-CN"/>
              </w:rPr>
              <w:t>执行干警</w:t>
            </w:r>
            <w:r>
              <w:rPr>
                <w:rFonts w:hint="default" w:ascii="Times New Roman" w:hAnsi="Times New Roman" w:eastAsia="方正仿宋_GBK" w:cs="Times New Roman"/>
              </w:rPr>
              <w:t>违规</w:t>
            </w:r>
            <w:r>
              <w:rPr>
                <w:rFonts w:hint="eastAsia" w:ascii="Times New Roman" w:hAnsi="Times New Roman" w:eastAsia="方正仿宋_GBK" w:cs="Times New Roman"/>
                <w:lang w:eastAsia="zh-CN"/>
              </w:rPr>
              <w:t>贪污、</w:t>
            </w:r>
            <w:r>
              <w:rPr>
                <w:rFonts w:hint="default" w:ascii="Times New Roman" w:hAnsi="Times New Roman" w:eastAsia="方正仿宋_GBK" w:cs="Times New Roman"/>
              </w:rPr>
              <w:t>挪用</w:t>
            </w:r>
            <w:r>
              <w:rPr>
                <w:rFonts w:hint="eastAsia" w:ascii="Times New Roman" w:hAnsi="Times New Roman" w:eastAsia="方正仿宋_GBK" w:cs="Times New Roman"/>
                <w:lang w:eastAsia="zh-CN"/>
              </w:rPr>
              <w:t>执行案款</w:t>
            </w:r>
            <w:r>
              <w:rPr>
                <w:rFonts w:hint="default" w:ascii="Times New Roman" w:hAnsi="Times New Roman" w:eastAsia="方正仿宋_GBK" w:cs="Times New Roman"/>
              </w:rPr>
              <w:t>的情形</w:t>
            </w:r>
            <w:r>
              <w:rPr>
                <w:rFonts w:hint="eastAsia" w:ascii="Times New Roman" w:hAnsi="Times New Roman" w:eastAsia="方正仿宋_GBK" w:cs="Times New Roman"/>
                <w:lang w:eastAsia="zh-CN"/>
              </w:rPr>
              <w:t>，如存在，是否移送纪检监察部门</w:t>
            </w:r>
            <w:r>
              <w:rPr>
                <w:rFonts w:hint="default" w:ascii="Times New Roman" w:hAnsi="Times New Roman" w:eastAsia="方正仿宋_GBK" w:cs="Times New Roman"/>
              </w:rPr>
              <w:t>。</w:t>
            </w:r>
          </w:p>
          <w:p w14:paraId="10A59489">
            <w:pPr>
              <w:rPr>
                <w:rFonts w:hint="default" w:ascii="Times New Roman" w:hAnsi="Times New Roman" w:eastAsia="方正仿宋_GBK" w:cs="Times New Roman"/>
              </w:rPr>
            </w:pPr>
            <w:r>
              <w:rPr>
                <w:rFonts w:hint="eastAsia" w:ascii="Times New Roman" w:hAnsi="Times New Roman" w:eastAsia="方正仿宋_GBK" w:cs="Times New Roman"/>
                <w:lang w:val="en-US" w:eastAsia="zh-CN"/>
              </w:rPr>
              <w:t>12</w:t>
            </w:r>
            <w:r>
              <w:rPr>
                <w:rFonts w:hint="default" w:ascii="Times New Roman" w:hAnsi="Times New Roman" w:eastAsia="方正仿宋_GBK" w:cs="Times New Roman"/>
              </w:rPr>
              <w:t>.排查、理清执行案款历史账目，是否按照相关规定将符合条件长期无人认领的案款提存或上缴。</w:t>
            </w:r>
          </w:p>
          <w:p w14:paraId="09FFE481">
            <w:pPr>
              <w:rPr>
                <w:rFonts w:hint="default" w:ascii="Times New Roman" w:hAnsi="Times New Roman" w:eastAsia="方正仿宋_GBK" w:cs="Times New Roman"/>
              </w:rPr>
            </w:pPr>
            <w:r>
              <w:rPr>
                <w:rFonts w:hint="eastAsia" w:ascii="Times New Roman" w:hAnsi="Times New Roman" w:eastAsia="方正仿宋_GBK" w:cs="Times New Roman"/>
                <w:lang w:val="en-US" w:eastAsia="zh-CN"/>
              </w:rPr>
              <w:t>13</w:t>
            </w:r>
            <w:r>
              <w:rPr>
                <w:rFonts w:hint="default" w:ascii="Times New Roman" w:hAnsi="Times New Roman" w:eastAsia="方正仿宋_GBK" w:cs="Times New Roman"/>
              </w:rPr>
              <w:t>.审查执行案款账户中现存不明款数量，出现不明款的原因；是否存在超过8个工作日未认领不明款的情况及未认领的原因。</w:t>
            </w:r>
          </w:p>
          <w:p w14:paraId="7A0D4F36">
            <w:pPr>
              <w:rPr>
                <w:rFonts w:hint="default" w:ascii="Times New Roman" w:hAnsi="Times New Roman" w:eastAsia="方正仿宋_GBK" w:cs="Times New Roman"/>
              </w:rPr>
            </w:pPr>
            <w:r>
              <w:rPr>
                <w:rFonts w:hint="eastAsia" w:ascii="Times New Roman" w:hAnsi="Times New Roman" w:eastAsia="方正仿宋_GBK" w:cs="Times New Roman"/>
                <w:lang w:val="en-US" w:eastAsia="zh-CN"/>
              </w:rPr>
              <w:t>14</w:t>
            </w:r>
            <w:r>
              <w:rPr>
                <w:rFonts w:hint="default" w:ascii="Times New Roman" w:hAnsi="Times New Roman" w:eastAsia="方正仿宋_GBK" w:cs="Times New Roman"/>
              </w:rPr>
              <w:t>.排查是否建立执行案款收付台账，所有案款收付有迹可循。</w:t>
            </w:r>
          </w:p>
        </w:tc>
      </w:tr>
    </w:tbl>
    <w:p w14:paraId="628F9B27">
      <w:pPr>
        <w:ind w:firstLine="640" w:firstLineChars="200"/>
        <w:rPr>
          <w:rFonts w:hint="default" w:ascii="Times New Roman" w:hAnsi="Times New Roman" w:eastAsia="方正仿宋_GBK" w:cs="Times New Roman"/>
          <w:sz w:val="32"/>
          <w:szCs w:val="32"/>
        </w:rPr>
      </w:pPr>
      <w:r>
        <w:rPr>
          <w:rFonts w:hint="eastAsia"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rPr>
        <w:t>. 审计服务要求</w:t>
      </w:r>
    </w:p>
    <w:p w14:paraId="235E9DCC">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（1）根据《中国注册会计师审计准则》《最高人民法院关于执行执行</w:t>
      </w:r>
      <w:r>
        <w:rPr>
          <w:rFonts w:hint="eastAsia" w:ascii="Times New Roman" w:hAnsi="Times New Roman" w:eastAsia="方正仿宋_GBK" w:cs="Times New Roman"/>
          <w:sz w:val="32"/>
          <w:szCs w:val="32"/>
          <w:lang w:eastAsia="zh-CN"/>
        </w:rPr>
        <w:t>款物</w:t>
      </w:r>
      <w:r>
        <w:rPr>
          <w:rFonts w:hint="default" w:ascii="Times New Roman" w:hAnsi="Times New Roman" w:eastAsia="方正仿宋_GBK" w:cs="Times New Roman"/>
          <w:sz w:val="32"/>
          <w:szCs w:val="32"/>
        </w:rPr>
        <w:t>管理工作的规定》《关于规范全国法院</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一案一账号</w:t>
      </w:r>
      <w:r>
        <w:rPr>
          <w:rFonts w:hint="eastAsia"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案款管理系统建设应用的通知》《关于进一步规范人民法院执行案款收发的通知》《</w:t>
      </w:r>
      <w:r>
        <w:rPr>
          <w:rFonts w:hint="eastAsia" w:ascii="Times New Roman" w:hAnsi="Times New Roman" w:eastAsia="方正仿宋_GBK" w:cs="Times New Roman"/>
          <w:sz w:val="32"/>
          <w:szCs w:val="32"/>
          <w:lang w:eastAsia="zh-CN"/>
        </w:rPr>
        <w:t>新疆维吾尔自治区</w:t>
      </w:r>
      <w:r>
        <w:rPr>
          <w:rFonts w:hint="default" w:ascii="Times New Roman" w:hAnsi="Times New Roman" w:eastAsia="方正仿宋_GBK" w:cs="Times New Roman"/>
          <w:sz w:val="32"/>
          <w:szCs w:val="32"/>
        </w:rPr>
        <w:t>高级人民法院关于</w:t>
      </w:r>
      <w:r>
        <w:rPr>
          <w:rFonts w:hint="eastAsia" w:ascii="Times New Roman" w:hAnsi="Times New Roman" w:eastAsia="方正仿宋_GBK" w:cs="Times New Roman"/>
          <w:sz w:val="32"/>
          <w:szCs w:val="32"/>
          <w:lang w:eastAsia="zh-CN"/>
        </w:rPr>
        <w:t>强化执行案款管理的实施办法（试行）</w:t>
      </w:r>
      <w:r>
        <w:rPr>
          <w:rFonts w:hint="default" w:ascii="Times New Roman" w:hAnsi="Times New Roman" w:eastAsia="方正仿宋_GBK" w:cs="Times New Roman"/>
          <w:sz w:val="32"/>
          <w:szCs w:val="32"/>
        </w:rPr>
        <w:t>》等有关要求，开展现场审计工作；</w:t>
      </w:r>
    </w:p>
    <w:p w14:paraId="29AB8E08">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（2）中标人需提供驻场项目负责人1名及不少于5名驻场审计专业人员为采购人提供审计服务；</w:t>
      </w:r>
    </w:p>
    <w:p w14:paraId="273E3BB0">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（3）对审计核查事项拟定审计取证记录并经采购人确认；</w:t>
      </w:r>
    </w:p>
    <w:p w14:paraId="60A36A13">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（4）于</w:t>
      </w:r>
      <w:r>
        <w:rPr>
          <w:rFonts w:hint="eastAsia" w:ascii="Times New Roman" w:hAnsi="Times New Roman" w:eastAsia="方正仿宋_GBK" w:cs="Times New Roman"/>
          <w:sz w:val="32"/>
          <w:szCs w:val="32"/>
          <w:lang w:val="en-US" w:eastAsia="zh-CN"/>
        </w:rPr>
        <w:t>3月10</w:t>
      </w:r>
      <w:r>
        <w:rPr>
          <w:rFonts w:hint="default" w:ascii="Times New Roman" w:hAnsi="Times New Roman" w:eastAsia="方正仿宋_GBK" w:cs="Times New Roman"/>
          <w:sz w:val="32"/>
          <w:szCs w:val="32"/>
        </w:rPr>
        <w:t>日前拟定审计报告并征求采购人意见；</w:t>
      </w:r>
    </w:p>
    <w:p w14:paraId="2C2FEFA8">
      <w:pPr>
        <w:ind w:firstLine="640" w:firstLineChars="200"/>
        <w:rPr>
          <w:rFonts w:hint="eastAsia"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5</w:t>
      </w:r>
      <w:r>
        <w:rPr>
          <w:rFonts w:hint="eastAsia" w:ascii="Times New Roman" w:hAnsi="Times New Roman" w:eastAsia="方正仿宋_GBK" w:cs="Times New Roman"/>
          <w:sz w:val="32"/>
          <w:szCs w:val="32"/>
          <w:lang w:eastAsia="zh-CN"/>
        </w:rPr>
        <w:t>）于</w:t>
      </w:r>
      <w:r>
        <w:rPr>
          <w:rFonts w:hint="eastAsia" w:ascii="Times New Roman" w:hAnsi="Times New Roman" w:eastAsia="方正仿宋_GBK" w:cs="Times New Roman"/>
          <w:sz w:val="32"/>
          <w:szCs w:val="32"/>
          <w:lang w:val="en-US" w:eastAsia="zh-CN"/>
        </w:rPr>
        <w:t>3月15日前将执行案款审计情况形成书面工作报告；</w:t>
      </w:r>
    </w:p>
    <w:p w14:paraId="529ADE83">
      <w:pPr>
        <w:ind w:firstLine="640" w:firstLineChars="200"/>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（6）于3月15日前填报执行案款审计情况汇总表一至表十一（按照2023年、2024年两个年份分别填写）并征求采购人意见；</w:t>
      </w:r>
    </w:p>
    <w:p w14:paraId="598BA067">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w:t>
      </w:r>
      <w:r>
        <w:rPr>
          <w:rFonts w:hint="eastAsia" w:ascii="Times New Roman" w:hAnsi="Times New Roman" w:eastAsia="方正仿宋_GBK" w:cs="Times New Roman"/>
          <w:sz w:val="32"/>
          <w:szCs w:val="32"/>
          <w:lang w:val="en-US" w:eastAsia="zh-CN"/>
        </w:rPr>
        <w:t>7</w:t>
      </w:r>
      <w:r>
        <w:rPr>
          <w:rFonts w:hint="default" w:ascii="Times New Roman" w:hAnsi="Times New Roman" w:eastAsia="方正仿宋_GBK" w:cs="Times New Roman"/>
          <w:sz w:val="32"/>
          <w:szCs w:val="32"/>
        </w:rPr>
        <w:t>）其他与本次审计有关的审计事务。</w:t>
      </w:r>
    </w:p>
    <w:p w14:paraId="581B9C2B">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 保密要求</w:t>
      </w:r>
    </w:p>
    <w:p w14:paraId="452304DC">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根据《中华人民共和国保守国家秘密法》相关规定并结合采购人相关保密规定，中标供应商及项目全体成员须进行保密承诺并签订保密协议。</w:t>
      </w:r>
    </w:p>
    <w:p w14:paraId="086EE4D3">
      <w:pPr>
        <w:ind w:firstLine="640" w:firstLineChars="200"/>
        <w:rPr>
          <w:rFonts w:hint="eastAsia" w:ascii="方正楷体_GBK" w:hAnsi="方正楷体_GBK" w:eastAsia="方正楷体_GBK" w:cs="方正楷体_GBK"/>
          <w:sz w:val="32"/>
          <w:szCs w:val="32"/>
        </w:rPr>
      </w:pPr>
      <w:r>
        <w:rPr>
          <w:rFonts w:hint="eastAsia" w:ascii="方正楷体_GBK" w:hAnsi="方正楷体_GBK" w:eastAsia="方正楷体_GBK" w:cs="方正楷体_GBK"/>
          <w:sz w:val="32"/>
          <w:szCs w:val="32"/>
        </w:rPr>
        <w:t>（二）报价要求</w:t>
      </w:r>
    </w:p>
    <w:p w14:paraId="41E11ADE">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 本项目各项费用为总价包干，包括不限于本比选公告中已指出或未明的有关费用。</w:t>
      </w:r>
    </w:p>
    <w:p w14:paraId="53A28E24">
      <w:pPr>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 履行合同所需的所有费用均应包括在投标报价中，一旦中标将不予调整。费用清单未详细列明，不详细的部分采购人有权按优效果、高标准执行。</w:t>
      </w:r>
    </w:p>
    <w:p w14:paraId="5A246897"/>
    <w:sectPr>
      <w:footerReference r:id="rId3"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1" w:fontKey="{6FAF043D-7EC1-49AB-AB20-BB2747BA0E6E}"/>
  </w:font>
  <w:font w:name="方正小标宋_GBK">
    <w:panose1 w:val="02000000000000000000"/>
    <w:charset w:val="86"/>
    <w:family w:val="auto"/>
    <w:pitch w:val="default"/>
    <w:sig w:usb0="A00002BF" w:usb1="38CF7CFA" w:usb2="00082016" w:usb3="00000000" w:csb0="00040001" w:csb1="00000000"/>
    <w:embedRegular r:id="rId2" w:fontKey="{3F01DA44-3298-415B-A567-587F338F036A}"/>
  </w:font>
  <w:font w:name="方正黑体_GBK">
    <w:panose1 w:val="03000509000000000000"/>
    <w:charset w:val="86"/>
    <w:family w:val="auto"/>
    <w:pitch w:val="default"/>
    <w:sig w:usb0="00000001" w:usb1="080E0000" w:usb2="00000000" w:usb3="00000000" w:csb0="00040000" w:csb1="00000000"/>
    <w:embedRegular r:id="rId3" w:fontKey="{1A9C68E6-AFA6-464A-B21C-271F2EA8ACFC}"/>
  </w:font>
  <w:font w:name="方正仿宋_GBK">
    <w:panose1 w:val="02000000000000000000"/>
    <w:charset w:val="86"/>
    <w:family w:val="auto"/>
    <w:pitch w:val="default"/>
    <w:sig w:usb0="A00002BF" w:usb1="38CF7CFA" w:usb2="00082016" w:usb3="00000000" w:csb0="00040001" w:csb1="00000000"/>
    <w:embedRegular r:id="rId4" w:fontKey="{1CFA3C02-23CB-4F18-A782-7AAC73CDF372}"/>
  </w:font>
  <w:font w:name="方正楷体_GBK">
    <w:panose1 w:val="02000000000000000000"/>
    <w:charset w:val="86"/>
    <w:family w:val="auto"/>
    <w:pitch w:val="default"/>
    <w:sig w:usb0="A00002BF" w:usb1="38CF7CFA" w:usb2="00082016" w:usb3="00000000" w:csb0="00040001" w:csb1="00000000"/>
    <w:embedRegular r:id="rId5" w:fontKey="{1A3F306B-6C7D-41FF-B22E-A74C43A3700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E406C7">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C62DDC2">
                          <w:pPr>
                            <w:pStyle w:val="3"/>
                          </w:pPr>
                          <w: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1C62DDC2">
                    <w:pPr>
                      <w:pStyle w:val="3"/>
                    </w:pPr>
                    <w: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BD15409"/>
    <w:rsid w:val="3146736B"/>
    <w:rsid w:val="4BD154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unhideWhenUsed/>
    <w:qFormat/>
    <w:uiPriority w:val="1"/>
    <w:rPr>
      <w:sz w:val="44"/>
    </w:rPr>
  </w:style>
  <w:style w:type="paragraph" w:styleId="3">
    <w:name w:val="footer"/>
    <w:basedOn w:val="1"/>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2236</Words>
  <Characters>2372</Characters>
  <Lines>0</Lines>
  <Paragraphs>0</Paragraphs>
  <TotalTime>25</TotalTime>
  <ScaleCrop>false</ScaleCrop>
  <LinksUpToDate>false</LinksUpToDate>
  <CharactersWithSpaces>2396</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2024-12-02T10:07:00Z</dcterms:created>
  <dc:creator>Administrator</dc:creator>
  <cp:lastModifiedBy>羽 蒙 .</cp:lastModifiedBy>
  <dcterms:modified xsi:type="dcterms:W3CDTF">2024-12-18T02:57:25Z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47D66BE4F98E40BC969D34982E08B0C3_12</vt:lpwstr>
  </property>
</Properties>
</file>