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巴州人民医院</w:t>
      </w:r>
      <w:r>
        <w:rPr>
          <w:rFonts w:hint="eastAsia" w:ascii="方正小标宋_GBK" w:hAnsi="方正小标宋_GBK" w:eastAsia="方正小标宋_GBK" w:cs="方正小标宋_GBK"/>
          <w:sz w:val="44"/>
          <w:szCs w:val="44"/>
        </w:rPr>
        <w:t>废水</w:t>
      </w:r>
      <w:r>
        <w:rPr>
          <w:rFonts w:hint="eastAsia" w:ascii="方正小标宋_GBK" w:hAnsi="方正小标宋_GBK" w:eastAsia="方正小标宋_GBK" w:cs="方正小标宋_GBK"/>
          <w:sz w:val="44"/>
          <w:szCs w:val="44"/>
          <w:lang w:eastAsia="zh-CN"/>
        </w:rPr>
        <w:t>、废气、噪声监测项目</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招标</w:t>
      </w:r>
      <w:r>
        <w:rPr>
          <w:rFonts w:hint="eastAsia" w:ascii="方正小标宋_GBK" w:hAnsi="方正小标宋_GBK" w:eastAsia="方正小标宋_GBK" w:cs="方正小标宋_GBK"/>
          <w:sz w:val="44"/>
          <w:szCs w:val="44"/>
        </w:rPr>
        <w:t>参数</w:t>
      </w:r>
    </w:p>
    <w:p>
      <w:pPr>
        <w:ind w:firstLine="640" w:firstLineChars="200"/>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lang w:val="en-US" w:eastAsia="zh-CN"/>
        </w:rPr>
        <w:t>为贯彻落实《中华人民共和国环境保护法》《中华人民共和国大气污染防治法》《中华人民共和国水污染防治法》《医疗废物管理条例》等法律法规，以及《国务院办公厅关于印发控制污染物排放许可制实施方案的通知》（国办发〔2016〕81 号）和《排污许可管理办法（试行）》（环境保护部令第 48 号）等相关要求，</w:t>
      </w:r>
      <w:r>
        <w:rPr>
          <w:rFonts w:hint="default" w:ascii="Times New Roman" w:hAnsi="Times New Roman" w:eastAsia="方正仿宋_GBK" w:cs="Times New Roman"/>
          <w:color w:val="auto"/>
          <w:sz w:val="32"/>
          <w:szCs w:val="32"/>
        </w:rPr>
        <w:t>需对医</w:t>
      </w:r>
      <w:r>
        <w:rPr>
          <w:rFonts w:hint="eastAsia" w:ascii="方正仿宋_GBK" w:hAnsi="方正仿宋_GBK" w:eastAsia="方正仿宋_GBK" w:cs="方正仿宋_GBK"/>
          <w:color w:val="auto"/>
          <w:sz w:val="32"/>
          <w:szCs w:val="32"/>
        </w:rPr>
        <w:t>院污水处理站排放废水</w:t>
      </w:r>
      <w:r>
        <w:rPr>
          <w:rFonts w:hint="eastAsia" w:ascii="方正仿宋_GBK" w:hAnsi="方正仿宋_GBK" w:eastAsia="方正仿宋_GBK" w:cs="方正仿宋_GBK"/>
          <w:color w:val="auto"/>
          <w:sz w:val="32"/>
          <w:szCs w:val="32"/>
          <w:lang w:val="en-US" w:eastAsia="zh-CN"/>
        </w:rPr>
        <w:t>、污水处理站周界产生的废气、锅炉排气筒排出的废气、厂界噪声</w:t>
      </w:r>
      <w:r>
        <w:rPr>
          <w:rFonts w:hint="eastAsia" w:ascii="方正仿宋_GBK" w:hAnsi="方正仿宋_GBK" w:eastAsia="方正仿宋_GBK" w:cs="方正仿宋_GBK"/>
          <w:color w:val="auto"/>
          <w:sz w:val="32"/>
          <w:szCs w:val="32"/>
        </w:rPr>
        <w:t>进行定期</w:t>
      </w:r>
      <w:r>
        <w:rPr>
          <w:rFonts w:hint="eastAsia" w:ascii="方正仿宋_GBK" w:hAnsi="方正仿宋_GBK" w:eastAsia="方正仿宋_GBK" w:cs="方正仿宋_GBK"/>
          <w:color w:val="auto"/>
          <w:sz w:val="32"/>
          <w:szCs w:val="32"/>
          <w:lang w:eastAsia="zh-CN"/>
        </w:rPr>
        <w:t>检测</w:t>
      </w:r>
      <w:r>
        <w:rPr>
          <w:rFonts w:hint="eastAsia" w:ascii="方正仿宋_GBK" w:hAnsi="方正仿宋_GBK" w:eastAsia="方正仿宋_GBK" w:cs="方正仿宋_GBK"/>
          <w:color w:val="auto"/>
          <w:sz w:val="32"/>
          <w:szCs w:val="32"/>
        </w:rPr>
        <w:t>，以保证</w:t>
      </w:r>
      <w:r>
        <w:rPr>
          <w:rFonts w:hint="eastAsia" w:ascii="方正仿宋_GBK" w:hAnsi="方正仿宋_GBK" w:eastAsia="方正仿宋_GBK" w:cs="方正仿宋_GBK"/>
          <w:color w:val="auto"/>
          <w:sz w:val="32"/>
          <w:szCs w:val="32"/>
          <w:lang w:eastAsia="zh-CN"/>
        </w:rPr>
        <w:t>各项数据</w:t>
      </w:r>
      <w:r>
        <w:rPr>
          <w:rFonts w:hint="eastAsia" w:ascii="方正仿宋_GBK" w:hAnsi="方正仿宋_GBK" w:eastAsia="方正仿宋_GBK" w:cs="方正仿宋_GBK"/>
          <w:color w:val="auto"/>
          <w:sz w:val="32"/>
          <w:szCs w:val="32"/>
        </w:rPr>
        <w:t>达到排放标准</w:t>
      </w:r>
      <w:r>
        <w:rPr>
          <w:rFonts w:hint="eastAsia" w:ascii="方正仿宋_GBK" w:hAnsi="方正仿宋_GBK" w:eastAsia="方正仿宋_GBK" w:cs="方正仿宋_GBK"/>
          <w:color w:val="auto"/>
          <w:sz w:val="32"/>
          <w:szCs w:val="32"/>
          <w:lang w:eastAsia="zh-CN"/>
        </w:rPr>
        <w:t>。检测项目、检测点位以及检测频次如下：</w:t>
      </w:r>
    </w:p>
    <w:p>
      <w:pPr>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eastAsia="zh-CN"/>
        </w:rPr>
        <w:t>一、</w:t>
      </w:r>
      <w:r>
        <w:rPr>
          <w:rFonts w:hint="eastAsia" w:ascii="方正仿宋_GBK" w:hAnsi="方正仿宋_GBK" w:eastAsia="方正仿宋_GBK" w:cs="方正仿宋_GBK"/>
          <w:b/>
          <w:bCs/>
          <w:color w:val="auto"/>
          <w:sz w:val="32"/>
          <w:szCs w:val="32"/>
          <w:lang w:eastAsia="zh-CN"/>
        </w:rPr>
        <w:t>检测项目、检测点位以及检测频次</w:t>
      </w:r>
    </w:p>
    <w:tbl>
      <w:tblPr>
        <w:tblStyle w:val="5"/>
        <w:tblW w:w="49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1305"/>
        <w:gridCol w:w="1579"/>
        <w:gridCol w:w="1512"/>
        <w:gridCol w:w="1801"/>
        <w:gridCol w:w="540"/>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序号</w:t>
            </w:r>
          </w:p>
        </w:tc>
        <w:tc>
          <w:tcPr>
            <w:tcW w:w="776" w:type="pct"/>
            <w:vAlign w:val="center"/>
          </w:tcPr>
          <w:p>
            <w:pPr>
              <w:jc w:val="center"/>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检测类别</w:t>
            </w:r>
          </w:p>
        </w:tc>
        <w:tc>
          <w:tcPr>
            <w:tcW w:w="939" w:type="pct"/>
            <w:vAlign w:val="center"/>
          </w:tcPr>
          <w:p>
            <w:pPr>
              <w:jc w:val="center"/>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检测项目</w:t>
            </w:r>
          </w:p>
        </w:tc>
        <w:tc>
          <w:tcPr>
            <w:tcW w:w="899" w:type="pct"/>
            <w:vAlign w:val="center"/>
          </w:tcPr>
          <w:p>
            <w:pPr>
              <w:jc w:val="center"/>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检测因子</w:t>
            </w:r>
          </w:p>
        </w:tc>
        <w:tc>
          <w:tcPr>
            <w:tcW w:w="1071" w:type="pct"/>
            <w:vAlign w:val="center"/>
          </w:tcPr>
          <w:p>
            <w:pPr>
              <w:jc w:val="center"/>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检测频次</w:t>
            </w:r>
          </w:p>
        </w:tc>
        <w:tc>
          <w:tcPr>
            <w:tcW w:w="321" w:type="pct"/>
            <w:vAlign w:val="center"/>
          </w:tcPr>
          <w:p>
            <w:pPr>
              <w:jc w:val="center"/>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点位</w:t>
            </w:r>
          </w:p>
        </w:tc>
        <w:tc>
          <w:tcPr>
            <w:tcW w:w="553" w:type="pct"/>
            <w:vAlign w:val="center"/>
          </w:tcPr>
          <w:p>
            <w:pPr>
              <w:jc w:val="center"/>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eastAsia"/>
                <w:color w:val="auto"/>
                <w:highlight w:val="none"/>
                <w:lang w:val="en-US" w:eastAsia="zh-CN"/>
              </w:rPr>
            </w:pPr>
            <w:r>
              <w:rPr>
                <w:rFonts w:hint="eastAsia"/>
                <w:color w:val="auto"/>
                <w:highlight w:val="none"/>
                <w:lang w:val="en-US" w:eastAsia="zh-CN"/>
              </w:rPr>
              <w:t>1</w:t>
            </w:r>
          </w:p>
        </w:tc>
        <w:tc>
          <w:tcPr>
            <w:tcW w:w="776" w:type="pct"/>
            <w:vAlign w:val="center"/>
          </w:tcPr>
          <w:p>
            <w:pPr>
              <w:jc w:val="center"/>
              <w:rPr>
                <w:rFonts w:hint="eastAsia"/>
                <w:color w:val="auto"/>
                <w:sz w:val="32"/>
                <w:szCs w:val="32"/>
                <w:highlight w:val="none"/>
                <w:vertAlign w:val="baseline"/>
              </w:rPr>
            </w:pPr>
            <w:r>
              <w:rPr>
                <w:rFonts w:hint="eastAsia"/>
                <w:color w:val="auto"/>
                <w:highlight w:val="none"/>
                <w:lang w:eastAsia="zh-CN"/>
              </w:rPr>
              <w:t>废水</w:t>
            </w:r>
          </w:p>
        </w:tc>
        <w:tc>
          <w:tcPr>
            <w:tcW w:w="939" w:type="pct"/>
            <w:vAlign w:val="center"/>
          </w:tcPr>
          <w:p>
            <w:pPr>
              <w:jc w:val="center"/>
              <w:rPr>
                <w:rFonts w:hint="eastAsia"/>
                <w:color w:val="auto"/>
                <w:sz w:val="32"/>
                <w:szCs w:val="32"/>
                <w:highlight w:val="none"/>
                <w:vertAlign w:val="baseline"/>
              </w:rPr>
            </w:pPr>
            <w:r>
              <w:rPr>
                <w:rFonts w:hint="eastAsia"/>
                <w:color w:val="auto"/>
                <w:highlight w:val="none"/>
                <w:lang w:eastAsia="zh-CN"/>
              </w:rPr>
              <w:t>废水监测</w:t>
            </w:r>
          </w:p>
        </w:tc>
        <w:tc>
          <w:tcPr>
            <w:tcW w:w="899" w:type="pct"/>
            <w:vAlign w:val="center"/>
          </w:tcPr>
          <w:p>
            <w:pPr>
              <w:jc w:val="center"/>
              <w:rPr>
                <w:rFonts w:hint="eastAsia"/>
                <w:color w:val="auto"/>
                <w:sz w:val="32"/>
                <w:szCs w:val="32"/>
                <w:highlight w:val="none"/>
                <w:vertAlign w:val="baseline"/>
              </w:rPr>
            </w:pPr>
            <w:r>
              <w:rPr>
                <w:rFonts w:hint="eastAsia"/>
                <w:color w:val="auto"/>
                <w:highlight w:val="none"/>
              </w:rPr>
              <w:t>六价铬</w:t>
            </w:r>
          </w:p>
        </w:tc>
        <w:tc>
          <w:tcPr>
            <w:tcW w:w="107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每季度检测1次</w:t>
            </w:r>
          </w:p>
        </w:tc>
        <w:tc>
          <w:tcPr>
            <w:tcW w:w="321" w:type="pct"/>
            <w:vAlign w:val="center"/>
          </w:tcPr>
          <w:p>
            <w:pPr>
              <w:jc w:val="center"/>
              <w:rPr>
                <w:rFonts w:hint="eastAsia"/>
                <w:color w:val="auto"/>
                <w:highlight w:val="none"/>
                <w:lang w:val="en-US" w:eastAsia="zh-CN"/>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eastAsia"/>
                <w:color w:val="auto"/>
                <w:highlight w:val="none"/>
                <w:lang w:val="en-US" w:eastAsia="zh-CN"/>
              </w:rPr>
            </w:pPr>
            <w:r>
              <w:rPr>
                <w:rFonts w:hint="eastAsia"/>
                <w:color w:val="auto"/>
                <w:highlight w:val="none"/>
                <w:lang w:val="en-US" w:eastAsia="zh-CN"/>
              </w:rPr>
              <w:t>2</w:t>
            </w:r>
          </w:p>
        </w:tc>
        <w:tc>
          <w:tcPr>
            <w:tcW w:w="776"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w:t>
            </w:r>
          </w:p>
        </w:tc>
        <w:tc>
          <w:tcPr>
            <w:tcW w:w="939"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废水监测</w:t>
            </w:r>
          </w:p>
        </w:tc>
        <w:tc>
          <w:tcPr>
            <w:tcW w:w="899" w:type="pct"/>
            <w:vAlign w:val="center"/>
          </w:tcPr>
          <w:p>
            <w:pPr>
              <w:jc w:val="center"/>
              <w:rPr>
                <w:rFonts w:hint="eastAsia"/>
                <w:color w:val="auto"/>
                <w:sz w:val="32"/>
                <w:szCs w:val="32"/>
                <w:highlight w:val="none"/>
                <w:vertAlign w:val="baseline"/>
              </w:rPr>
            </w:pPr>
            <w:r>
              <w:rPr>
                <w:rFonts w:hint="eastAsia"/>
                <w:color w:val="auto"/>
                <w:highlight w:val="none"/>
              </w:rPr>
              <w:t>总镉</w:t>
            </w:r>
          </w:p>
        </w:tc>
        <w:tc>
          <w:tcPr>
            <w:tcW w:w="107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每季度检测1次</w:t>
            </w:r>
          </w:p>
        </w:tc>
        <w:tc>
          <w:tcPr>
            <w:tcW w:w="321" w:type="pct"/>
            <w:vAlign w:val="center"/>
          </w:tcPr>
          <w:p>
            <w:pPr>
              <w:jc w:val="center"/>
              <w:rPr>
                <w:rFonts w:hint="eastAsia"/>
                <w:color w:val="auto"/>
                <w:highlight w:val="none"/>
                <w:lang w:val="en-US" w:eastAsia="zh-CN"/>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eastAsia"/>
                <w:color w:val="auto"/>
                <w:highlight w:val="none"/>
                <w:lang w:val="en-US" w:eastAsia="zh-CN"/>
              </w:rPr>
            </w:pPr>
            <w:r>
              <w:rPr>
                <w:rFonts w:hint="eastAsia"/>
                <w:color w:val="auto"/>
                <w:highlight w:val="none"/>
                <w:lang w:val="en-US" w:eastAsia="zh-CN"/>
              </w:rPr>
              <w:t>3</w:t>
            </w:r>
          </w:p>
        </w:tc>
        <w:tc>
          <w:tcPr>
            <w:tcW w:w="776"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w:t>
            </w:r>
          </w:p>
        </w:tc>
        <w:tc>
          <w:tcPr>
            <w:tcW w:w="939"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废水监测</w:t>
            </w:r>
          </w:p>
        </w:tc>
        <w:tc>
          <w:tcPr>
            <w:tcW w:w="899" w:type="pct"/>
            <w:vAlign w:val="center"/>
          </w:tcPr>
          <w:p>
            <w:pPr>
              <w:jc w:val="center"/>
              <w:rPr>
                <w:rFonts w:hint="eastAsia"/>
                <w:color w:val="auto"/>
                <w:sz w:val="32"/>
                <w:szCs w:val="32"/>
                <w:highlight w:val="none"/>
                <w:vertAlign w:val="baseline"/>
              </w:rPr>
            </w:pPr>
            <w:r>
              <w:rPr>
                <w:rFonts w:hint="eastAsia"/>
                <w:color w:val="auto"/>
                <w:highlight w:val="none"/>
              </w:rPr>
              <w:t>总铬</w:t>
            </w:r>
          </w:p>
        </w:tc>
        <w:tc>
          <w:tcPr>
            <w:tcW w:w="107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每季度检测1次</w:t>
            </w:r>
          </w:p>
        </w:tc>
        <w:tc>
          <w:tcPr>
            <w:tcW w:w="321" w:type="pct"/>
            <w:vAlign w:val="center"/>
          </w:tcPr>
          <w:p>
            <w:pPr>
              <w:jc w:val="center"/>
              <w:rPr>
                <w:rFonts w:hint="eastAsia"/>
                <w:color w:val="auto"/>
                <w:highlight w:val="none"/>
                <w:lang w:val="en-US" w:eastAsia="zh-CN"/>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eastAsia"/>
                <w:color w:val="auto"/>
                <w:highlight w:val="none"/>
                <w:lang w:val="en-US" w:eastAsia="zh-CN"/>
              </w:rPr>
            </w:pPr>
            <w:r>
              <w:rPr>
                <w:rFonts w:hint="eastAsia"/>
                <w:color w:val="auto"/>
                <w:highlight w:val="none"/>
                <w:lang w:val="en-US" w:eastAsia="zh-CN"/>
              </w:rPr>
              <w:t>4</w:t>
            </w:r>
          </w:p>
        </w:tc>
        <w:tc>
          <w:tcPr>
            <w:tcW w:w="776"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w:t>
            </w:r>
          </w:p>
        </w:tc>
        <w:tc>
          <w:tcPr>
            <w:tcW w:w="939"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废水监测</w:t>
            </w:r>
          </w:p>
        </w:tc>
        <w:tc>
          <w:tcPr>
            <w:tcW w:w="899" w:type="pct"/>
            <w:vAlign w:val="center"/>
          </w:tcPr>
          <w:p>
            <w:pPr>
              <w:jc w:val="center"/>
              <w:rPr>
                <w:rFonts w:hint="eastAsia"/>
                <w:color w:val="auto"/>
                <w:sz w:val="32"/>
                <w:szCs w:val="32"/>
                <w:highlight w:val="none"/>
                <w:vertAlign w:val="baseline"/>
              </w:rPr>
            </w:pPr>
            <w:r>
              <w:rPr>
                <w:rFonts w:hint="eastAsia"/>
                <w:b w:val="0"/>
                <w:bCs w:val="0"/>
                <w:color w:val="auto"/>
                <w:highlight w:val="none"/>
              </w:rPr>
              <w:t>总汞</w:t>
            </w:r>
          </w:p>
        </w:tc>
        <w:tc>
          <w:tcPr>
            <w:tcW w:w="107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每季度检测1次</w:t>
            </w:r>
          </w:p>
        </w:tc>
        <w:tc>
          <w:tcPr>
            <w:tcW w:w="321" w:type="pct"/>
            <w:vAlign w:val="center"/>
          </w:tcPr>
          <w:p>
            <w:pPr>
              <w:jc w:val="center"/>
              <w:rPr>
                <w:rFonts w:hint="eastAsia"/>
                <w:color w:val="auto"/>
                <w:highlight w:val="none"/>
                <w:lang w:val="en-US" w:eastAsia="zh-CN"/>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eastAsia"/>
                <w:color w:val="auto"/>
                <w:highlight w:val="none"/>
                <w:lang w:val="en-US" w:eastAsia="zh-CN"/>
              </w:rPr>
            </w:pPr>
            <w:r>
              <w:rPr>
                <w:rFonts w:hint="eastAsia"/>
                <w:color w:val="auto"/>
                <w:highlight w:val="none"/>
                <w:lang w:val="en-US" w:eastAsia="zh-CN"/>
              </w:rPr>
              <w:t>5</w:t>
            </w:r>
          </w:p>
        </w:tc>
        <w:tc>
          <w:tcPr>
            <w:tcW w:w="776"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w:t>
            </w:r>
          </w:p>
        </w:tc>
        <w:tc>
          <w:tcPr>
            <w:tcW w:w="939"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废水监测</w:t>
            </w:r>
          </w:p>
        </w:tc>
        <w:tc>
          <w:tcPr>
            <w:tcW w:w="899" w:type="pct"/>
            <w:vAlign w:val="center"/>
          </w:tcPr>
          <w:p>
            <w:pPr>
              <w:jc w:val="center"/>
              <w:rPr>
                <w:rFonts w:hint="eastAsia"/>
                <w:color w:val="auto"/>
                <w:sz w:val="32"/>
                <w:szCs w:val="32"/>
                <w:highlight w:val="none"/>
                <w:vertAlign w:val="baseline"/>
              </w:rPr>
            </w:pPr>
            <w:r>
              <w:rPr>
                <w:rFonts w:hint="eastAsia"/>
                <w:color w:val="auto"/>
                <w:highlight w:val="none"/>
              </w:rPr>
              <w:t>总铅</w:t>
            </w:r>
          </w:p>
        </w:tc>
        <w:tc>
          <w:tcPr>
            <w:tcW w:w="107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每季度检测1次</w:t>
            </w:r>
          </w:p>
        </w:tc>
        <w:tc>
          <w:tcPr>
            <w:tcW w:w="321" w:type="pct"/>
            <w:vAlign w:val="center"/>
          </w:tcPr>
          <w:p>
            <w:pPr>
              <w:jc w:val="center"/>
              <w:rPr>
                <w:rFonts w:hint="eastAsia"/>
                <w:color w:val="auto"/>
                <w:highlight w:val="none"/>
                <w:lang w:val="en-US" w:eastAsia="zh-CN"/>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eastAsia"/>
                <w:color w:val="auto"/>
                <w:highlight w:val="none"/>
                <w:lang w:val="en-US" w:eastAsia="zh-CN"/>
              </w:rPr>
            </w:pPr>
            <w:r>
              <w:rPr>
                <w:rFonts w:hint="eastAsia"/>
                <w:color w:val="auto"/>
                <w:highlight w:val="none"/>
                <w:lang w:val="en-US" w:eastAsia="zh-CN"/>
              </w:rPr>
              <w:t>6</w:t>
            </w:r>
          </w:p>
        </w:tc>
        <w:tc>
          <w:tcPr>
            <w:tcW w:w="776"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w:t>
            </w:r>
          </w:p>
        </w:tc>
        <w:tc>
          <w:tcPr>
            <w:tcW w:w="939"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废水监测</w:t>
            </w:r>
          </w:p>
        </w:tc>
        <w:tc>
          <w:tcPr>
            <w:tcW w:w="899" w:type="pct"/>
            <w:vAlign w:val="center"/>
          </w:tcPr>
          <w:p>
            <w:pPr>
              <w:jc w:val="center"/>
              <w:rPr>
                <w:rFonts w:hint="eastAsia"/>
                <w:color w:val="auto"/>
                <w:sz w:val="32"/>
                <w:szCs w:val="32"/>
                <w:highlight w:val="none"/>
                <w:vertAlign w:val="baseline"/>
              </w:rPr>
            </w:pPr>
            <w:r>
              <w:rPr>
                <w:rFonts w:hint="eastAsia"/>
                <w:color w:val="auto"/>
                <w:highlight w:val="none"/>
              </w:rPr>
              <w:t>总砷</w:t>
            </w:r>
          </w:p>
        </w:tc>
        <w:tc>
          <w:tcPr>
            <w:tcW w:w="107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每季度检测1次</w:t>
            </w:r>
          </w:p>
        </w:tc>
        <w:tc>
          <w:tcPr>
            <w:tcW w:w="321" w:type="pct"/>
            <w:vAlign w:val="center"/>
          </w:tcPr>
          <w:p>
            <w:pPr>
              <w:jc w:val="center"/>
              <w:rPr>
                <w:rFonts w:hint="eastAsia"/>
                <w:color w:val="auto"/>
                <w:highlight w:val="none"/>
                <w:lang w:val="en-US" w:eastAsia="zh-CN"/>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eastAsia"/>
                <w:color w:val="auto"/>
                <w:highlight w:val="none"/>
                <w:lang w:val="en-US" w:eastAsia="zh-CN"/>
              </w:rPr>
            </w:pPr>
            <w:r>
              <w:rPr>
                <w:rFonts w:hint="eastAsia"/>
                <w:color w:val="auto"/>
                <w:highlight w:val="none"/>
                <w:lang w:val="en-US" w:eastAsia="zh-CN"/>
              </w:rPr>
              <w:t>7</w:t>
            </w:r>
          </w:p>
        </w:tc>
        <w:tc>
          <w:tcPr>
            <w:tcW w:w="776"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w:t>
            </w:r>
          </w:p>
        </w:tc>
        <w:tc>
          <w:tcPr>
            <w:tcW w:w="939"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废水监测</w:t>
            </w:r>
          </w:p>
        </w:tc>
        <w:tc>
          <w:tcPr>
            <w:tcW w:w="899" w:type="pct"/>
            <w:vAlign w:val="center"/>
          </w:tcPr>
          <w:p>
            <w:pPr>
              <w:jc w:val="center"/>
              <w:rPr>
                <w:rFonts w:hint="eastAsia" w:eastAsiaTheme="minorEastAsia"/>
                <w:color w:val="auto"/>
                <w:sz w:val="32"/>
                <w:szCs w:val="32"/>
                <w:highlight w:val="none"/>
                <w:vertAlign w:val="baseline"/>
                <w:lang w:eastAsia="zh-CN"/>
              </w:rPr>
            </w:pPr>
            <w:r>
              <w:rPr>
                <w:rFonts w:hint="eastAsia"/>
                <w:color w:val="auto"/>
                <w:highlight w:val="none"/>
              </w:rPr>
              <w:t>生化需氧量</w:t>
            </w:r>
            <w:r>
              <w:rPr>
                <w:rFonts w:hint="eastAsia"/>
                <w:color w:val="auto"/>
                <w:highlight w:val="none"/>
                <w:lang w:eastAsia="zh-CN"/>
              </w:rPr>
              <w:t>（</w:t>
            </w:r>
            <w:r>
              <w:rPr>
                <w:rFonts w:hint="eastAsia"/>
                <w:color w:val="auto"/>
                <w:highlight w:val="none"/>
                <w:lang w:val="en-US" w:eastAsia="zh-CN"/>
              </w:rPr>
              <w:t>BOD</w:t>
            </w:r>
            <w:r>
              <w:rPr>
                <w:rFonts w:hint="eastAsia"/>
                <w:color w:val="auto"/>
                <w:highlight w:val="none"/>
                <w:lang w:eastAsia="zh-CN"/>
              </w:rPr>
              <w:t>）</w:t>
            </w:r>
          </w:p>
        </w:tc>
        <w:tc>
          <w:tcPr>
            <w:tcW w:w="107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每季度检测1次</w:t>
            </w:r>
          </w:p>
        </w:tc>
        <w:tc>
          <w:tcPr>
            <w:tcW w:w="321" w:type="pct"/>
            <w:vAlign w:val="center"/>
          </w:tcPr>
          <w:p>
            <w:pPr>
              <w:jc w:val="center"/>
              <w:rPr>
                <w:rFonts w:hint="eastAsia"/>
                <w:color w:val="auto"/>
                <w:highlight w:val="none"/>
                <w:lang w:val="en-US" w:eastAsia="zh-CN"/>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bookmarkStart w:id="0" w:name="_GoBack"/>
            <w:bookmarkEnd w:id="0"/>
            <w:r>
              <w:rPr>
                <w:rFonts w:hint="eastAsia"/>
                <w:color w:val="auto"/>
                <w:highlight w:val="none"/>
                <w:lang w:val="en-US" w:eastAsia="zh-CN"/>
              </w:rPr>
              <w:t>8</w:t>
            </w:r>
          </w:p>
        </w:tc>
        <w:tc>
          <w:tcPr>
            <w:tcW w:w="776"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w:t>
            </w:r>
          </w:p>
        </w:tc>
        <w:tc>
          <w:tcPr>
            <w:tcW w:w="939"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废水监测</w:t>
            </w:r>
          </w:p>
        </w:tc>
        <w:tc>
          <w:tcPr>
            <w:tcW w:w="899" w:type="pct"/>
            <w:vAlign w:val="center"/>
          </w:tcPr>
          <w:p>
            <w:pPr>
              <w:jc w:val="center"/>
              <w:rPr>
                <w:rFonts w:hint="eastAsia" w:asciiTheme="minorHAnsi" w:hAnsiTheme="minorHAnsi" w:eastAsiaTheme="minorEastAsia" w:cstheme="minorBidi"/>
                <w:color w:val="auto"/>
                <w:kern w:val="2"/>
                <w:sz w:val="32"/>
                <w:szCs w:val="32"/>
                <w:highlight w:val="none"/>
                <w:vertAlign w:val="baseline"/>
                <w:lang w:val="en-US" w:eastAsia="zh-CN" w:bidi="ar-SA"/>
              </w:rPr>
            </w:pPr>
            <w:r>
              <w:rPr>
                <w:rFonts w:hint="eastAsia"/>
                <w:color w:val="auto"/>
                <w:highlight w:val="none"/>
              </w:rPr>
              <w:t>动植物油</w:t>
            </w:r>
          </w:p>
        </w:tc>
        <w:tc>
          <w:tcPr>
            <w:tcW w:w="107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每季度检测1次</w:t>
            </w:r>
          </w:p>
        </w:tc>
        <w:tc>
          <w:tcPr>
            <w:tcW w:w="32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9</w:t>
            </w:r>
          </w:p>
        </w:tc>
        <w:tc>
          <w:tcPr>
            <w:tcW w:w="776"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w:t>
            </w:r>
          </w:p>
        </w:tc>
        <w:tc>
          <w:tcPr>
            <w:tcW w:w="939"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废水监测</w:t>
            </w:r>
          </w:p>
        </w:tc>
        <w:tc>
          <w:tcPr>
            <w:tcW w:w="899" w:type="pct"/>
            <w:vAlign w:val="center"/>
          </w:tcPr>
          <w:p>
            <w:pPr>
              <w:jc w:val="center"/>
              <w:rPr>
                <w:rFonts w:hint="eastAsia" w:asciiTheme="minorHAnsi" w:hAnsiTheme="minorHAnsi" w:eastAsiaTheme="minorEastAsia" w:cstheme="minorBidi"/>
                <w:color w:val="auto"/>
                <w:kern w:val="2"/>
                <w:sz w:val="32"/>
                <w:szCs w:val="32"/>
                <w:highlight w:val="none"/>
                <w:vertAlign w:val="baseline"/>
                <w:lang w:val="en-US" w:eastAsia="zh-CN" w:bidi="ar-SA"/>
              </w:rPr>
            </w:pPr>
            <w:r>
              <w:rPr>
                <w:rFonts w:hint="eastAsia"/>
                <w:color w:val="auto"/>
                <w:highlight w:val="none"/>
              </w:rPr>
              <w:t>石油类</w:t>
            </w:r>
          </w:p>
        </w:tc>
        <w:tc>
          <w:tcPr>
            <w:tcW w:w="107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每季度检测1次</w:t>
            </w:r>
          </w:p>
        </w:tc>
        <w:tc>
          <w:tcPr>
            <w:tcW w:w="32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10</w:t>
            </w:r>
          </w:p>
        </w:tc>
        <w:tc>
          <w:tcPr>
            <w:tcW w:w="776"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w:t>
            </w:r>
          </w:p>
        </w:tc>
        <w:tc>
          <w:tcPr>
            <w:tcW w:w="939"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废水监测</w:t>
            </w:r>
          </w:p>
        </w:tc>
        <w:tc>
          <w:tcPr>
            <w:tcW w:w="899" w:type="pct"/>
            <w:vAlign w:val="center"/>
          </w:tcPr>
          <w:p>
            <w:pPr>
              <w:jc w:val="center"/>
              <w:rPr>
                <w:rFonts w:hint="eastAsia"/>
                <w:color w:val="auto"/>
                <w:sz w:val="32"/>
                <w:szCs w:val="32"/>
                <w:highlight w:val="none"/>
                <w:vertAlign w:val="baseline"/>
              </w:rPr>
            </w:pPr>
            <w:r>
              <w:rPr>
                <w:rFonts w:hint="eastAsia"/>
                <w:color w:val="auto"/>
                <w:highlight w:val="none"/>
              </w:rPr>
              <w:t>阴离子</w:t>
            </w:r>
            <w:r>
              <w:rPr>
                <w:rFonts w:hint="eastAsia"/>
                <w:color w:val="auto"/>
                <w:highlight w:val="none"/>
                <w:lang w:eastAsia="zh-CN"/>
              </w:rPr>
              <w:t>表面</w:t>
            </w:r>
            <w:r>
              <w:rPr>
                <w:rFonts w:hint="eastAsia"/>
                <w:color w:val="auto"/>
                <w:highlight w:val="none"/>
              </w:rPr>
              <w:t>活性剂</w:t>
            </w:r>
          </w:p>
        </w:tc>
        <w:tc>
          <w:tcPr>
            <w:tcW w:w="107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每季度检测1次</w:t>
            </w:r>
          </w:p>
        </w:tc>
        <w:tc>
          <w:tcPr>
            <w:tcW w:w="32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11</w:t>
            </w:r>
          </w:p>
        </w:tc>
        <w:tc>
          <w:tcPr>
            <w:tcW w:w="776"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w:t>
            </w:r>
          </w:p>
        </w:tc>
        <w:tc>
          <w:tcPr>
            <w:tcW w:w="939"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废水监测</w:t>
            </w:r>
          </w:p>
        </w:tc>
        <w:tc>
          <w:tcPr>
            <w:tcW w:w="899" w:type="pct"/>
            <w:vAlign w:val="center"/>
          </w:tcPr>
          <w:p>
            <w:pPr>
              <w:jc w:val="center"/>
              <w:rPr>
                <w:rFonts w:hint="eastAsia" w:asciiTheme="minorHAnsi" w:hAnsiTheme="minorHAnsi" w:eastAsiaTheme="minorEastAsia" w:cstheme="minorBidi"/>
                <w:color w:val="auto"/>
                <w:kern w:val="2"/>
                <w:sz w:val="32"/>
                <w:szCs w:val="32"/>
                <w:highlight w:val="none"/>
                <w:vertAlign w:val="baseline"/>
                <w:lang w:val="en-US" w:eastAsia="zh-CN" w:bidi="ar-SA"/>
              </w:rPr>
            </w:pPr>
            <w:r>
              <w:rPr>
                <w:rFonts w:hint="eastAsia"/>
                <w:color w:val="auto"/>
                <w:highlight w:val="none"/>
              </w:rPr>
              <w:t>氨氮</w:t>
            </w:r>
          </w:p>
        </w:tc>
        <w:tc>
          <w:tcPr>
            <w:tcW w:w="107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每季度检测1次</w:t>
            </w:r>
          </w:p>
        </w:tc>
        <w:tc>
          <w:tcPr>
            <w:tcW w:w="32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12</w:t>
            </w:r>
          </w:p>
        </w:tc>
        <w:tc>
          <w:tcPr>
            <w:tcW w:w="776"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w:t>
            </w:r>
          </w:p>
        </w:tc>
        <w:tc>
          <w:tcPr>
            <w:tcW w:w="939"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废水监测</w:t>
            </w:r>
          </w:p>
        </w:tc>
        <w:tc>
          <w:tcPr>
            <w:tcW w:w="899" w:type="pct"/>
            <w:vAlign w:val="center"/>
          </w:tcPr>
          <w:p>
            <w:pPr>
              <w:jc w:val="center"/>
              <w:rPr>
                <w:rFonts w:hint="eastAsia" w:asciiTheme="minorHAnsi" w:hAnsiTheme="minorHAnsi" w:eastAsiaTheme="minorEastAsia" w:cstheme="minorBidi"/>
                <w:color w:val="auto"/>
                <w:kern w:val="2"/>
                <w:sz w:val="32"/>
                <w:szCs w:val="32"/>
                <w:highlight w:val="none"/>
                <w:vertAlign w:val="baseline"/>
                <w:lang w:val="en-US" w:eastAsia="zh-CN" w:bidi="ar-SA"/>
              </w:rPr>
            </w:pPr>
            <w:r>
              <w:rPr>
                <w:rFonts w:hint="eastAsia"/>
                <w:color w:val="auto"/>
                <w:highlight w:val="none"/>
              </w:rPr>
              <w:t>色度</w:t>
            </w:r>
          </w:p>
        </w:tc>
        <w:tc>
          <w:tcPr>
            <w:tcW w:w="107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每季度检测1次</w:t>
            </w:r>
          </w:p>
        </w:tc>
        <w:tc>
          <w:tcPr>
            <w:tcW w:w="32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13</w:t>
            </w:r>
          </w:p>
        </w:tc>
        <w:tc>
          <w:tcPr>
            <w:tcW w:w="776"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w:t>
            </w:r>
          </w:p>
        </w:tc>
        <w:tc>
          <w:tcPr>
            <w:tcW w:w="939"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废水监测</w:t>
            </w:r>
          </w:p>
        </w:tc>
        <w:tc>
          <w:tcPr>
            <w:tcW w:w="899" w:type="pct"/>
            <w:vAlign w:val="center"/>
          </w:tcPr>
          <w:p>
            <w:pPr>
              <w:jc w:val="center"/>
              <w:rPr>
                <w:rFonts w:hint="eastAsia" w:asciiTheme="minorHAnsi" w:hAnsiTheme="minorHAnsi" w:eastAsiaTheme="minorEastAsia" w:cstheme="minorBidi"/>
                <w:color w:val="auto"/>
                <w:kern w:val="2"/>
                <w:sz w:val="32"/>
                <w:szCs w:val="32"/>
                <w:highlight w:val="none"/>
                <w:vertAlign w:val="baseline"/>
                <w:lang w:val="en-US" w:eastAsia="zh-CN" w:bidi="ar-SA"/>
              </w:rPr>
            </w:pPr>
            <w:r>
              <w:rPr>
                <w:rFonts w:hint="eastAsia"/>
                <w:color w:val="auto"/>
                <w:highlight w:val="none"/>
              </w:rPr>
              <w:t>pH</w:t>
            </w:r>
          </w:p>
        </w:tc>
        <w:tc>
          <w:tcPr>
            <w:tcW w:w="107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每季度检测1次</w:t>
            </w:r>
          </w:p>
        </w:tc>
        <w:tc>
          <w:tcPr>
            <w:tcW w:w="32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14</w:t>
            </w:r>
          </w:p>
        </w:tc>
        <w:tc>
          <w:tcPr>
            <w:tcW w:w="776"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w:t>
            </w:r>
          </w:p>
        </w:tc>
        <w:tc>
          <w:tcPr>
            <w:tcW w:w="939"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废水监测</w:t>
            </w:r>
          </w:p>
        </w:tc>
        <w:tc>
          <w:tcPr>
            <w:tcW w:w="899" w:type="pct"/>
            <w:vAlign w:val="center"/>
          </w:tcPr>
          <w:p>
            <w:pPr>
              <w:jc w:val="center"/>
              <w:rPr>
                <w:rFonts w:hint="eastAsia" w:asciiTheme="minorHAnsi" w:hAnsiTheme="minorHAnsi" w:eastAsiaTheme="minorEastAsia" w:cstheme="minorBidi"/>
                <w:color w:val="auto"/>
                <w:kern w:val="2"/>
                <w:sz w:val="32"/>
                <w:szCs w:val="32"/>
                <w:highlight w:val="none"/>
                <w:vertAlign w:val="baseline"/>
                <w:lang w:val="en-US" w:eastAsia="zh-CN" w:bidi="ar-SA"/>
              </w:rPr>
            </w:pPr>
            <w:r>
              <w:rPr>
                <w:rFonts w:hint="eastAsia"/>
                <w:color w:val="auto"/>
                <w:highlight w:val="none"/>
                <w:lang w:eastAsia="zh-CN"/>
              </w:rPr>
              <w:t>粪</w:t>
            </w:r>
            <w:r>
              <w:rPr>
                <w:rFonts w:hint="eastAsia"/>
                <w:color w:val="auto"/>
                <w:highlight w:val="none"/>
              </w:rPr>
              <w:t>大肠菌群数</w:t>
            </w:r>
          </w:p>
        </w:tc>
        <w:tc>
          <w:tcPr>
            <w:tcW w:w="107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每月检测1次</w:t>
            </w:r>
          </w:p>
        </w:tc>
        <w:tc>
          <w:tcPr>
            <w:tcW w:w="32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15</w:t>
            </w:r>
          </w:p>
        </w:tc>
        <w:tc>
          <w:tcPr>
            <w:tcW w:w="776"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w:t>
            </w:r>
          </w:p>
        </w:tc>
        <w:tc>
          <w:tcPr>
            <w:tcW w:w="939"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废水监测</w:t>
            </w:r>
          </w:p>
        </w:tc>
        <w:tc>
          <w:tcPr>
            <w:tcW w:w="899" w:type="pct"/>
            <w:vAlign w:val="center"/>
          </w:tcPr>
          <w:p>
            <w:pPr>
              <w:jc w:val="center"/>
              <w:rPr>
                <w:rFonts w:hint="eastAsia"/>
                <w:color w:val="auto"/>
                <w:highlight w:val="none"/>
                <w:lang w:eastAsia="zh-CN"/>
              </w:rPr>
            </w:pPr>
            <w:r>
              <w:rPr>
                <w:rFonts w:hint="eastAsia"/>
                <w:color w:val="auto"/>
                <w:highlight w:val="none"/>
                <w:lang w:eastAsia="zh-CN"/>
              </w:rPr>
              <w:t>总氰化物</w:t>
            </w:r>
          </w:p>
        </w:tc>
        <w:tc>
          <w:tcPr>
            <w:tcW w:w="107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每季度检测1次</w:t>
            </w:r>
          </w:p>
        </w:tc>
        <w:tc>
          <w:tcPr>
            <w:tcW w:w="32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16</w:t>
            </w:r>
          </w:p>
        </w:tc>
        <w:tc>
          <w:tcPr>
            <w:tcW w:w="776"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w:t>
            </w:r>
          </w:p>
        </w:tc>
        <w:tc>
          <w:tcPr>
            <w:tcW w:w="939"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废水监测</w:t>
            </w:r>
          </w:p>
        </w:tc>
        <w:tc>
          <w:tcPr>
            <w:tcW w:w="899" w:type="pct"/>
            <w:vAlign w:val="center"/>
          </w:tcPr>
          <w:p>
            <w:pPr>
              <w:jc w:val="center"/>
              <w:rPr>
                <w:rFonts w:hint="eastAsia"/>
                <w:color w:val="auto"/>
                <w:highlight w:val="none"/>
                <w:lang w:eastAsia="zh-CN"/>
              </w:rPr>
            </w:pPr>
            <w:r>
              <w:rPr>
                <w:rFonts w:hint="eastAsia"/>
                <w:color w:val="auto"/>
                <w:highlight w:val="none"/>
                <w:lang w:eastAsia="zh-CN"/>
              </w:rPr>
              <w:t>肠道致病菌</w:t>
            </w:r>
          </w:p>
        </w:tc>
        <w:tc>
          <w:tcPr>
            <w:tcW w:w="107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每季度检测1次</w:t>
            </w:r>
          </w:p>
        </w:tc>
        <w:tc>
          <w:tcPr>
            <w:tcW w:w="32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17</w:t>
            </w:r>
          </w:p>
        </w:tc>
        <w:tc>
          <w:tcPr>
            <w:tcW w:w="776"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w:t>
            </w:r>
          </w:p>
        </w:tc>
        <w:tc>
          <w:tcPr>
            <w:tcW w:w="939"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废水监测</w:t>
            </w:r>
          </w:p>
        </w:tc>
        <w:tc>
          <w:tcPr>
            <w:tcW w:w="899" w:type="pct"/>
            <w:vAlign w:val="center"/>
          </w:tcPr>
          <w:p>
            <w:pPr>
              <w:jc w:val="center"/>
              <w:rPr>
                <w:rFonts w:hint="eastAsia"/>
                <w:color w:val="auto"/>
                <w:highlight w:val="none"/>
                <w:lang w:eastAsia="zh-CN"/>
              </w:rPr>
            </w:pPr>
            <w:r>
              <w:rPr>
                <w:rFonts w:hint="eastAsia"/>
                <w:color w:val="auto"/>
                <w:highlight w:val="none"/>
                <w:lang w:eastAsia="zh-CN"/>
              </w:rPr>
              <w:t>肠道病毒</w:t>
            </w:r>
          </w:p>
        </w:tc>
        <w:tc>
          <w:tcPr>
            <w:tcW w:w="107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每季度检测1次</w:t>
            </w:r>
          </w:p>
        </w:tc>
        <w:tc>
          <w:tcPr>
            <w:tcW w:w="32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18</w:t>
            </w:r>
          </w:p>
        </w:tc>
        <w:tc>
          <w:tcPr>
            <w:tcW w:w="776"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w:t>
            </w:r>
          </w:p>
        </w:tc>
        <w:tc>
          <w:tcPr>
            <w:tcW w:w="939" w:type="pct"/>
            <w:vAlign w:val="center"/>
          </w:tcPr>
          <w:p>
            <w:pPr>
              <w:jc w:val="center"/>
              <w:rPr>
                <w:rFonts w:hint="eastAsia" w:asciiTheme="minorHAnsi" w:hAnsiTheme="minorHAnsi" w:eastAsiaTheme="minorEastAsia" w:cstheme="minorBidi"/>
                <w:color w:val="auto"/>
                <w:kern w:val="2"/>
                <w:sz w:val="21"/>
                <w:szCs w:val="24"/>
                <w:highlight w:val="none"/>
                <w:lang w:val="en-US" w:eastAsia="zh-CN" w:bidi="ar-SA"/>
              </w:rPr>
            </w:pPr>
            <w:r>
              <w:rPr>
                <w:rFonts w:hint="eastAsia"/>
                <w:color w:val="auto"/>
                <w:highlight w:val="none"/>
                <w:lang w:eastAsia="zh-CN"/>
              </w:rPr>
              <w:t>废水监测</w:t>
            </w:r>
          </w:p>
        </w:tc>
        <w:tc>
          <w:tcPr>
            <w:tcW w:w="899" w:type="pct"/>
            <w:vAlign w:val="center"/>
          </w:tcPr>
          <w:p>
            <w:pPr>
              <w:jc w:val="center"/>
              <w:rPr>
                <w:rFonts w:hint="eastAsia"/>
                <w:color w:val="auto"/>
                <w:highlight w:val="none"/>
                <w:lang w:eastAsia="zh-CN"/>
              </w:rPr>
            </w:pPr>
            <w:r>
              <w:rPr>
                <w:rFonts w:hint="eastAsia"/>
                <w:color w:val="auto"/>
                <w:highlight w:val="none"/>
                <w:lang w:eastAsia="zh-CN"/>
              </w:rPr>
              <w:t>总余氯</w:t>
            </w:r>
          </w:p>
        </w:tc>
        <w:tc>
          <w:tcPr>
            <w:tcW w:w="107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每季度检测1次</w:t>
            </w:r>
          </w:p>
        </w:tc>
        <w:tc>
          <w:tcPr>
            <w:tcW w:w="321" w:type="pct"/>
            <w:vAlign w:val="center"/>
          </w:tcPr>
          <w:p>
            <w:pPr>
              <w:jc w:val="center"/>
              <w:rPr>
                <w:rFonts w:hint="eastAsia"/>
                <w:color w:val="auto"/>
                <w:sz w:val="32"/>
                <w:szCs w:val="32"/>
                <w:highlight w:val="none"/>
                <w:vertAlign w:val="baseline"/>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19</w:t>
            </w:r>
          </w:p>
        </w:tc>
        <w:tc>
          <w:tcPr>
            <w:tcW w:w="776" w:type="pct"/>
            <w:vAlign w:val="center"/>
          </w:tcPr>
          <w:p>
            <w:pPr>
              <w:jc w:val="center"/>
              <w:rPr>
                <w:rFonts w:hint="eastAsia"/>
                <w:color w:val="auto"/>
                <w:highlight w:val="none"/>
                <w:lang w:eastAsia="zh-CN"/>
              </w:rPr>
            </w:pPr>
            <w:r>
              <w:rPr>
                <w:rFonts w:hint="eastAsia"/>
                <w:color w:val="auto"/>
                <w:highlight w:val="none"/>
                <w:lang w:eastAsia="zh-CN"/>
              </w:rPr>
              <w:t>废水</w:t>
            </w:r>
          </w:p>
        </w:tc>
        <w:tc>
          <w:tcPr>
            <w:tcW w:w="939" w:type="pct"/>
            <w:vAlign w:val="center"/>
          </w:tcPr>
          <w:p>
            <w:pPr>
              <w:jc w:val="center"/>
              <w:rPr>
                <w:rFonts w:hint="eastAsia"/>
                <w:color w:val="auto"/>
                <w:highlight w:val="none"/>
                <w:lang w:eastAsia="zh-CN"/>
              </w:rPr>
            </w:pPr>
            <w:r>
              <w:rPr>
                <w:rFonts w:hint="eastAsia"/>
                <w:color w:val="auto"/>
                <w:highlight w:val="none"/>
                <w:lang w:eastAsia="zh-CN"/>
              </w:rPr>
              <w:t>废水监测</w:t>
            </w:r>
          </w:p>
        </w:tc>
        <w:tc>
          <w:tcPr>
            <w:tcW w:w="899" w:type="pct"/>
            <w:vAlign w:val="center"/>
          </w:tcPr>
          <w:p>
            <w:pPr>
              <w:jc w:val="center"/>
              <w:rPr>
                <w:rFonts w:hint="eastAsia"/>
                <w:color w:val="auto"/>
                <w:highlight w:val="none"/>
                <w:lang w:eastAsia="zh-CN"/>
              </w:rPr>
            </w:pPr>
            <w:r>
              <w:rPr>
                <w:rFonts w:hint="eastAsia"/>
                <w:color w:val="auto"/>
                <w:highlight w:val="none"/>
                <w:lang w:eastAsia="zh-CN"/>
              </w:rPr>
              <w:t>总α</w:t>
            </w:r>
          </w:p>
        </w:tc>
        <w:tc>
          <w:tcPr>
            <w:tcW w:w="1071" w:type="pct"/>
            <w:vAlign w:val="center"/>
          </w:tcPr>
          <w:p>
            <w:pPr>
              <w:jc w:val="center"/>
              <w:rPr>
                <w:rFonts w:hint="eastAsia"/>
                <w:color w:val="auto"/>
                <w:sz w:val="32"/>
                <w:szCs w:val="32"/>
                <w:highlight w:val="none"/>
                <w:vertAlign w:val="baseline"/>
                <w:lang w:eastAsia="zh-CN"/>
              </w:rPr>
            </w:pPr>
            <w:r>
              <w:rPr>
                <w:rFonts w:hint="eastAsia"/>
                <w:color w:val="auto"/>
                <w:highlight w:val="none"/>
                <w:lang w:val="en-US" w:eastAsia="zh-CN"/>
              </w:rPr>
              <w:t>每季度检测1次</w:t>
            </w:r>
          </w:p>
        </w:tc>
        <w:tc>
          <w:tcPr>
            <w:tcW w:w="321" w:type="pct"/>
            <w:vAlign w:val="center"/>
          </w:tcPr>
          <w:p>
            <w:pPr>
              <w:jc w:val="center"/>
              <w:rPr>
                <w:rFonts w:hint="eastAsia"/>
                <w:color w:val="auto"/>
                <w:sz w:val="32"/>
                <w:szCs w:val="32"/>
                <w:highlight w:val="none"/>
                <w:vertAlign w:val="baseline"/>
                <w:lang w:eastAsia="zh-CN"/>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20</w:t>
            </w:r>
          </w:p>
        </w:tc>
        <w:tc>
          <w:tcPr>
            <w:tcW w:w="776" w:type="pct"/>
            <w:vAlign w:val="center"/>
          </w:tcPr>
          <w:p>
            <w:pPr>
              <w:jc w:val="center"/>
              <w:rPr>
                <w:rFonts w:hint="eastAsia"/>
                <w:color w:val="auto"/>
                <w:highlight w:val="none"/>
                <w:lang w:eastAsia="zh-CN"/>
              </w:rPr>
            </w:pPr>
            <w:r>
              <w:rPr>
                <w:rFonts w:hint="eastAsia"/>
                <w:color w:val="auto"/>
                <w:highlight w:val="none"/>
                <w:lang w:eastAsia="zh-CN"/>
              </w:rPr>
              <w:t>废水</w:t>
            </w:r>
          </w:p>
        </w:tc>
        <w:tc>
          <w:tcPr>
            <w:tcW w:w="939" w:type="pct"/>
            <w:vAlign w:val="center"/>
          </w:tcPr>
          <w:p>
            <w:pPr>
              <w:jc w:val="center"/>
              <w:rPr>
                <w:rFonts w:hint="eastAsia"/>
                <w:color w:val="auto"/>
                <w:highlight w:val="none"/>
                <w:lang w:eastAsia="zh-CN"/>
              </w:rPr>
            </w:pPr>
            <w:r>
              <w:rPr>
                <w:rFonts w:hint="eastAsia"/>
                <w:color w:val="auto"/>
                <w:highlight w:val="none"/>
                <w:lang w:eastAsia="zh-CN"/>
              </w:rPr>
              <w:t>废水监测</w:t>
            </w:r>
          </w:p>
        </w:tc>
        <w:tc>
          <w:tcPr>
            <w:tcW w:w="899" w:type="pct"/>
            <w:vAlign w:val="center"/>
          </w:tcPr>
          <w:p>
            <w:pPr>
              <w:jc w:val="center"/>
              <w:rPr>
                <w:rFonts w:hint="eastAsia"/>
                <w:color w:val="auto"/>
                <w:highlight w:val="none"/>
                <w:lang w:eastAsia="zh-CN"/>
              </w:rPr>
            </w:pPr>
            <w:r>
              <w:rPr>
                <w:rFonts w:hint="eastAsia"/>
                <w:color w:val="auto"/>
                <w:highlight w:val="none"/>
                <w:lang w:eastAsia="zh-CN"/>
              </w:rPr>
              <w:t>总β</w:t>
            </w:r>
          </w:p>
        </w:tc>
        <w:tc>
          <w:tcPr>
            <w:tcW w:w="1071" w:type="pct"/>
            <w:vAlign w:val="center"/>
          </w:tcPr>
          <w:p>
            <w:pPr>
              <w:jc w:val="center"/>
              <w:rPr>
                <w:rFonts w:hint="eastAsia"/>
                <w:color w:val="auto"/>
                <w:sz w:val="32"/>
                <w:szCs w:val="32"/>
                <w:highlight w:val="none"/>
                <w:vertAlign w:val="baseline"/>
                <w:lang w:eastAsia="zh-CN"/>
              </w:rPr>
            </w:pPr>
            <w:r>
              <w:rPr>
                <w:rFonts w:hint="eastAsia"/>
                <w:color w:val="auto"/>
                <w:highlight w:val="none"/>
                <w:lang w:val="en-US" w:eastAsia="zh-CN"/>
              </w:rPr>
              <w:t>每季度检测1次</w:t>
            </w:r>
          </w:p>
        </w:tc>
        <w:tc>
          <w:tcPr>
            <w:tcW w:w="321" w:type="pct"/>
            <w:vAlign w:val="center"/>
          </w:tcPr>
          <w:p>
            <w:pPr>
              <w:jc w:val="center"/>
              <w:rPr>
                <w:rFonts w:hint="eastAsia"/>
                <w:color w:val="auto"/>
                <w:sz w:val="32"/>
                <w:szCs w:val="32"/>
                <w:highlight w:val="none"/>
                <w:vertAlign w:val="baseline"/>
                <w:lang w:eastAsia="zh-CN"/>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21</w:t>
            </w:r>
          </w:p>
        </w:tc>
        <w:tc>
          <w:tcPr>
            <w:tcW w:w="776" w:type="pct"/>
            <w:vAlign w:val="center"/>
          </w:tcPr>
          <w:p>
            <w:pPr>
              <w:jc w:val="center"/>
              <w:rPr>
                <w:rFonts w:hint="eastAsia"/>
                <w:color w:val="auto"/>
                <w:highlight w:val="none"/>
                <w:lang w:eastAsia="zh-CN"/>
              </w:rPr>
            </w:pPr>
            <w:r>
              <w:rPr>
                <w:rFonts w:hint="eastAsia"/>
                <w:color w:val="auto"/>
                <w:highlight w:val="none"/>
                <w:lang w:eastAsia="zh-CN"/>
              </w:rPr>
              <w:t>废水</w:t>
            </w:r>
          </w:p>
        </w:tc>
        <w:tc>
          <w:tcPr>
            <w:tcW w:w="939" w:type="pct"/>
            <w:vAlign w:val="center"/>
          </w:tcPr>
          <w:p>
            <w:pPr>
              <w:jc w:val="center"/>
              <w:rPr>
                <w:rFonts w:hint="eastAsia"/>
                <w:color w:val="auto"/>
                <w:highlight w:val="none"/>
                <w:lang w:eastAsia="zh-CN"/>
              </w:rPr>
            </w:pPr>
            <w:r>
              <w:rPr>
                <w:rFonts w:hint="eastAsia"/>
                <w:color w:val="auto"/>
                <w:highlight w:val="none"/>
                <w:lang w:eastAsia="zh-CN"/>
              </w:rPr>
              <w:t>废水监测</w:t>
            </w:r>
          </w:p>
        </w:tc>
        <w:tc>
          <w:tcPr>
            <w:tcW w:w="899" w:type="pct"/>
            <w:vAlign w:val="center"/>
          </w:tcPr>
          <w:p>
            <w:pPr>
              <w:jc w:val="center"/>
              <w:rPr>
                <w:rFonts w:hint="eastAsia"/>
                <w:color w:val="auto"/>
                <w:highlight w:val="none"/>
                <w:lang w:eastAsia="zh-CN"/>
              </w:rPr>
            </w:pPr>
            <w:r>
              <w:rPr>
                <w:rFonts w:hint="eastAsia"/>
                <w:color w:val="auto"/>
                <w:highlight w:val="none"/>
                <w:lang w:eastAsia="zh-CN"/>
              </w:rPr>
              <w:t>挥发酚</w:t>
            </w:r>
          </w:p>
        </w:tc>
        <w:tc>
          <w:tcPr>
            <w:tcW w:w="1071" w:type="pct"/>
            <w:vAlign w:val="center"/>
          </w:tcPr>
          <w:p>
            <w:pPr>
              <w:jc w:val="center"/>
              <w:rPr>
                <w:rFonts w:hint="eastAsia"/>
                <w:color w:val="auto"/>
                <w:sz w:val="32"/>
                <w:szCs w:val="32"/>
                <w:highlight w:val="none"/>
                <w:vertAlign w:val="baseline"/>
                <w:lang w:eastAsia="zh-CN"/>
              </w:rPr>
            </w:pPr>
            <w:r>
              <w:rPr>
                <w:rFonts w:hint="eastAsia"/>
                <w:color w:val="auto"/>
                <w:highlight w:val="none"/>
                <w:lang w:val="en-US" w:eastAsia="zh-CN"/>
              </w:rPr>
              <w:t>每季度检测1次</w:t>
            </w:r>
          </w:p>
        </w:tc>
        <w:tc>
          <w:tcPr>
            <w:tcW w:w="321" w:type="pct"/>
            <w:vAlign w:val="center"/>
          </w:tcPr>
          <w:p>
            <w:pPr>
              <w:jc w:val="center"/>
              <w:rPr>
                <w:rFonts w:hint="eastAsia"/>
                <w:color w:val="auto"/>
                <w:sz w:val="32"/>
                <w:szCs w:val="32"/>
                <w:highlight w:val="none"/>
                <w:vertAlign w:val="baseline"/>
                <w:lang w:eastAsia="zh-CN"/>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22</w:t>
            </w:r>
          </w:p>
        </w:tc>
        <w:tc>
          <w:tcPr>
            <w:tcW w:w="776" w:type="pct"/>
            <w:vAlign w:val="center"/>
          </w:tcPr>
          <w:p>
            <w:pPr>
              <w:jc w:val="center"/>
              <w:rPr>
                <w:rFonts w:hint="eastAsia"/>
                <w:color w:val="auto"/>
                <w:highlight w:val="none"/>
                <w:lang w:eastAsia="zh-CN"/>
              </w:rPr>
            </w:pPr>
            <w:r>
              <w:rPr>
                <w:rFonts w:hint="eastAsia"/>
                <w:color w:val="auto"/>
                <w:highlight w:val="none"/>
                <w:lang w:eastAsia="zh-CN"/>
              </w:rPr>
              <w:t>废水</w:t>
            </w:r>
          </w:p>
        </w:tc>
        <w:tc>
          <w:tcPr>
            <w:tcW w:w="939" w:type="pct"/>
            <w:vAlign w:val="center"/>
          </w:tcPr>
          <w:p>
            <w:pPr>
              <w:jc w:val="center"/>
              <w:rPr>
                <w:rFonts w:hint="eastAsia"/>
                <w:color w:val="auto"/>
                <w:highlight w:val="none"/>
                <w:lang w:eastAsia="zh-CN"/>
              </w:rPr>
            </w:pPr>
            <w:r>
              <w:rPr>
                <w:rFonts w:hint="eastAsia"/>
                <w:color w:val="auto"/>
                <w:highlight w:val="none"/>
                <w:lang w:eastAsia="zh-CN"/>
              </w:rPr>
              <w:t>废水监测</w:t>
            </w:r>
          </w:p>
        </w:tc>
        <w:tc>
          <w:tcPr>
            <w:tcW w:w="899" w:type="pct"/>
            <w:vAlign w:val="center"/>
          </w:tcPr>
          <w:p>
            <w:pPr>
              <w:jc w:val="center"/>
              <w:rPr>
                <w:rFonts w:hint="eastAsia"/>
                <w:color w:val="auto"/>
                <w:highlight w:val="none"/>
                <w:lang w:eastAsia="zh-CN"/>
              </w:rPr>
            </w:pPr>
            <w:r>
              <w:rPr>
                <w:rFonts w:hint="eastAsia"/>
                <w:color w:val="auto"/>
                <w:highlight w:val="none"/>
                <w:lang w:eastAsia="zh-CN"/>
              </w:rPr>
              <w:t>总银</w:t>
            </w:r>
          </w:p>
        </w:tc>
        <w:tc>
          <w:tcPr>
            <w:tcW w:w="1071" w:type="pct"/>
            <w:vAlign w:val="center"/>
          </w:tcPr>
          <w:p>
            <w:pPr>
              <w:jc w:val="center"/>
              <w:rPr>
                <w:rFonts w:hint="eastAsia"/>
                <w:color w:val="auto"/>
                <w:sz w:val="32"/>
                <w:szCs w:val="32"/>
                <w:highlight w:val="none"/>
                <w:vertAlign w:val="baseline"/>
                <w:lang w:eastAsia="zh-CN"/>
              </w:rPr>
            </w:pPr>
            <w:r>
              <w:rPr>
                <w:rFonts w:hint="eastAsia"/>
                <w:color w:val="auto"/>
                <w:highlight w:val="none"/>
                <w:lang w:val="en-US" w:eastAsia="zh-CN"/>
              </w:rPr>
              <w:t>每季度检测1次</w:t>
            </w:r>
          </w:p>
        </w:tc>
        <w:tc>
          <w:tcPr>
            <w:tcW w:w="321" w:type="pct"/>
            <w:vAlign w:val="center"/>
          </w:tcPr>
          <w:p>
            <w:pPr>
              <w:jc w:val="center"/>
              <w:rPr>
                <w:rFonts w:hint="eastAsia"/>
                <w:color w:val="auto"/>
                <w:sz w:val="32"/>
                <w:szCs w:val="32"/>
                <w:highlight w:val="none"/>
                <w:vertAlign w:val="baseline"/>
                <w:lang w:eastAsia="zh-CN"/>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23</w:t>
            </w:r>
          </w:p>
        </w:tc>
        <w:tc>
          <w:tcPr>
            <w:tcW w:w="776" w:type="pct"/>
            <w:vAlign w:val="center"/>
          </w:tcPr>
          <w:p>
            <w:pPr>
              <w:jc w:val="center"/>
              <w:rPr>
                <w:rFonts w:hint="eastAsia"/>
                <w:color w:val="auto"/>
                <w:highlight w:val="none"/>
                <w:lang w:eastAsia="zh-CN"/>
              </w:rPr>
            </w:pPr>
            <w:r>
              <w:rPr>
                <w:rFonts w:hint="eastAsia"/>
                <w:color w:val="auto"/>
                <w:highlight w:val="none"/>
                <w:lang w:eastAsia="zh-CN"/>
              </w:rPr>
              <w:t>废水</w:t>
            </w:r>
          </w:p>
        </w:tc>
        <w:tc>
          <w:tcPr>
            <w:tcW w:w="939" w:type="pct"/>
            <w:vAlign w:val="center"/>
          </w:tcPr>
          <w:p>
            <w:pPr>
              <w:jc w:val="center"/>
              <w:rPr>
                <w:rFonts w:hint="eastAsia"/>
                <w:color w:val="auto"/>
                <w:highlight w:val="none"/>
                <w:lang w:eastAsia="zh-CN"/>
              </w:rPr>
            </w:pPr>
            <w:r>
              <w:rPr>
                <w:rFonts w:hint="eastAsia"/>
                <w:color w:val="auto"/>
                <w:highlight w:val="none"/>
                <w:lang w:eastAsia="zh-CN"/>
              </w:rPr>
              <w:t>废水监测</w:t>
            </w:r>
          </w:p>
        </w:tc>
        <w:tc>
          <w:tcPr>
            <w:tcW w:w="899" w:type="pct"/>
            <w:vAlign w:val="center"/>
          </w:tcPr>
          <w:p>
            <w:pPr>
              <w:jc w:val="center"/>
              <w:rPr>
                <w:rFonts w:hint="eastAsia"/>
                <w:color w:val="auto"/>
                <w:highlight w:val="none"/>
                <w:lang w:eastAsia="zh-CN"/>
              </w:rPr>
            </w:pPr>
            <w:r>
              <w:rPr>
                <w:rFonts w:hint="eastAsia"/>
                <w:color w:val="auto"/>
                <w:highlight w:val="none"/>
              </w:rPr>
              <w:t>化学需氧量</w:t>
            </w:r>
            <w:r>
              <w:rPr>
                <w:rFonts w:hint="eastAsia"/>
                <w:color w:val="auto"/>
                <w:highlight w:val="none"/>
                <w:lang w:val="en-US" w:eastAsia="zh-CN"/>
              </w:rPr>
              <w:t>(COD)</w:t>
            </w:r>
          </w:p>
        </w:tc>
        <w:tc>
          <w:tcPr>
            <w:tcW w:w="1071" w:type="pct"/>
            <w:vAlign w:val="center"/>
          </w:tcPr>
          <w:p>
            <w:pPr>
              <w:jc w:val="center"/>
              <w:rPr>
                <w:rFonts w:hint="eastAsia"/>
                <w:color w:val="auto"/>
                <w:highlight w:val="none"/>
                <w:lang w:val="en-US" w:eastAsia="zh-CN"/>
              </w:rPr>
            </w:pPr>
            <w:r>
              <w:rPr>
                <w:rFonts w:hint="eastAsia"/>
                <w:color w:val="auto"/>
                <w:highlight w:val="none"/>
                <w:lang w:val="en-US" w:eastAsia="zh-CN"/>
              </w:rPr>
              <w:t>每周检测1次</w:t>
            </w:r>
          </w:p>
        </w:tc>
        <w:tc>
          <w:tcPr>
            <w:tcW w:w="321" w:type="pct"/>
            <w:vAlign w:val="center"/>
          </w:tcPr>
          <w:p>
            <w:pPr>
              <w:jc w:val="center"/>
              <w:rPr>
                <w:rFonts w:hint="eastAsia"/>
                <w:color w:val="auto"/>
                <w:sz w:val="32"/>
                <w:szCs w:val="32"/>
                <w:highlight w:val="none"/>
                <w:vertAlign w:val="baseline"/>
                <w:lang w:eastAsia="zh-CN"/>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24</w:t>
            </w:r>
          </w:p>
        </w:tc>
        <w:tc>
          <w:tcPr>
            <w:tcW w:w="776" w:type="pct"/>
            <w:vAlign w:val="center"/>
          </w:tcPr>
          <w:p>
            <w:pPr>
              <w:jc w:val="center"/>
              <w:rPr>
                <w:rFonts w:hint="eastAsia"/>
                <w:color w:val="auto"/>
                <w:highlight w:val="none"/>
                <w:lang w:eastAsia="zh-CN"/>
              </w:rPr>
            </w:pPr>
            <w:r>
              <w:rPr>
                <w:rFonts w:hint="eastAsia"/>
                <w:color w:val="auto"/>
                <w:highlight w:val="none"/>
                <w:lang w:eastAsia="zh-CN"/>
              </w:rPr>
              <w:t>废水</w:t>
            </w:r>
          </w:p>
        </w:tc>
        <w:tc>
          <w:tcPr>
            <w:tcW w:w="939" w:type="pct"/>
            <w:vAlign w:val="center"/>
          </w:tcPr>
          <w:p>
            <w:pPr>
              <w:jc w:val="center"/>
              <w:rPr>
                <w:rFonts w:hint="eastAsia"/>
                <w:color w:val="auto"/>
                <w:highlight w:val="none"/>
                <w:lang w:eastAsia="zh-CN"/>
              </w:rPr>
            </w:pPr>
            <w:r>
              <w:rPr>
                <w:rFonts w:hint="eastAsia"/>
                <w:color w:val="auto"/>
                <w:highlight w:val="none"/>
                <w:lang w:eastAsia="zh-CN"/>
              </w:rPr>
              <w:t>废水监测</w:t>
            </w:r>
          </w:p>
        </w:tc>
        <w:tc>
          <w:tcPr>
            <w:tcW w:w="899" w:type="pct"/>
            <w:vAlign w:val="center"/>
          </w:tcPr>
          <w:p>
            <w:pPr>
              <w:jc w:val="center"/>
              <w:rPr>
                <w:rFonts w:hint="eastAsia"/>
                <w:color w:val="auto"/>
                <w:highlight w:val="none"/>
                <w:lang w:eastAsia="zh-CN"/>
              </w:rPr>
            </w:pPr>
            <w:r>
              <w:rPr>
                <w:rFonts w:hint="eastAsia"/>
                <w:color w:val="auto"/>
                <w:highlight w:val="none"/>
              </w:rPr>
              <w:t>悬浮物</w:t>
            </w:r>
          </w:p>
        </w:tc>
        <w:tc>
          <w:tcPr>
            <w:tcW w:w="1071" w:type="pct"/>
            <w:vAlign w:val="center"/>
          </w:tcPr>
          <w:p>
            <w:pPr>
              <w:jc w:val="center"/>
              <w:rPr>
                <w:rFonts w:hint="eastAsia"/>
                <w:color w:val="auto"/>
                <w:highlight w:val="none"/>
                <w:lang w:val="en-US" w:eastAsia="zh-CN"/>
              </w:rPr>
            </w:pPr>
            <w:r>
              <w:rPr>
                <w:rFonts w:hint="eastAsia"/>
                <w:color w:val="auto"/>
                <w:highlight w:val="none"/>
                <w:lang w:val="en-US" w:eastAsia="zh-CN"/>
              </w:rPr>
              <w:t>每周检测1次</w:t>
            </w:r>
          </w:p>
        </w:tc>
        <w:tc>
          <w:tcPr>
            <w:tcW w:w="321" w:type="pct"/>
            <w:vAlign w:val="center"/>
          </w:tcPr>
          <w:p>
            <w:pPr>
              <w:jc w:val="center"/>
              <w:rPr>
                <w:rFonts w:hint="eastAsia"/>
                <w:color w:val="auto"/>
                <w:sz w:val="32"/>
                <w:szCs w:val="32"/>
                <w:highlight w:val="none"/>
                <w:vertAlign w:val="baseline"/>
                <w:lang w:eastAsia="zh-CN"/>
              </w:rPr>
            </w:pPr>
            <w:r>
              <w:rPr>
                <w:rFonts w:hint="eastAsia"/>
                <w:color w:val="auto"/>
                <w:highlight w:val="none"/>
                <w:lang w:val="en-US" w:eastAsia="zh-CN"/>
              </w:rPr>
              <w:t>1</w:t>
            </w:r>
          </w:p>
        </w:tc>
        <w:tc>
          <w:tcPr>
            <w:tcW w:w="553" w:type="pct"/>
            <w:vAlign w:val="center"/>
          </w:tcPr>
          <w:p>
            <w:pPr>
              <w:jc w:val="center"/>
              <w:rPr>
                <w:rFonts w:hint="eastAsia"/>
                <w:color w:val="auto"/>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25</w:t>
            </w:r>
          </w:p>
        </w:tc>
        <w:tc>
          <w:tcPr>
            <w:tcW w:w="776" w:type="pct"/>
            <w:vAlign w:val="center"/>
          </w:tcPr>
          <w:p>
            <w:pPr>
              <w:keepNext w:val="0"/>
              <w:keepLines w:val="0"/>
              <w:widowControl/>
              <w:suppressLineNumbers w:val="0"/>
              <w:jc w:val="center"/>
              <w:textAlignment w:val="center"/>
              <w:rPr>
                <w:rFonts w:hint="eastAsia"/>
                <w:color w:val="auto"/>
                <w:highlight w:val="none"/>
                <w:lang w:eastAsia="zh-CN"/>
              </w:rPr>
            </w:pPr>
            <w:r>
              <w:rPr>
                <w:rFonts w:hint="eastAsia" w:ascii="宋体" w:hAnsi="宋体" w:eastAsia="宋体" w:cs="宋体"/>
                <w:i w:val="0"/>
                <w:iCs w:val="0"/>
                <w:color w:val="000000"/>
                <w:kern w:val="0"/>
                <w:sz w:val="22"/>
                <w:szCs w:val="22"/>
                <w:u w:val="none"/>
                <w:lang w:val="en-US" w:eastAsia="zh-CN" w:bidi="ar"/>
              </w:rPr>
              <w:t>废气</w:t>
            </w:r>
          </w:p>
        </w:tc>
        <w:tc>
          <w:tcPr>
            <w:tcW w:w="939" w:type="pct"/>
            <w:vAlign w:val="center"/>
          </w:tcPr>
          <w:p>
            <w:pPr>
              <w:keepNext w:val="0"/>
              <w:keepLines w:val="0"/>
              <w:widowControl/>
              <w:suppressLineNumbers w:val="0"/>
              <w:jc w:val="center"/>
              <w:textAlignment w:val="center"/>
              <w:rPr>
                <w:rFonts w:hint="eastAsia"/>
                <w:color w:val="auto"/>
                <w:highlight w:val="none"/>
                <w:lang w:eastAsia="zh-CN"/>
              </w:rPr>
            </w:pPr>
            <w:r>
              <w:rPr>
                <w:rFonts w:hint="eastAsia" w:ascii="宋体" w:hAnsi="宋体" w:eastAsia="宋体" w:cs="宋体"/>
                <w:i w:val="0"/>
                <w:iCs w:val="0"/>
                <w:color w:val="000000"/>
                <w:kern w:val="0"/>
                <w:sz w:val="22"/>
                <w:szCs w:val="22"/>
                <w:u w:val="none"/>
                <w:lang w:val="en-US" w:eastAsia="zh-CN" w:bidi="ar"/>
              </w:rPr>
              <w:t>有组织废气</w:t>
            </w:r>
          </w:p>
        </w:tc>
        <w:tc>
          <w:tcPr>
            <w:tcW w:w="899" w:type="pct"/>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auto"/>
                <w:kern w:val="0"/>
                <w:sz w:val="22"/>
                <w:szCs w:val="22"/>
                <w:u w:val="none"/>
                <w:lang w:val="en-US" w:eastAsia="zh-CN" w:bidi="ar"/>
              </w:rPr>
              <w:t>氮氧化物</w:t>
            </w:r>
          </w:p>
        </w:tc>
        <w:tc>
          <w:tcPr>
            <w:tcW w:w="1071" w:type="pct"/>
            <w:vAlign w:val="center"/>
          </w:tcPr>
          <w:p>
            <w:pPr>
              <w:keepNext w:val="0"/>
              <w:keepLines w:val="0"/>
              <w:widowControl/>
              <w:suppressLineNumbers w:val="0"/>
              <w:jc w:val="center"/>
              <w:textAlignment w:val="center"/>
              <w:rPr>
                <w:rFonts w:hint="eastAsia"/>
                <w:color w:val="auto"/>
                <w:highlight w:val="none"/>
                <w:lang w:val="en-US" w:eastAsia="zh-CN"/>
              </w:rPr>
            </w:pPr>
            <w:r>
              <w:rPr>
                <w:rStyle w:val="7"/>
                <w:lang w:val="en-US" w:eastAsia="zh-CN" w:bidi="ar"/>
              </w:rPr>
              <w:t>每月检测</w:t>
            </w:r>
            <w:r>
              <w:rPr>
                <w:rStyle w:val="8"/>
                <w:rFonts w:eastAsia="宋体"/>
                <w:lang w:val="en-US" w:eastAsia="zh-CN" w:bidi="ar"/>
              </w:rPr>
              <w:t>1</w:t>
            </w:r>
            <w:r>
              <w:rPr>
                <w:rStyle w:val="7"/>
                <w:lang w:val="en-US" w:eastAsia="zh-CN" w:bidi="ar"/>
              </w:rPr>
              <w:t>次</w:t>
            </w:r>
          </w:p>
        </w:tc>
        <w:tc>
          <w:tcPr>
            <w:tcW w:w="321" w:type="pct"/>
            <w:vAlign w:val="center"/>
          </w:tcPr>
          <w:p>
            <w:pPr>
              <w:keepNext w:val="0"/>
              <w:keepLines w:val="0"/>
              <w:widowControl/>
              <w:suppressLineNumbers w:val="0"/>
              <w:jc w:val="center"/>
              <w:textAlignment w:val="center"/>
              <w:rPr>
                <w:rFonts w:hint="eastAsia"/>
                <w:color w:val="auto"/>
                <w:highlight w:val="none"/>
                <w:lang w:val="en-US" w:eastAsia="zh-CN"/>
              </w:rPr>
            </w:pPr>
            <w:r>
              <w:rPr>
                <w:rFonts w:hint="default" w:ascii="Calibri" w:hAnsi="Calibri" w:eastAsia="宋体" w:cs="Calibri"/>
                <w:i w:val="0"/>
                <w:iCs w:val="0"/>
                <w:color w:val="000000"/>
                <w:kern w:val="0"/>
                <w:sz w:val="22"/>
                <w:szCs w:val="22"/>
                <w:u w:val="none"/>
                <w:lang w:val="en-US" w:eastAsia="zh-CN" w:bidi="ar"/>
              </w:rPr>
              <w:t>12</w:t>
            </w:r>
          </w:p>
        </w:tc>
        <w:tc>
          <w:tcPr>
            <w:tcW w:w="553" w:type="pct"/>
            <w:vAlign w:val="center"/>
          </w:tcPr>
          <w:p>
            <w:pPr>
              <w:keepNext w:val="0"/>
              <w:keepLines w:val="0"/>
              <w:widowControl/>
              <w:suppressLineNumbers w:val="0"/>
              <w:jc w:val="center"/>
              <w:textAlignment w:val="center"/>
              <w:rPr>
                <w:rFonts w:hint="eastAsia"/>
                <w:color w:val="auto"/>
                <w:sz w:val="32"/>
                <w:szCs w:val="32"/>
                <w:highlight w:val="none"/>
                <w:vertAlign w:val="baseline"/>
                <w:lang w:eastAsia="zh-CN"/>
              </w:rPr>
            </w:pPr>
            <w:r>
              <w:rPr>
                <w:rFonts w:hint="eastAsia" w:ascii="宋体" w:hAnsi="宋体" w:eastAsia="宋体" w:cs="宋体"/>
                <w:i w:val="0"/>
                <w:iCs w:val="0"/>
                <w:color w:val="000000"/>
                <w:kern w:val="0"/>
                <w:sz w:val="22"/>
                <w:szCs w:val="22"/>
                <w:u w:val="none"/>
                <w:lang w:val="en-US" w:eastAsia="zh-CN" w:bidi="ar"/>
              </w:rPr>
              <w:t>12个排气筒排口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26</w:t>
            </w:r>
          </w:p>
        </w:tc>
        <w:tc>
          <w:tcPr>
            <w:tcW w:w="776" w:type="pct"/>
            <w:vAlign w:val="center"/>
          </w:tcPr>
          <w:p>
            <w:pPr>
              <w:keepNext w:val="0"/>
              <w:keepLines w:val="0"/>
              <w:widowControl/>
              <w:suppressLineNumbers w:val="0"/>
              <w:jc w:val="center"/>
              <w:textAlignment w:val="center"/>
              <w:rPr>
                <w:rFonts w:hint="eastAsia"/>
                <w:color w:val="auto"/>
                <w:highlight w:val="none"/>
                <w:lang w:eastAsia="zh-CN"/>
              </w:rPr>
            </w:pPr>
            <w:r>
              <w:rPr>
                <w:rFonts w:hint="eastAsia" w:ascii="宋体" w:hAnsi="宋体" w:eastAsia="宋体" w:cs="宋体"/>
                <w:i w:val="0"/>
                <w:iCs w:val="0"/>
                <w:color w:val="000000"/>
                <w:kern w:val="0"/>
                <w:sz w:val="22"/>
                <w:szCs w:val="22"/>
                <w:u w:val="none"/>
                <w:lang w:val="en-US" w:eastAsia="zh-CN" w:bidi="ar"/>
              </w:rPr>
              <w:t>废气</w:t>
            </w:r>
          </w:p>
        </w:tc>
        <w:tc>
          <w:tcPr>
            <w:tcW w:w="939" w:type="pct"/>
            <w:vAlign w:val="center"/>
          </w:tcPr>
          <w:p>
            <w:pPr>
              <w:keepNext w:val="0"/>
              <w:keepLines w:val="0"/>
              <w:widowControl/>
              <w:suppressLineNumbers w:val="0"/>
              <w:jc w:val="center"/>
              <w:textAlignment w:val="center"/>
              <w:rPr>
                <w:rFonts w:hint="eastAsia"/>
                <w:color w:val="auto"/>
                <w:highlight w:val="none"/>
                <w:lang w:eastAsia="zh-CN"/>
              </w:rPr>
            </w:pPr>
            <w:r>
              <w:rPr>
                <w:rFonts w:hint="eastAsia" w:ascii="宋体" w:hAnsi="宋体" w:eastAsia="宋体" w:cs="宋体"/>
                <w:i w:val="0"/>
                <w:iCs w:val="0"/>
                <w:color w:val="000000"/>
                <w:kern w:val="0"/>
                <w:sz w:val="22"/>
                <w:szCs w:val="22"/>
                <w:u w:val="none"/>
                <w:lang w:val="en-US" w:eastAsia="zh-CN" w:bidi="ar"/>
              </w:rPr>
              <w:t>有组织废气</w:t>
            </w:r>
          </w:p>
        </w:tc>
        <w:tc>
          <w:tcPr>
            <w:tcW w:w="899" w:type="pct"/>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auto"/>
                <w:kern w:val="0"/>
                <w:sz w:val="22"/>
                <w:szCs w:val="22"/>
                <w:u w:val="none"/>
                <w:lang w:val="en-US" w:eastAsia="zh-CN" w:bidi="ar"/>
              </w:rPr>
              <w:t>二氧化硫</w:t>
            </w:r>
          </w:p>
        </w:tc>
        <w:tc>
          <w:tcPr>
            <w:tcW w:w="1071" w:type="pct"/>
            <w:vAlign w:val="center"/>
          </w:tcPr>
          <w:p>
            <w:pPr>
              <w:keepNext w:val="0"/>
              <w:keepLines w:val="0"/>
              <w:widowControl/>
              <w:suppressLineNumbers w:val="0"/>
              <w:jc w:val="center"/>
              <w:textAlignment w:val="center"/>
              <w:rPr>
                <w:rFonts w:hint="eastAsia"/>
                <w:color w:val="auto"/>
                <w:highlight w:val="none"/>
                <w:lang w:val="en-US" w:eastAsia="zh-CN"/>
              </w:rPr>
            </w:pPr>
            <w:r>
              <w:rPr>
                <w:rStyle w:val="7"/>
                <w:lang w:val="en-US" w:eastAsia="zh-CN" w:bidi="ar"/>
              </w:rPr>
              <w:t>每年检测</w:t>
            </w:r>
            <w:r>
              <w:rPr>
                <w:rStyle w:val="8"/>
                <w:rFonts w:eastAsia="宋体"/>
                <w:lang w:val="en-US" w:eastAsia="zh-CN" w:bidi="ar"/>
              </w:rPr>
              <w:t>1</w:t>
            </w:r>
            <w:r>
              <w:rPr>
                <w:rStyle w:val="7"/>
                <w:lang w:val="en-US" w:eastAsia="zh-CN" w:bidi="ar"/>
              </w:rPr>
              <w:t>次</w:t>
            </w:r>
          </w:p>
        </w:tc>
        <w:tc>
          <w:tcPr>
            <w:tcW w:w="321" w:type="pct"/>
            <w:vAlign w:val="center"/>
          </w:tcPr>
          <w:p>
            <w:pPr>
              <w:keepNext w:val="0"/>
              <w:keepLines w:val="0"/>
              <w:widowControl/>
              <w:suppressLineNumbers w:val="0"/>
              <w:jc w:val="center"/>
              <w:textAlignment w:val="center"/>
              <w:rPr>
                <w:rFonts w:hint="eastAsia"/>
                <w:color w:val="auto"/>
                <w:highlight w:val="none"/>
                <w:lang w:val="en-US" w:eastAsia="zh-CN"/>
              </w:rPr>
            </w:pPr>
            <w:r>
              <w:rPr>
                <w:rFonts w:hint="default" w:ascii="Calibri" w:hAnsi="Calibri" w:eastAsia="宋体" w:cs="Calibri"/>
                <w:i w:val="0"/>
                <w:iCs w:val="0"/>
                <w:color w:val="000000"/>
                <w:kern w:val="0"/>
                <w:sz w:val="22"/>
                <w:szCs w:val="22"/>
                <w:u w:val="none"/>
                <w:lang w:val="en-US" w:eastAsia="zh-CN" w:bidi="ar"/>
              </w:rPr>
              <w:t>12</w:t>
            </w:r>
          </w:p>
        </w:tc>
        <w:tc>
          <w:tcPr>
            <w:tcW w:w="553" w:type="pct"/>
            <w:vAlign w:val="center"/>
          </w:tcPr>
          <w:p>
            <w:pPr>
              <w:jc w:val="center"/>
              <w:rPr>
                <w:rFonts w:hint="eastAsia"/>
                <w:color w:val="auto"/>
                <w:sz w:val="32"/>
                <w:szCs w:val="32"/>
                <w:highlight w:val="none"/>
                <w:vertAlign w:val="baseline"/>
                <w:lang w:eastAsia="zh-CN"/>
              </w:rPr>
            </w:pPr>
            <w:r>
              <w:rPr>
                <w:rFonts w:hint="eastAsia" w:ascii="宋体" w:hAnsi="宋体" w:eastAsia="宋体" w:cs="宋体"/>
                <w:i w:val="0"/>
                <w:iCs w:val="0"/>
                <w:color w:val="000000"/>
                <w:kern w:val="0"/>
                <w:sz w:val="22"/>
                <w:szCs w:val="22"/>
                <w:u w:val="none"/>
                <w:lang w:val="en-US" w:eastAsia="zh-CN" w:bidi="ar"/>
              </w:rPr>
              <w:t>12个排气筒排口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27</w:t>
            </w:r>
          </w:p>
        </w:tc>
        <w:tc>
          <w:tcPr>
            <w:tcW w:w="776" w:type="pct"/>
            <w:vAlign w:val="center"/>
          </w:tcPr>
          <w:p>
            <w:pPr>
              <w:keepNext w:val="0"/>
              <w:keepLines w:val="0"/>
              <w:widowControl/>
              <w:suppressLineNumbers w:val="0"/>
              <w:jc w:val="center"/>
              <w:textAlignment w:val="center"/>
              <w:rPr>
                <w:rFonts w:hint="eastAsia"/>
                <w:color w:val="auto"/>
                <w:highlight w:val="none"/>
                <w:lang w:eastAsia="zh-CN"/>
              </w:rPr>
            </w:pPr>
            <w:r>
              <w:rPr>
                <w:rFonts w:hint="eastAsia" w:ascii="宋体" w:hAnsi="宋体" w:eastAsia="宋体" w:cs="宋体"/>
                <w:i w:val="0"/>
                <w:iCs w:val="0"/>
                <w:color w:val="000000"/>
                <w:kern w:val="0"/>
                <w:sz w:val="22"/>
                <w:szCs w:val="22"/>
                <w:u w:val="none"/>
                <w:lang w:val="en-US" w:eastAsia="zh-CN" w:bidi="ar"/>
              </w:rPr>
              <w:t>废气</w:t>
            </w:r>
          </w:p>
        </w:tc>
        <w:tc>
          <w:tcPr>
            <w:tcW w:w="939" w:type="pct"/>
            <w:vAlign w:val="center"/>
          </w:tcPr>
          <w:p>
            <w:pPr>
              <w:keepNext w:val="0"/>
              <w:keepLines w:val="0"/>
              <w:widowControl/>
              <w:suppressLineNumbers w:val="0"/>
              <w:jc w:val="center"/>
              <w:textAlignment w:val="center"/>
              <w:rPr>
                <w:rFonts w:hint="eastAsia"/>
                <w:color w:val="auto"/>
                <w:highlight w:val="none"/>
                <w:lang w:eastAsia="zh-CN"/>
              </w:rPr>
            </w:pPr>
            <w:r>
              <w:rPr>
                <w:rFonts w:hint="eastAsia" w:ascii="宋体" w:hAnsi="宋体" w:eastAsia="宋体" w:cs="宋体"/>
                <w:i w:val="0"/>
                <w:iCs w:val="0"/>
                <w:color w:val="000000"/>
                <w:kern w:val="0"/>
                <w:sz w:val="22"/>
                <w:szCs w:val="22"/>
                <w:u w:val="none"/>
                <w:lang w:val="en-US" w:eastAsia="zh-CN" w:bidi="ar"/>
              </w:rPr>
              <w:t>有组织废气</w:t>
            </w:r>
          </w:p>
        </w:tc>
        <w:tc>
          <w:tcPr>
            <w:tcW w:w="899" w:type="pct"/>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auto"/>
                <w:kern w:val="0"/>
                <w:sz w:val="22"/>
                <w:szCs w:val="22"/>
                <w:u w:val="none"/>
                <w:lang w:val="en-US" w:eastAsia="zh-CN" w:bidi="ar"/>
              </w:rPr>
              <w:t>颗粒物</w:t>
            </w:r>
          </w:p>
        </w:tc>
        <w:tc>
          <w:tcPr>
            <w:tcW w:w="1071" w:type="pct"/>
            <w:vAlign w:val="center"/>
          </w:tcPr>
          <w:p>
            <w:pPr>
              <w:keepNext w:val="0"/>
              <w:keepLines w:val="0"/>
              <w:widowControl/>
              <w:suppressLineNumbers w:val="0"/>
              <w:jc w:val="center"/>
              <w:textAlignment w:val="center"/>
              <w:rPr>
                <w:rFonts w:hint="eastAsia"/>
                <w:color w:val="auto"/>
                <w:highlight w:val="none"/>
                <w:lang w:val="en-US" w:eastAsia="zh-CN"/>
              </w:rPr>
            </w:pPr>
            <w:r>
              <w:rPr>
                <w:rStyle w:val="7"/>
                <w:lang w:val="en-US" w:eastAsia="zh-CN" w:bidi="ar"/>
              </w:rPr>
              <w:t>每年检测</w:t>
            </w:r>
            <w:r>
              <w:rPr>
                <w:rStyle w:val="8"/>
                <w:rFonts w:eastAsia="宋体"/>
                <w:lang w:val="en-US" w:eastAsia="zh-CN" w:bidi="ar"/>
              </w:rPr>
              <w:t>1</w:t>
            </w:r>
            <w:r>
              <w:rPr>
                <w:rStyle w:val="7"/>
                <w:lang w:val="en-US" w:eastAsia="zh-CN" w:bidi="ar"/>
              </w:rPr>
              <w:t>次</w:t>
            </w:r>
          </w:p>
        </w:tc>
        <w:tc>
          <w:tcPr>
            <w:tcW w:w="321" w:type="pct"/>
            <w:vAlign w:val="center"/>
          </w:tcPr>
          <w:p>
            <w:pPr>
              <w:keepNext w:val="0"/>
              <w:keepLines w:val="0"/>
              <w:widowControl/>
              <w:suppressLineNumbers w:val="0"/>
              <w:jc w:val="center"/>
              <w:textAlignment w:val="center"/>
              <w:rPr>
                <w:rFonts w:hint="eastAsia"/>
                <w:color w:val="auto"/>
                <w:highlight w:val="none"/>
                <w:lang w:val="en-US" w:eastAsia="zh-CN"/>
              </w:rPr>
            </w:pPr>
            <w:r>
              <w:rPr>
                <w:rFonts w:hint="default" w:ascii="Calibri" w:hAnsi="Calibri" w:eastAsia="宋体" w:cs="Calibri"/>
                <w:i w:val="0"/>
                <w:iCs w:val="0"/>
                <w:color w:val="000000"/>
                <w:kern w:val="0"/>
                <w:sz w:val="22"/>
                <w:szCs w:val="22"/>
                <w:u w:val="none"/>
                <w:lang w:val="en-US" w:eastAsia="zh-CN" w:bidi="ar"/>
              </w:rPr>
              <w:t>12</w:t>
            </w:r>
          </w:p>
        </w:tc>
        <w:tc>
          <w:tcPr>
            <w:tcW w:w="553" w:type="pct"/>
            <w:vAlign w:val="center"/>
          </w:tcPr>
          <w:p>
            <w:pPr>
              <w:jc w:val="center"/>
              <w:rPr>
                <w:rFonts w:hint="eastAsia"/>
                <w:color w:val="auto"/>
                <w:sz w:val="32"/>
                <w:szCs w:val="32"/>
                <w:highlight w:val="none"/>
                <w:vertAlign w:val="baseline"/>
                <w:lang w:eastAsia="zh-CN"/>
              </w:rPr>
            </w:pPr>
            <w:r>
              <w:rPr>
                <w:rFonts w:hint="eastAsia" w:ascii="宋体" w:hAnsi="宋体" w:eastAsia="宋体" w:cs="宋体"/>
                <w:i w:val="0"/>
                <w:iCs w:val="0"/>
                <w:color w:val="000000"/>
                <w:kern w:val="0"/>
                <w:sz w:val="22"/>
                <w:szCs w:val="22"/>
                <w:u w:val="none"/>
                <w:lang w:val="en-US" w:eastAsia="zh-CN" w:bidi="ar"/>
              </w:rPr>
              <w:t>12个排气筒排口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28</w:t>
            </w:r>
          </w:p>
        </w:tc>
        <w:tc>
          <w:tcPr>
            <w:tcW w:w="776" w:type="pct"/>
            <w:vAlign w:val="center"/>
          </w:tcPr>
          <w:p>
            <w:pPr>
              <w:keepNext w:val="0"/>
              <w:keepLines w:val="0"/>
              <w:widowControl/>
              <w:suppressLineNumbers w:val="0"/>
              <w:jc w:val="center"/>
              <w:textAlignment w:val="center"/>
              <w:rPr>
                <w:rFonts w:hint="eastAsia"/>
                <w:color w:val="auto"/>
                <w:highlight w:val="none"/>
                <w:lang w:eastAsia="zh-CN"/>
              </w:rPr>
            </w:pPr>
            <w:r>
              <w:rPr>
                <w:rFonts w:hint="eastAsia" w:ascii="宋体" w:hAnsi="宋体" w:eastAsia="宋体" w:cs="宋体"/>
                <w:i w:val="0"/>
                <w:iCs w:val="0"/>
                <w:color w:val="000000"/>
                <w:kern w:val="0"/>
                <w:sz w:val="22"/>
                <w:szCs w:val="22"/>
                <w:u w:val="none"/>
                <w:lang w:val="en-US" w:eastAsia="zh-CN" w:bidi="ar"/>
              </w:rPr>
              <w:t>废气</w:t>
            </w:r>
          </w:p>
        </w:tc>
        <w:tc>
          <w:tcPr>
            <w:tcW w:w="939" w:type="pct"/>
            <w:vAlign w:val="center"/>
          </w:tcPr>
          <w:p>
            <w:pPr>
              <w:keepNext w:val="0"/>
              <w:keepLines w:val="0"/>
              <w:widowControl/>
              <w:suppressLineNumbers w:val="0"/>
              <w:jc w:val="center"/>
              <w:textAlignment w:val="center"/>
              <w:rPr>
                <w:rFonts w:hint="eastAsia"/>
                <w:color w:val="auto"/>
                <w:highlight w:val="none"/>
                <w:lang w:eastAsia="zh-CN"/>
              </w:rPr>
            </w:pPr>
            <w:r>
              <w:rPr>
                <w:rFonts w:hint="eastAsia" w:ascii="宋体" w:hAnsi="宋体" w:eastAsia="宋体" w:cs="宋体"/>
                <w:i w:val="0"/>
                <w:iCs w:val="0"/>
                <w:color w:val="000000"/>
                <w:kern w:val="0"/>
                <w:sz w:val="22"/>
                <w:szCs w:val="22"/>
                <w:u w:val="none"/>
                <w:lang w:val="en-US" w:eastAsia="zh-CN" w:bidi="ar"/>
              </w:rPr>
              <w:t>有组织废气</w:t>
            </w:r>
          </w:p>
        </w:tc>
        <w:tc>
          <w:tcPr>
            <w:tcW w:w="899" w:type="pct"/>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auto"/>
                <w:kern w:val="0"/>
                <w:sz w:val="22"/>
                <w:szCs w:val="22"/>
                <w:u w:val="none"/>
                <w:lang w:val="en-US" w:eastAsia="zh-CN" w:bidi="ar"/>
              </w:rPr>
              <w:t>林格曼黑度</w:t>
            </w:r>
          </w:p>
        </w:tc>
        <w:tc>
          <w:tcPr>
            <w:tcW w:w="1071" w:type="pct"/>
            <w:vAlign w:val="center"/>
          </w:tcPr>
          <w:p>
            <w:pPr>
              <w:keepNext w:val="0"/>
              <w:keepLines w:val="0"/>
              <w:widowControl/>
              <w:suppressLineNumbers w:val="0"/>
              <w:jc w:val="center"/>
              <w:textAlignment w:val="center"/>
              <w:rPr>
                <w:rFonts w:hint="eastAsia"/>
                <w:color w:val="auto"/>
                <w:highlight w:val="none"/>
                <w:lang w:val="en-US" w:eastAsia="zh-CN"/>
              </w:rPr>
            </w:pPr>
            <w:r>
              <w:rPr>
                <w:rStyle w:val="7"/>
                <w:lang w:val="en-US" w:eastAsia="zh-CN" w:bidi="ar"/>
              </w:rPr>
              <w:t>每年检测</w:t>
            </w:r>
            <w:r>
              <w:rPr>
                <w:rStyle w:val="8"/>
                <w:rFonts w:eastAsia="宋体"/>
                <w:lang w:val="en-US" w:eastAsia="zh-CN" w:bidi="ar"/>
              </w:rPr>
              <w:t>1</w:t>
            </w:r>
            <w:r>
              <w:rPr>
                <w:rStyle w:val="7"/>
                <w:lang w:val="en-US" w:eastAsia="zh-CN" w:bidi="ar"/>
              </w:rPr>
              <w:t>次</w:t>
            </w:r>
          </w:p>
        </w:tc>
        <w:tc>
          <w:tcPr>
            <w:tcW w:w="321" w:type="pct"/>
            <w:vAlign w:val="center"/>
          </w:tcPr>
          <w:p>
            <w:pPr>
              <w:keepNext w:val="0"/>
              <w:keepLines w:val="0"/>
              <w:widowControl/>
              <w:suppressLineNumbers w:val="0"/>
              <w:jc w:val="center"/>
              <w:textAlignment w:val="center"/>
              <w:rPr>
                <w:rFonts w:hint="eastAsia"/>
                <w:color w:val="auto"/>
                <w:highlight w:val="none"/>
                <w:lang w:val="en-US" w:eastAsia="zh-CN"/>
              </w:rPr>
            </w:pPr>
            <w:r>
              <w:rPr>
                <w:rFonts w:hint="default" w:ascii="Calibri" w:hAnsi="Calibri" w:eastAsia="宋体" w:cs="Calibri"/>
                <w:i w:val="0"/>
                <w:iCs w:val="0"/>
                <w:color w:val="000000"/>
                <w:kern w:val="0"/>
                <w:sz w:val="22"/>
                <w:szCs w:val="22"/>
                <w:u w:val="none"/>
                <w:lang w:val="en-US" w:eastAsia="zh-CN" w:bidi="ar"/>
              </w:rPr>
              <w:t>12</w:t>
            </w:r>
          </w:p>
        </w:tc>
        <w:tc>
          <w:tcPr>
            <w:tcW w:w="553" w:type="pct"/>
            <w:vAlign w:val="center"/>
          </w:tcPr>
          <w:p>
            <w:pPr>
              <w:jc w:val="center"/>
              <w:rPr>
                <w:rFonts w:hint="eastAsia"/>
                <w:color w:val="auto"/>
                <w:sz w:val="32"/>
                <w:szCs w:val="32"/>
                <w:highlight w:val="none"/>
                <w:vertAlign w:val="baseline"/>
                <w:lang w:eastAsia="zh-CN"/>
              </w:rPr>
            </w:pPr>
            <w:r>
              <w:rPr>
                <w:rFonts w:hint="eastAsia" w:ascii="宋体" w:hAnsi="宋体" w:eastAsia="宋体" w:cs="宋体"/>
                <w:i w:val="0"/>
                <w:iCs w:val="0"/>
                <w:color w:val="000000"/>
                <w:kern w:val="0"/>
                <w:sz w:val="22"/>
                <w:szCs w:val="22"/>
                <w:u w:val="none"/>
                <w:lang w:val="en-US" w:eastAsia="zh-CN" w:bidi="ar"/>
              </w:rPr>
              <w:t>12个排气筒排口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29</w:t>
            </w:r>
          </w:p>
        </w:tc>
        <w:tc>
          <w:tcPr>
            <w:tcW w:w="776" w:type="pct"/>
            <w:vAlign w:val="center"/>
          </w:tcPr>
          <w:p>
            <w:pPr>
              <w:keepNext w:val="0"/>
              <w:keepLines w:val="0"/>
              <w:widowControl/>
              <w:suppressLineNumbers w:val="0"/>
              <w:jc w:val="center"/>
              <w:textAlignment w:val="center"/>
              <w:rPr>
                <w:rFonts w:hint="eastAsia"/>
                <w:color w:val="auto"/>
                <w:highlight w:val="none"/>
                <w:lang w:eastAsia="zh-CN"/>
              </w:rPr>
            </w:pPr>
            <w:r>
              <w:rPr>
                <w:rFonts w:hint="eastAsia" w:ascii="宋体" w:hAnsi="宋体" w:eastAsia="宋体" w:cs="宋体"/>
                <w:i w:val="0"/>
                <w:iCs w:val="0"/>
                <w:color w:val="000000"/>
                <w:kern w:val="0"/>
                <w:sz w:val="22"/>
                <w:szCs w:val="22"/>
                <w:u w:val="none"/>
                <w:lang w:val="en-US" w:eastAsia="zh-CN" w:bidi="ar"/>
              </w:rPr>
              <w:t>废气</w:t>
            </w:r>
          </w:p>
        </w:tc>
        <w:tc>
          <w:tcPr>
            <w:tcW w:w="939" w:type="pct"/>
            <w:vAlign w:val="center"/>
          </w:tcPr>
          <w:p>
            <w:pPr>
              <w:keepNext w:val="0"/>
              <w:keepLines w:val="0"/>
              <w:widowControl/>
              <w:suppressLineNumbers w:val="0"/>
              <w:jc w:val="center"/>
              <w:textAlignment w:val="center"/>
              <w:rPr>
                <w:rFonts w:hint="eastAsia"/>
                <w:color w:val="auto"/>
                <w:highlight w:val="none"/>
                <w:lang w:eastAsia="zh-CN"/>
              </w:rPr>
            </w:pPr>
            <w:r>
              <w:rPr>
                <w:rFonts w:hint="eastAsia" w:ascii="宋体" w:hAnsi="宋体" w:eastAsia="宋体" w:cs="宋体"/>
                <w:i w:val="0"/>
                <w:iCs w:val="0"/>
                <w:color w:val="000000"/>
                <w:kern w:val="0"/>
                <w:sz w:val="22"/>
                <w:szCs w:val="22"/>
                <w:u w:val="none"/>
                <w:lang w:val="en-US" w:eastAsia="zh-CN" w:bidi="ar"/>
              </w:rPr>
              <w:t>无组织废气</w:t>
            </w:r>
          </w:p>
        </w:tc>
        <w:tc>
          <w:tcPr>
            <w:tcW w:w="899" w:type="pct"/>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2"/>
                <w:szCs w:val="22"/>
                <w:u w:val="none"/>
                <w:lang w:val="en-US" w:eastAsia="zh-CN" w:bidi="ar"/>
              </w:rPr>
              <w:t>氨</w:t>
            </w:r>
          </w:p>
        </w:tc>
        <w:tc>
          <w:tcPr>
            <w:tcW w:w="1071" w:type="pct"/>
            <w:vAlign w:val="center"/>
          </w:tcPr>
          <w:p>
            <w:pPr>
              <w:keepNext w:val="0"/>
              <w:keepLines w:val="0"/>
              <w:widowControl/>
              <w:suppressLineNumbers w:val="0"/>
              <w:jc w:val="center"/>
              <w:textAlignment w:val="center"/>
              <w:rPr>
                <w:rFonts w:hint="eastAsia"/>
                <w:color w:val="auto"/>
                <w:highlight w:val="none"/>
                <w:lang w:val="en-US" w:eastAsia="zh-CN"/>
              </w:rPr>
            </w:pPr>
            <w:r>
              <w:rPr>
                <w:rStyle w:val="7"/>
                <w:lang w:val="en-US" w:eastAsia="zh-CN" w:bidi="ar"/>
              </w:rPr>
              <w:t>每季度测</w:t>
            </w:r>
            <w:r>
              <w:rPr>
                <w:rStyle w:val="8"/>
                <w:rFonts w:eastAsia="宋体"/>
                <w:lang w:val="en-US" w:eastAsia="zh-CN" w:bidi="ar"/>
              </w:rPr>
              <w:t>1</w:t>
            </w:r>
            <w:r>
              <w:rPr>
                <w:rStyle w:val="7"/>
                <w:lang w:val="en-US" w:eastAsia="zh-CN" w:bidi="ar"/>
              </w:rPr>
              <w:t>次</w:t>
            </w:r>
          </w:p>
        </w:tc>
        <w:tc>
          <w:tcPr>
            <w:tcW w:w="321" w:type="pct"/>
            <w:vAlign w:val="center"/>
          </w:tcPr>
          <w:p>
            <w:pPr>
              <w:keepNext w:val="0"/>
              <w:keepLines w:val="0"/>
              <w:widowControl/>
              <w:suppressLineNumbers w:val="0"/>
              <w:jc w:val="center"/>
              <w:textAlignment w:val="center"/>
              <w:rPr>
                <w:rFonts w:hint="eastAsia"/>
                <w:color w:val="auto"/>
                <w:highlight w:val="none"/>
                <w:lang w:val="en-US" w:eastAsia="zh-CN"/>
              </w:rPr>
            </w:pPr>
            <w:r>
              <w:rPr>
                <w:rFonts w:hint="default" w:ascii="Calibri" w:hAnsi="Calibri" w:eastAsia="宋体" w:cs="Calibri"/>
                <w:i w:val="0"/>
                <w:iCs w:val="0"/>
                <w:color w:val="000000"/>
                <w:kern w:val="0"/>
                <w:sz w:val="22"/>
                <w:szCs w:val="22"/>
                <w:u w:val="none"/>
                <w:lang w:val="en-US" w:eastAsia="zh-CN" w:bidi="ar"/>
              </w:rPr>
              <w:t>4</w:t>
            </w:r>
          </w:p>
        </w:tc>
        <w:tc>
          <w:tcPr>
            <w:tcW w:w="553" w:type="pct"/>
            <w:vAlign w:val="center"/>
          </w:tcPr>
          <w:p>
            <w:pPr>
              <w:jc w:val="center"/>
              <w:rPr>
                <w:rFonts w:hint="eastAsia"/>
                <w:color w:val="auto"/>
                <w:sz w:val="32"/>
                <w:szCs w:val="32"/>
                <w:highlight w:val="none"/>
                <w:vertAlign w:val="baseline"/>
                <w:lang w:eastAsia="zh-CN"/>
              </w:rPr>
            </w:pPr>
            <w:r>
              <w:rPr>
                <w:rFonts w:hint="eastAsia" w:ascii="宋体" w:hAnsi="宋体" w:eastAsia="宋体" w:cs="宋体"/>
                <w:i w:val="0"/>
                <w:iCs w:val="0"/>
                <w:color w:val="000000"/>
                <w:kern w:val="0"/>
                <w:sz w:val="22"/>
                <w:szCs w:val="22"/>
                <w:u w:val="none"/>
                <w:lang w:val="en-US" w:eastAsia="zh-CN" w:bidi="ar"/>
              </w:rPr>
              <w:t>污水处理站周界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30</w:t>
            </w:r>
          </w:p>
        </w:tc>
        <w:tc>
          <w:tcPr>
            <w:tcW w:w="776" w:type="pct"/>
            <w:vAlign w:val="center"/>
          </w:tcPr>
          <w:p>
            <w:pPr>
              <w:keepNext w:val="0"/>
              <w:keepLines w:val="0"/>
              <w:widowControl/>
              <w:suppressLineNumbers w:val="0"/>
              <w:jc w:val="center"/>
              <w:textAlignment w:val="center"/>
              <w:rPr>
                <w:rFonts w:hint="eastAsia"/>
                <w:color w:val="auto"/>
                <w:highlight w:val="none"/>
                <w:lang w:eastAsia="zh-CN"/>
              </w:rPr>
            </w:pPr>
            <w:r>
              <w:rPr>
                <w:rFonts w:hint="eastAsia" w:ascii="宋体" w:hAnsi="宋体" w:eastAsia="宋体" w:cs="宋体"/>
                <w:i w:val="0"/>
                <w:iCs w:val="0"/>
                <w:color w:val="000000"/>
                <w:kern w:val="0"/>
                <w:sz w:val="22"/>
                <w:szCs w:val="22"/>
                <w:u w:val="none"/>
                <w:lang w:val="en-US" w:eastAsia="zh-CN" w:bidi="ar"/>
              </w:rPr>
              <w:t>废气</w:t>
            </w:r>
          </w:p>
        </w:tc>
        <w:tc>
          <w:tcPr>
            <w:tcW w:w="939" w:type="pct"/>
            <w:vAlign w:val="center"/>
          </w:tcPr>
          <w:p>
            <w:pPr>
              <w:keepNext w:val="0"/>
              <w:keepLines w:val="0"/>
              <w:widowControl/>
              <w:suppressLineNumbers w:val="0"/>
              <w:jc w:val="center"/>
              <w:textAlignment w:val="center"/>
              <w:rPr>
                <w:rFonts w:hint="eastAsia"/>
                <w:color w:val="auto"/>
                <w:highlight w:val="none"/>
                <w:lang w:eastAsia="zh-CN"/>
              </w:rPr>
            </w:pPr>
            <w:r>
              <w:rPr>
                <w:rFonts w:hint="eastAsia" w:ascii="宋体" w:hAnsi="宋体" w:eastAsia="宋体" w:cs="宋体"/>
                <w:i w:val="0"/>
                <w:iCs w:val="0"/>
                <w:color w:val="000000"/>
                <w:kern w:val="0"/>
                <w:sz w:val="22"/>
                <w:szCs w:val="22"/>
                <w:u w:val="none"/>
                <w:lang w:val="en-US" w:eastAsia="zh-CN" w:bidi="ar"/>
              </w:rPr>
              <w:t>无组织废气</w:t>
            </w:r>
          </w:p>
        </w:tc>
        <w:tc>
          <w:tcPr>
            <w:tcW w:w="899" w:type="pct"/>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2"/>
                <w:szCs w:val="22"/>
                <w:u w:val="none"/>
                <w:lang w:val="en-US" w:eastAsia="zh-CN" w:bidi="ar"/>
              </w:rPr>
              <w:t>硫化氢</w:t>
            </w:r>
          </w:p>
        </w:tc>
        <w:tc>
          <w:tcPr>
            <w:tcW w:w="1071" w:type="pct"/>
            <w:vAlign w:val="center"/>
          </w:tcPr>
          <w:p>
            <w:pPr>
              <w:keepNext w:val="0"/>
              <w:keepLines w:val="0"/>
              <w:widowControl/>
              <w:suppressLineNumbers w:val="0"/>
              <w:jc w:val="center"/>
              <w:textAlignment w:val="center"/>
              <w:rPr>
                <w:rFonts w:hint="eastAsia"/>
                <w:color w:val="auto"/>
                <w:highlight w:val="none"/>
                <w:lang w:val="en-US" w:eastAsia="zh-CN"/>
              </w:rPr>
            </w:pPr>
            <w:r>
              <w:rPr>
                <w:rStyle w:val="7"/>
                <w:lang w:val="en-US" w:eastAsia="zh-CN" w:bidi="ar"/>
              </w:rPr>
              <w:t>每季度测</w:t>
            </w:r>
            <w:r>
              <w:rPr>
                <w:rStyle w:val="8"/>
                <w:rFonts w:eastAsia="宋体"/>
                <w:lang w:val="en-US" w:eastAsia="zh-CN" w:bidi="ar"/>
              </w:rPr>
              <w:t>1</w:t>
            </w:r>
            <w:r>
              <w:rPr>
                <w:rStyle w:val="7"/>
                <w:lang w:val="en-US" w:eastAsia="zh-CN" w:bidi="ar"/>
              </w:rPr>
              <w:t>次</w:t>
            </w:r>
          </w:p>
        </w:tc>
        <w:tc>
          <w:tcPr>
            <w:tcW w:w="321" w:type="pct"/>
            <w:vAlign w:val="center"/>
          </w:tcPr>
          <w:p>
            <w:pPr>
              <w:keepNext w:val="0"/>
              <w:keepLines w:val="0"/>
              <w:widowControl/>
              <w:suppressLineNumbers w:val="0"/>
              <w:jc w:val="center"/>
              <w:textAlignment w:val="center"/>
              <w:rPr>
                <w:rFonts w:hint="eastAsia"/>
                <w:color w:val="auto"/>
                <w:highlight w:val="none"/>
                <w:lang w:val="en-US" w:eastAsia="zh-CN"/>
              </w:rPr>
            </w:pPr>
            <w:r>
              <w:rPr>
                <w:rFonts w:hint="default" w:ascii="Calibri" w:hAnsi="Calibri" w:eastAsia="宋体" w:cs="Calibri"/>
                <w:i w:val="0"/>
                <w:iCs w:val="0"/>
                <w:color w:val="000000"/>
                <w:kern w:val="0"/>
                <w:sz w:val="22"/>
                <w:szCs w:val="22"/>
                <w:u w:val="none"/>
                <w:lang w:val="en-US" w:eastAsia="zh-CN" w:bidi="ar"/>
              </w:rPr>
              <w:t>4</w:t>
            </w:r>
          </w:p>
        </w:tc>
        <w:tc>
          <w:tcPr>
            <w:tcW w:w="553" w:type="pct"/>
            <w:vAlign w:val="center"/>
          </w:tcPr>
          <w:p>
            <w:pPr>
              <w:jc w:val="center"/>
              <w:rPr>
                <w:rFonts w:hint="eastAsia"/>
                <w:color w:val="auto"/>
                <w:sz w:val="32"/>
                <w:szCs w:val="32"/>
                <w:highlight w:val="none"/>
                <w:vertAlign w:val="baseline"/>
                <w:lang w:eastAsia="zh-CN"/>
              </w:rPr>
            </w:pPr>
            <w:r>
              <w:rPr>
                <w:rFonts w:hint="eastAsia" w:ascii="宋体" w:hAnsi="宋体" w:eastAsia="宋体" w:cs="宋体"/>
                <w:i w:val="0"/>
                <w:iCs w:val="0"/>
                <w:color w:val="000000"/>
                <w:kern w:val="0"/>
                <w:sz w:val="22"/>
                <w:szCs w:val="22"/>
                <w:u w:val="none"/>
                <w:lang w:val="en-US" w:eastAsia="zh-CN" w:bidi="ar"/>
              </w:rPr>
              <w:t>污水处理站周界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31</w:t>
            </w:r>
          </w:p>
        </w:tc>
        <w:tc>
          <w:tcPr>
            <w:tcW w:w="776" w:type="pct"/>
            <w:vAlign w:val="center"/>
          </w:tcPr>
          <w:p>
            <w:pPr>
              <w:keepNext w:val="0"/>
              <w:keepLines w:val="0"/>
              <w:widowControl/>
              <w:suppressLineNumbers w:val="0"/>
              <w:jc w:val="center"/>
              <w:textAlignment w:val="center"/>
              <w:rPr>
                <w:rFonts w:hint="eastAsia"/>
                <w:color w:val="auto"/>
                <w:highlight w:val="none"/>
                <w:lang w:eastAsia="zh-CN"/>
              </w:rPr>
            </w:pPr>
            <w:r>
              <w:rPr>
                <w:rFonts w:hint="eastAsia" w:ascii="宋体" w:hAnsi="宋体" w:eastAsia="宋体" w:cs="宋体"/>
                <w:i w:val="0"/>
                <w:iCs w:val="0"/>
                <w:color w:val="000000"/>
                <w:kern w:val="0"/>
                <w:sz w:val="22"/>
                <w:szCs w:val="22"/>
                <w:u w:val="none"/>
                <w:lang w:val="en-US" w:eastAsia="zh-CN" w:bidi="ar"/>
              </w:rPr>
              <w:t>废气</w:t>
            </w:r>
          </w:p>
        </w:tc>
        <w:tc>
          <w:tcPr>
            <w:tcW w:w="939" w:type="pct"/>
            <w:vAlign w:val="center"/>
          </w:tcPr>
          <w:p>
            <w:pPr>
              <w:keepNext w:val="0"/>
              <w:keepLines w:val="0"/>
              <w:widowControl/>
              <w:suppressLineNumbers w:val="0"/>
              <w:jc w:val="center"/>
              <w:textAlignment w:val="center"/>
              <w:rPr>
                <w:rFonts w:hint="eastAsia"/>
                <w:color w:val="auto"/>
                <w:highlight w:val="none"/>
                <w:lang w:eastAsia="zh-CN"/>
              </w:rPr>
            </w:pPr>
            <w:r>
              <w:rPr>
                <w:rFonts w:hint="eastAsia" w:ascii="宋体" w:hAnsi="宋体" w:eastAsia="宋体" w:cs="宋体"/>
                <w:i w:val="0"/>
                <w:iCs w:val="0"/>
                <w:color w:val="000000"/>
                <w:kern w:val="0"/>
                <w:sz w:val="22"/>
                <w:szCs w:val="22"/>
                <w:u w:val="none"/>
                <w:lang w:val="en-US" w:eastAsia="zh-CN" w:bidi="ar"/>
              </w:rPr>
              <w:t>无组织废气</w:t>
            </w:r>
          </w:p>
        </w:tc>
        <w:tc>
          <w:tcPr>
            <w:tcW w:w="899" w:type="pct"/>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2"/>
                <w:szCs w:val="22"/>
                <w:u w:val="none"/>
                <w:lang w:val="en-US" w:eastAsia="zh-CN" w:bidi="ar"/>
              </w:rPr>
              <w:t>臭气浓度</w:t>
            </w:r>
          </w:p>
        </w:tc>
        <w:tc>
          <w:tcPr>
            <w:tcW w:w="1071" w:type="pct"/>
            <w:vAlign w:val="center"/>
          </w:tcPr>
          <w:p>
            <w:pPr>
              <w:keepNext w:val="0"/>
              <w:keepLines w:val="0"/>
              <w:widowControl/>
              <w:suppressLineNumbers w:val="0"/>
              <w:jc w:val="center"/>
              <w:textAlignment w:val="center"/>
              <w:rPr>
                <w:rFonts w:hint="eastAsia"/>
                <w:color w:val="auto"/>
                <w:highlight w:val="none"/>
                <w:lang w:val="en-US" w:eastAsia="zh-CN"/>
              </w:rPr>
            </w:pPr>
            <w:r>
              <w:rPr>
                <w:rStyle w:val="7"/>
                <w:lang w:val="en-US" w:eastAsia="zh-CN" w:bidi="ar"/>
              </w:rPr>
              <w:t>每季度测</w:t>
            </w:r>
            <w:r>
              <w:rPr>
                <w:rStyle w:val="8"/>
                <w:rFonts w:eastAsia="宋体"/>
                <w:lang w:val="en-US" w:eastAsia="zh-CN" w:bidi="ar"/>
              </w:rPr>
              <w:t>1</w:t>
            </w:r>
            <w:r>
              <w:rPr>
                <w:rStyle w:val="7"/>
                <w:lang w:val="en-US" w:eastAsia="zh-CN" w:bidi="ar"/>
              </w:rPr>
              <w:t>次</w:t>
            </w:r>
          </w:p>
        </w:tc>
        <w:tc>
          <w:tcPr>
            <w:tcW w:w="321" w:type="pct"/>
            <w:vAlign w:val="center"/>
          </w:tcPr>
          <w:p>
            <w:pPr>
              <w:keepNext w:val="0"/>
              <w:keepLines w:val="0"/>
              <w:widowControl/>
              <w:suppressLineNumbers w:val="0"/>
              <w:jc w:val="center"/>
              <w:textAlignment w:val="center"/>
              <w:rPr>
                <w:rFonts w:hint="eastAsia"/>
                <w:color w:val="auto"/>
                <w:highlight w:val="none"/>
                <w:lang w:val="en-US" w:eastAsia="zh-CN"/>
              </w:rPr>
            </w:pPr>
            <w:r>
              <w:rPr>
                <w:rFonts w:hint="default" w:ascii="Calibri" w:hAnsi="Calibri" w:eastAsia="宋体" w:cs="Calibri"/>
                <w:i w:val="0"/>
                <w:iCs w:val="0"/>
                <w:color w:val="000000"/>
                <w:kern w:val="0"/>
                <w:sz w:val="22"/>
                <w:szCs w:val="22"/>
                <w:u w:val="none"/>
                <w:lang w:val="en-US" w:eastAsia="zh-CN" w:bidi="ar"/>
              </w:rPr>
              <w:t>4</w:t>
            </w:r>
          </w:p>
        </w:tc>
        <w:tc>
          <w:tcPr>
            <w:tcW w:w="553" w:type="pct"/>
            <w:vAlign w:val="center"/>
          </w:tcPr>
          <w:p>
            <w:pPr>
              <w:jc w:val="center"/>
              <w:rPr>
                <w:rFonts w:hint="eastAsia"/>
                <w:color w:val="auto"/>
                <w:sz w:val="32"/>
                <w:szCs w:val="32"/>
                <w:highlight w:val="none"/>
                <w:vertAlign w:val="baseline"/>
                <w:lang w:eastAsia="zh-CN"/>
              </w:rPr>
            </w:pPr>
            <w:r>
              <w:rPr>
                <w:rFonts w:hint="eastAsia" w:ascii="宋体" w:hAnsi="宋体" w:eastAsia="宋体" w:cs="宋体"/>
                <w:i w:val="0"/>
                <w:iCs w:val="0"/>
                <w:color w:val="000000"/>
                <w:kern w:val="0"/>
                <w:sz w:val="22"/>
                <w:szCs w:val="22"/>
                <w:u w:val="none"/>
                <w:lang w:val="en-US" w:eastAsia="zh-CN" w:bidi="ar"/>
              </w:rPr>
              <w:t>污水处理站周界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32</w:t>
            </w:r>
          </w:p>
        </w:tc>
        <w:tc>
          <w:tcPr>
            <w:tcW w:w="776" w:type="pct"/>
            <w:vAlign w:val="center"/>
          </w:tcPr>
          <w:p>
            <w:pPr>
              <w:keepNext w:val="0"/>
              <w:keepLines w:val="0"/>
              <w:widowControl/>
              <w:suppressLineNumbers w:val="0"/>
              <w:jc w:val="center"/>
              <w:textAlignment w:val="center"/>
              <w:rPr>
                <w:rFonts w:hint="eastAsia"/>
                <w:color w:val="auto"/>
                <w:highlight w:val="none"/>
                <w:lang w:eastAsia="zh-CN"/>
              </w:rPr>
            </w:pPr>
            <w:r>
              <w:rPr>
                <w:rFonts w:hint="eastAsia" w:ascii="宋体" w:hAnsi="宋体" w:eastAsia="宋体" w:cs="宋体"/>
                <w:i w:val="0"/>
                <w:iCs w:val="0"/>
                <w:color w:val="000000"/>
                <w:kern w:val="0"/>
                <w:sz w:val="22"/>
                <w:szCs w:val="22"/>
                <w:u w:val="none"/>
                <w:lang w:val="en-US" w:eastAsia="zh-CN" w:bidi="ar"/>
              </w:rPr>
              <w:t>废气</w:t>
            </w:r>
          </w:p>
        </w:tc>
        <w:tc>
          <w:tcPr>
            <w:tcW w:w="939" w:type="pct"/>
            <w:vAlign w:val="center"/>
          </w:tcPr>
          <w:p>
            <w:pPr>
              <w:keepNext w:val="0"/>
              <w:keepLines w:val="0"/>
              <w:widowControl/>
              <w:suppressLineNumbers w:val="0"/>
              <w:jc w:val="center"/>
              <w:textAlignment w:val="center"/>
              <w:rPr>
                <w:rFonts w:hint="eastAsia"/>
                <w:color w:val="auto"/>
                <w:highlight w:val="none"/>
                <w:lang w:eastAsia="zh-CN"/>
              </w:rPr>
            </w:pPr>
            <w:r>
              <w:rPr>
                <w:rFonts w:hint="eastAsia" w:ascii="宋体" w:hAnsi="宋体" w:eastAsia="宋体" w:cs="宋体"/>
                <w:i w:val="0"/>
                <w:iCs w:val="0"/>
                <w:color w:val="000000"/>
                <w:kern w:val="0"/>
                <w:sz w:val="22"/>
                <w:szCs w:val="22"/>
                <w:u w:val="none"/>
                <w:lang w:val="en-US" w:eastAsia="zh-CN" w:bidi="ar"/>
              </w:rPr>
              <w:t>无组织废气</w:t>
            </w:r>
          </w:p>
        </w:tc>
        <w:tc>
          <w:tcPr>
            <w:tcW w:w="899" w:type="pct"/>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2"/>
                <w:szCs w:val="22"/>
                <w:u w:val="none"/>
                <w:lang w:val="en-US" w:eastAsia="zh-CN" w:bidi="ar"/>
              </w:rPr>
              <w:t>氯气</w:t>
            </w:r>
          </w:p>
        </w:tc>
        <w:tc>
          <w:tcPr>
            <w:tcW w:w="1071" w:type="pct"/>
            <w:vAlign w:val="center"/>
          </w:tcPr>
          <w:p>
            <w:pPr>
              <w:keepNext w:val="0"/>
              <w:keepLines w:val="0"/>
              <w:widowControl/>
              <w:suppressLineNumbers w:val="0"/>
              <w:jc w:val="center"/>
              <w:textAlignment w:val="center"/>
              <w:rPr>
                <w:rFonts w:hint="eastAsia"/>
                <w:color w:val="auto"/>
                <w:highlight w:val="none"/>
                <w:lang w:val="en-US" w:eastAsia="zh-CN"/>
              </w:rPr>
            </w:pPr>
            <w:r>
              <w:rPr>
                <w:rStyle w:val="7"/>
                <w:lang w:val="en-US" w:eastAsia="zh-CN" w:bidi="ar"/>
              </w:rPr>
              <w:t>每季度测</w:t>
            </w:r>
            <w:r>
              <w:rPr>
                <w:rStyle w:val="8"/>
                <w:rFonts w:eastAsia="宋体"/>
                <w:lang w:val="en-US" w:eastAsia="zh-CN" w:bidi="ar"/>
              </w:rPr>
              <w:t>1</w:t>
            </w:r>
            <w:r>
              <w:rPr>
                <w:rStyle w:val="7"/>
                <w:lang w:val="en-US" w:eastAsia="zh-CN" w:bidi="ar"/>
              </w:rPr>
              <w:t>次</w:t>
            </w:r>
          </w:p>
        </w:tc>
        <w:tc>
          <w:tcPr>
            <w:tcW w:w="321" w:type="pct"/>
            <w:vAlign w:val="center"/>
          </w:tcPr>
          <w:p>
            <w:pPr>
              <w:keepNext w:val="0"/>
              <w:keepLines w:val="0"/>
              <w:widowControl/>
              <w:suppressLineNumbers w:val="0"/>
              <w:jc w:val="center"/>
              <w:textAlignment w:val="center"/>
              <w:rPr>
                <w:rFonts w:hint="eastAsia"/>
                <w:color w:val="auto"/>
                <w:highlight w:val="none"/>
                <w:lang w:val="en-US" w:eastAsia="zh-CN"/>
              </w:rPr>
            </w:pPr>
            <w:r>
              <w:rPr>
                <w:rFonts w:hint="default" w:ascii="Calibri" w:hAnsi="Calibri" w:eastAsia="宋体" w:cs="Calibri"/>
                <w:i w:val="0"/>
                <w:iCs w:val="0"/>
                <w:color w:val="000000"/>
                <w:kern w:val="0"/>
                <w:sz w:val="22"/>
                <w:szCs w:val="22"/>
                <w:u w:val="none"/>
                <w:lang w:val="en-US" w:eastAsia="zh-CN" w:bidi="ar"/>
              </w:rPr>
              <w:t>4</w:t>
            </w:r>
          </w:p>
        </w:tc>
        <w:tc>
          <w:tcPr>
            <w:tcW w:w="553" w:type="pct"/>
            <w:vAlign w:val="center"/>
          </w:tcPr>
          <w:p>
            <w:pPr>
              <w:jc w:val="center"/>
              <w:rPr>
                <w:rFonts w:hint="eastAsia"/>
                <w:color w:val="auto"/>
                <w:sz w:val="32"/>
                <w:szCs w:val="32"/>
                <w:highlight w:val="none"/>
                <w:vertAlign w:val="baseline"/>
                <w:lang w:eastAsia="zh-CN"/>
              </w:rPr>
            </w:pPr>
            <w:r>
              <w:rPr>
                <w:rFonts w:hint="eastAsia" w:ascii="宋体" w:hAnsi="宋体" w:eastAsia="宋体" w:cs="宋体"/>
                <w:i w:val="0"/>
                <w:iCs w:val="0"/>
                <w:color w:val="000000"/>
                <w:kern w:val="0"/>
                <w:sz w:val="22"/>
                <w:szCs w:val="22"/>
                <w:u w:val="none"/>
                <w:lang w:val="en-US" w:eastAsia="zh-CN" w:bidi="ar"/>
              </w:rPr>
              <w:t>污水处理站周界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33</w:t>
            </w:r>
          </w:p>
        </w:tc>
        <w:tc>
          <w:tcPr>
            <w:tcW w:w="776" w:type="pct"/>
            <w:vAlign w:val="center"/>
          </w:tcPr>
          <w:p>
            <w:pPr>
              <w:keepNext w:val="0"/>
              <w:keepLines w:val="0"/>
              <w:widowControl/>
              <w:suppressLineNumbers w:val="0"/>
              <w:jc w:val="center"/>
              <w:textAlignment w:val="center"/>
              <w:rPr>
                <w:rFonts w:hint="eastAsia"/>
                <w:color w:val="auto"/>
                <w:highlight w:val="none"/>
                <w:lang w:eastAsia="zh-CN"/>
              </w:rPr>
            </w:pPr>
            <w:r>
              <w:rPr>
                <w:rFonts w:hint="eastAsia" w:ascii="宋体" w:hAnsi="宋体" w:eastAsia="宋体" w:cs="宋体"/>
                <w:i w:val="0"/>
                <w:iCs w:val="0"/>
                <w:color w:val="000000"/>
                <w:kern w:val="0"/>
                <w:sz w:val="22"/>
                <w:szCs w:val="22"/>
                <w:u w:val="none"/>
                <w:lang w:val="en-US" w:eastAsia="zh-CN" w:bidi="ar"/>
              </w:rPr>
              <w:t>废气</w:t>
            </w:r>
          </w:p>
        </w:tc>
        <w:tc>
          <w:tcPr>
            <w:tcW w:w="939" w:type="pct"/>
            <w:vAlign w:val="center"/>
          </w:tcPr>
          <w:p>
            <w:pPr>
              <w:keepNext w:val="0"/>
              <w:keepLines w:val="0"/>
              <w:widowControl/>
              <w:suppressLineNumbers w:val="0"/>
              <w:jc w:val="center"/>
              <w:textAlignment w:val="center"/>
              <w:rPr>
                <w:rFonts w:hint="eastAsia"/>
                <w:color w:val="auto"/>
                <w:highlight w:val="none"/>
                <w:lang w:eastAsia="zh-CN"/>
              </w:rPr>
            </w:pPr>
            <w:r>
              <w:rPr>
                <w:rFonts w:hint="eastAsia" w:ascii="宋体" w:hAnsi="宋体" w:eastAsia="宋体" w:cs="宋体"/>
                <w:i w:val="0"/>
                <w:iCs w:val="0"/>
                <w:color w:val="000000"/>
                <w:kern w:val="0"/>
                <w:sz w:val="22"/>
                <w:szCs w:val="22"/>
                <w:u w:val="none"/>
                <w:lang w:val="en-US" w:eastAsia="zh-CN" w:bidi="ar"/>
              </w:rPr>
              <w:t>无组织废气</w:t>
            </w:r>
          </w:p>
        </w:tc>
        <w:tc>
          <w:tcPr>
            <w:tcW w:w="899" w:type="pct"/>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2"/>
                <w:szCs w:val="22"/>
                <w:u w:val="none"/>
                <w:lang w:val="en-US" w:eastAsia="zh-CN" w:bidi="ar"/>
              </w:rPr>
              <w:t>甲烷</w:t>
            </w:r>
          </w:p>
        </w:tc>
        <w:tc>
          <w:tcPr>
            <w:tcW w:w="1071" w:type="pct"/>
            <w:vAlign w:val="center"/>
          </w:tcPr>
          <w:p>
            <w:pPr>
              <w:keepNext w:val="0"/>
              <w:keepLines w:val="0"/>
              <w:widowControl/>
              <w:suppressLineNumbers w:val="0"/>
              <w:jc w:val="center"/>
              <w:textAlignment w:val="center"/>
              <w:rPr>
                <w:rFonts w:hint="eastAsia"/>
                <w:color w:val="auto"/>
                <w:highlight w:val="none"/>
                <w:lang w:val="en-US" w:eastAsia="zh-CN"/>
              </w:rPr>
            </w:pPr>
            <w:r>
              <w:rPr>
                <w:rStyle w:val="7"/>
                <w:lang w:val="en-US" w:eastAsia="zh-CN" w:bidi="ar"/>
              </w:rPr>
              <w:t>每季度测</w:t>
            </w:r>
            <w:r>
              <w:rPr>
                <w:rStyle w:val="8"/>
                <w:rFonts w:eastAsia="宋体"/>
                <w:lang w:val="en-US" w:eastAsia="zh-CN" w:bidi="ar"/>
              </w:rPr>
              <w:t>1</w:t>
            </w:r>
            <w:r>
              <w:rPr>
                <w:rStyle w:val="7"/>
                <w:lang w:val="en-US" w:eastAsia="zh-CN" w:bidi="ar"/>
              </w:rPr>
              <w:t>次</w:t>
            </w:r>
          </w:p>
        </w:tc>
        <w:tc>
          <w:tcPr>
            <w:tcW w:w="321" w:type="pct"/>
            <w:vAlign w:val="center"/>
          </w:tcPr>
          <w:p>
            <w:pPr>
              <w:keepNext w:val="0"/>
              <w:keepLines w:val="0"/>
              <w:widowControl/>
              <w:suppressLineNumbers w:val="0"/>
              <w:jc w:val="center"/>
              <w:textAlignment w:val="center"/>
              <w:rPr>
                <w:rFonts w:hint="eastAsia"/>
                <w:color w:val="auto"/>
                <w:highlight w:val="none"/>
                <w:lang w:val="en-US" w:eastAsia="zh-CN"/>
              </w:rPr>
            </w:pPr>
            <w:r>
              <w:rPr>
                <w:rFonts w:hint="default" w:ascii="Calibri" w:hAnsi="Calibri" w:eastAsia="宋体" w:cs="Calibri"/>
                <w:i w:val="0"/>
                <w:iCs w:val="0"/>
                <w:color w:val="000000"/>
                <w:kern w:val="0"/>
                <w:sz w:val="22"/>
                <w:szCs w:val="22"/>
                <w:u w:val="none"/>
                <w:lang w:val="en-US" w:eastAsia="zh-CN" w:bidi="ar"/>
              </w:rPr>
              <w:t>4</w:t>
            </w:r>
          </w:p>
        </w:tc>
        <w:tc>
          <w:tcPr>
            <w:tcW w:w="553" w:type="pct"/>
            <w:vAlign w:val="center"/>
          </w:tcPr>
          <w:p>
            <w:pPr>
              <w:jc w:val="center"/>
              <w:rPr>
                <w:rFonts w:hint="eastAsia"/>
                <w:color w:val="auto"/>
                <w:sz w:val="32"/>
                <w:szCs w:val="32"/>
                <w:highlight w:val="none"/>
                <w:vertAlign w:val="baseline"/>
                <w:lang w:eastAsia="zh-CN"/>
              </w:rPr>
            </w:pPr>
            <w:r>
              <w:rPr>
                <w:rFonts w:hint="eastAsia" w:ascii="宋体" w:hAnsi="宋体" w:eastAsia="宋体" w:cs="宋体"/>
                <w:i w:val="0"/>
                <w:iCs w:val="0"/>
                <w:color w:val="000000"/>
                <w:kern w:val="0"/>
                <w:sz w:val="22"/>
                <w:szCs w:val="22"/>
                <w:u w:val="none"/>
                <w:lang w:val="en-US" w:eastAsia="zh-CN" w:bidi="ar"/>
              </w:rPr>
              <w:t>污水处理站周界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hint="default"/>
                <w:color w:val="auto"/>
                <w:highlight w:val="none"/>
                <w:lang w:val="en-US" w:eastAsia="zh-CN"/>
              </w:rPr>
            </w:pPr>
            <w:r>
              <w:rPr>
                <w:rFonts w:hint="eastAsia"/>
                <w:color w:val="auto"/>
                <w:highlight w:val="none"/>
                <w:lang w:val="en-US" w:eastAsia="zh-CN"/>
              </w:rPr>
              <w:t>34</w:t>
            </w:r>
          </w:p>
        </w:tc>
        <w:tc>
          <w:tcPr>
            <w:tcW w:w="776" w:type="pct"/>
            <w:vAlign w:val="center"/>
          </w:tcPr>
          <w:p>
            <w:pPr>
              <w:keepNext w:val="0"/>
              <w:keepLines w:val="0"/>
              <w:widowControl/>
              <w:suppressLineNumbers w:val="0"/>
              <w:jc w:val="center"/>
              <w:textAlignment w:val="center"/>
              <w:rPr>
                <w:rFonts w:hint="eastAsia"/>
                <w:color w:val="auto"/>
                <w:highlight w:val="none"/>
                <w:lang w:eastAsia="zh-CN"/>
              </w:rPr>
            </w:pPr>
            <w:r>
              <w:rPr>
                <w:rFonts w:hint="eastAsia" w:ascii="宋体" w:hAnsi="宋体" w:eastAsia="宋体" w:cs="宋体"/>
                <w:i w:val="0"/>
                <w:iCs w:val="0"/>
                <w:color w:val="000000"/>
                <w:kern w:val="0"/>
                <w:sz w:val="22"/>
                <w:szCs w:val="22"/>
                <w:u w:val="none"/>
                <w:lang w:val="en-US" w:eastAsia="zh-CN" w:bidi="ar"/>
              </w:rPr>
              <w:t>噪声</w:t>
            </w:r>
          </w:p>
        </w:tc>
        <w:tc>
          <w:tcPr>
            <w:tcW w:w="939" w:type="pct"/>
            <w:vAlign w:val="center"/>
          </w:tcPr>
          <w:p>
            <w:pPr>
              <w:keepNext w:val="0"/>
              <w:keepLines w:val="0"/>
              <w:widowControl/>
              <w:suppressLineNumbers w:val="0"/>
              <w:jc w:val="center"/>
              <w:textAlignment w:val="center"/>
              <w:rPr>
                <w:rFonts w:hint="eastAsia"/>
                <w:color w:val="auto"/>
                <w:highlight w:val="none"/>
                <w:lang w:eastAsia="zh-CN"/>
              </w:rPr>
            </w:pPr>
            <w:r>
              <w:rPr>
                <w:rFonts w:hint="eastAsia" w:ascii="宋体" w:hAnsi="宋体" w:eastAsia="宋体" w:cs="宋体"/>
                <w:i w:val="0"/>
                <w:iCs w:val="0"/>
                <w:color w:val="000000"/>
                <w:kern w:val="0"/>
                <w:sz w:val="22"/>
                <w:szCs w:val="22"/>
                <w:u w:val="none"/>
                <w:lang w:val="en-US" w:eastAsia="zh-CN" w:bidi="ar"/>
              </w:rPr>
              <w:t>噪声</w:t>
            </w:r>
          </w:p>
        </w:tc>
        <w:tc>
          <w:tcPr>
            <w:tcW w:w="899" w:type="pct"/>
            <w:vAlign w:val="center"/>
          </w:tcPr>
          <w:p>
            <w:pPr>
              <w:keepNext w:val="0"/>
              <w:keepLines w:val="0"/>
              <w:widowControl/>
              <w:suppressLineNumbers w:val="0"/>
              <w:jc w:val="center"/>
              <w:textAlignment w:val="center"/>
              <w:rPr>
                <w:rFonts w:hint="eastAsia"/>
                <w:color w:val="auto"/>
                <w:highlight w:val="none"/>
              </w:rPr>
            </w:pPr>
            <w:r>
              <w:rPr>
                <w:rFonts w:hint="eastAsia" w:ascii="宋体" w:hAnsi="宋体" w:eastAsia="宋体" w:cs="宋体"/>
                <w:i w:val="0"/>
                <w:iCs w:val="0"/>
                <w:color w:val="000000"/>
                <w:kern w:val="0"/>
                <w:sz w:val="22"/>
                <w:szCs w:val="22"/>
                <w:u w:val="none"/>
                <w:lang w:val="en-US" w:eastAsia="zh-CN" w:bidi="ar"/>
              </w:rPr>
              <w:t>噪声</w:t>
            </w:r>
          </w:p>
        </w:tc>
        <w:tc>
          <w:tcPr>
            <w:tcW w:w="1071" w:type="pct"/>
            <w:vAlign w:val="center"/>
          </w:tcPr>
          <w:p>
            <w:pPr>
              <w:keepNext w:val="0"/>
              <w:keepLines w:val="0"/>
              <w:widowControl/>
              <w:suppressLineNumbers w:val="0"/>
              <w:jc w:val="center"/>
              <w:textAlignment w:val="center"/>
              <w:rPr>
                <w:rFonts w:hint="eastAsia"/>
                <w:color w:val="auto"/>
                <w:highlight w:val="none"/>
                <w:lang w:val="en-US" w:eastAsia="zh-CN"/>
              </w:rPr>
            </w:pPr>
            <w:r>
              <w:rPr>
                <w:rStyle w:val="7"/>
                <w:lang w:val="en-US" w:eastAsia="zh-CN" w:bidi="ar"/>
              </w:rPr>
              <w:t>每季度测</w:t>
            </w:r>
            <w:r>
              <w:rPr>
                <w:rStyle w:val="8"/>
                <w:rFonts w:eastAsia="宋体"/>
                <w:lang w:val="en-US" w:eastAsia="zh-CN" w:bidi="ar"/>
              </w:rPr>
              <w:t>1</w:t>
            </w:r>
            <w:r>
              <w:rPr>
                <w:rStyle w:val="7"/>
                <w:lang w:val="en-US" w:eastAsia="zh-CN" w:bidi="ar"/>
              </w:rPr>
              <w:t>次</w:t>
            </w:r>
          </w:p>
        </w:tc>
        <w:tc>
          <w:tcPr>
            <w:tcW w:w="321" w:type="pct"/>
            <w:vAlign w:val="center"/>
          </w:tcPr>
          <w:p>
            <w:pPr>
              <w:keepNext w:val="0"/>
              <w:keepLines w:val="0"/>
              <w:widowControl/>
              <w:suppressLineNumbers w:val="0"/>
              <w:jc w:val="center"/>
              <w:textAlignment w:val="center"/>
              <w:rPr>
                <w:rFonts w:hint="eastAsia"/>
                <w:color w:val="auto"/>
                <w:highlight w:val="none"/>
                <w:lang w:val="en-US" w:eastAsia="zh-CN"/>
              </w:rPr>
            </w:pPr>
            <w:r>
              <w:rPr>
                <w:rFonts w:hint="default" w:ascii="Calibri" w:hAnsi="Calibri" w:eastAsia="宋体" w:cs="Calibri"/>
                <w:i w:val="0"/>
                <w:iCs w:val="0"/>
                <w:color w:val="000000"/>
                <w:kern w:val="0"/>
                <w:sz w:val="22"/>
                <w:szCs w:val="22"/>
                <w:u w:val="none"/>
                <w:lang w:val="en-US" w:eastAsia="zh-CN" w:bidi="ar"/>
              </w:rPr>
              <w:t>4</w:t>
            </w:r>
          </w:p>
        </w:tc>
        <w:tc>
          <w:tcPr>
            <w:tcW w:w="553" w:type="pct"/>
            <w:vAlign w:val="center"/>
          </w:tcPr>
          <w:p>
            <w:pPr>
              <w:jc w:val="center"/>
              <w:rPr>
                <w:rFonts w:hint="eastAsia"/>
                <w:color w:val="auto"/>
                <w:sz w:val="32"/>
                <w:szCs w:val="32"/>
                <w:highlight w:val="none"/>
                <w:vertAlign w:val="baseline"/>
                <w:lang w:eastAsia="zh-CN"/>
              </w:rPr>
            </w:pPr>
            <w:r>
              <w:rPr>
                <w:rFonts w:hint="eastAsia" w:ascii="宋体" w:hAnsi="宋体" w:eastAsia="宋体" w:cs="宋体"/>
                <w:i w:val="0"/>
                <w:iCs w:val="0"/>
                <w:color w:val="000000"/>
                <w:kern w:val="0"/>
                <w:sz w:val="22"/>
                <w:szCs w:val="22"/>
                <w:u w:val="none"/>
                <w:lang w:val="en-US" w:eastAsia="zh-CN" w:bidi="ar"/>
              </w:rPr>
              <w:t>白昼和夜间</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b/>
          <w:bCs/>
          <w:sz w:val="32"/>
          <w:szCs w:val="32"/>
          <w:lang w:eastAsia="zh-CN"/>
        </w:rPr>
      </w:pPr>
      <w:r>
        <w:rPr>
          <w:rFonts w:hint="eastAsia" w:ascii="Times New Roman" w:hAnsi="Times New Roman" w:eastAsia="方正仿宋_GBK" w:cs="Times New Roman"/>
          <w:b/>
          <w:bCs/>
          <w:sz w:val="32"/>
          <w:szCs w:val="32"/>
          <w:lang w:eastAsia="zh-CN"/>
        </w:rPr>
        <w:t>二、</w:t>
      </w:r>
      <w:r>
        <w:rPr>
          <w:rFonts w:hint="default" w:ascii="Times New Roman" w:hAnsi="Times New Roman" w:eastAsia="方正仿宋_GBK" w:cs="Times New Roman"/>
          <w:b/>
          <w:bCs/>
          <w:sz w:val="32"/>
          <w:szCs w:val="32"/>
          <w:lang w:eastAsia="zh-CN"/>
        </w:rPr>
        <w:t>投标单位资质要求</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2312" w:cs="Times New Roman"/>
          <w:b w:val="0"/>
          <w:bCs w:val="0"/>
          <w:sz w:val="32"/>
          <w:szCs w:val="32"/>
          <w:lang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2312" w:cs="Times New Roman"/>
          <w:b w:val="0"/>
          <w:bCs w:val="0"/>
          <w:sz w:val="32"/>
          <w:szCs w:val="32"/>
          <w:lang w:eastAsia="zh-CN"/>
        </w:rPr>
        <w:t>参加投标的单位必须具有独立的企业法人资格、独立承担民事责任能力且从事相关行业</w:t>
      </w:r>
      <w:r>
        <w:rPr>
          <w:rFonts w:hint="eastAsia" w:ascii="Times New Roman" w:hAnsi="Times New Roman" w:eastAsia="方正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2312" w:cs="Times New Roman"/>
          <w:b w:val="0"/>
          <w:bCs w:val="0"/>
          <w:sz w:val="32"/>
          <w:szCs w:val="32"/>
          <w:lang w:val="en-US" w:eastAsia="zh-CN"/>
        </w:rPr>
        <w:t>2.具备有效的《营业执照》、</w:t>
      </w:r>
      <w:r>
        <w:rPr>
          <w:rFonts w:hint="default" w:ascii="Times New Roman" w:hAnsi="Times New Roman" w:eastAsia="方正仿宋_GBK" w:cs="Times New Roman"/>
          <w:sz w:val="32"/>
          <w:szCs w:val="32"/>
          <w:lang w:eastAsia="zh-CN"/>
        </w:rPr>
        <w:t>营业执照经营范围</w:t>
      </w:r>
      <w:r>
        <w:rPr>
          <w:rFonts w:hint="eastAsia" w:ascii="Times New Roman" w:hAnsi="Times New Roman" w:eastAsia="方正仿宋_GBK" w:cs="Times New Roman"/>
          <w:sz w:val="32"/>
          <w:szCs w:val="32"/>
          <w:lang w:eastAsia="zh-CN"/>
        </w:rPr>
        <w:t>：具备招标检测项目内容。</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3.投标人需具有与本项目检验检测相适应的资质认定（CMA）或实验室认可（CNAS）证书。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2312" w:cs="Times New Roman"/>
          <w:b w:val="0"/>
          <w:bCs w:val="0"/>
          <w:sz w:val="32"/>
          <w:szCs w:val="32"/>
          <w:lang w:val="en-US" w:eastAsia="zh-CN"/>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2312" w:cs="Times New Roman"/>
          <w:b w:val="0"/>
          <w:bCs w:val="0"/>
          <w:sz w:val="32"/>
          <w:szCs w:val="32"/>
          <w:lang w:val="en-US" w:eastAsia="zh-CN"/>
        </w:rPr>
        <w:t>投标单位需进行现场踏勘，开标时须持有院方盖章签字的现场勘察证明；</w:t>
      </w:r>
    </w:p>
    <w:p>
      <w:pPr>
        <w:keepNext w:val="0"/>
        <w:keepLines w:val="0"/>
        <w:pageBreakBefore w:val="0"/>
        <w:widowControl w:val="0"/>
        <w:kinsoku/>
        <w:wordWrap/>
        <w:overflowPunct/>
        <w:topLinePunct w:val="0"/>
        <w:autoSpaceDE w:val="0"/>
        <w:autoSpaceDN/>
        <w:bidi w:val="0"/>
        <w:adjustRightInd w:val="0"/>
        <w:snapToGrid w:val="0"/>
        <w:spacing w:line="600" w:lineRule="exact"/>
        <w:ind w:left="0" w:firstLine="640" w:firstLineChars="200"/>
        <w:textAlignment w:val="auto"/>
        <w:rPr>
          <w:rFonts w:hint="eastAsia" w:ascii="Times New Roman" w:hAnsi="Times New Roman" w:eastAsia="方正仿宋_GB2312" w:cs="Times New Roman"/>
          <w:b w:val="0"/>
          <w:bCs w:val="0"/>
          <w:sz w:val="32"/>
          <w:szCs w:val="32"/>
          <w:lang w:val="en-US" w:eastAsia="zh-CN"/>
        </w:rPr>
      </w:pPr>
      <w:r>
        <w:rPr>
          <w:rFonts w:hint="eastAsia" w:ascii="Times New Roman" w:hAnsi="Times New Roman" w:eastAsia="方正仿宋_GB2312" w:cs="Times New Roman"/>
          <w:b w:val="0"/>
          <w:bCs w:val="0"/>
          <w:sz w:val="32"/>
          <w:szCs w:val="32"/>
          <w:lang w:val="en-US" w:eastAsia="zh-CN"/>
        </w:rPr>
        <w:t>5.本项目不接受联合体投标；</w:t>
      </w:r>
    </w:p>
    <w:p>
      <w:pPr>
        <w:keepNext w:val="0"/>
        <w:keepLines w:val="0"/>
        <w:pageBreakBefore w:val="0"/>
        <w:widowControl w:val="0"/>
        <w:kinsoku/>
        <w:wordWrap/>
        <w:overflowPunct/>
        <w:topLinePunct w:val="0"/>
        <w:autoSpaceDE w:val="0"/>
        <w:autoSpaceDN/>
        <w:bidi w:val="0"/>
        <w:adjustRightInd w:val="0"/>
        <w:snapToGrid w:val="0"/>
        <w:spacing w:line="600" w:lineRule="exact"/>
        <w:ind w:left="0" w:firstLine="640" w:firstLineChars="200"/>
        <w:textAlignment w:val="auto"/>
        <w:rPr>
          <w:rFonts w:hint="eastAsia" w:ascii="Times New Roman" w:hAnsi="Times New Roman" w:eastAsia="方正仿宋_GB2312" w:cs="Times New Roman"/>
          <w:b w:val="0"/>
          <w:bCs w:val="0"/>
          <w:sz w:val="32"/>
          <w:szCs w:val="32"/>
          <w:lang w:val="en-US" w:eastAsia="zh-CN"/>
        </w:rPr>
      </w:pPr>
      <w:r>
        <w:rPr>
          <w:rFonts w:hint="eastAsia" w:ascii="Times New Roman" w:hAnsi="Times New Roman" w:eastAsia="方正仿宋_GB2312" w:cs="Times New Roman"/>
          <w:b w:val="0"/>
          <w:bCs w:val="0"/>
          <w:sz w:val="32"/>
          <w:szCs w:val="32"/>
          <w:lang w:val="en-US" w:eastAsia="zh-CN"/>
        </w:rPr>
        <w:t>6.与采购人存在利害关系可能影响招标公正性的法人、其他组织或者个人，不得参加投标；</w:t>
      </w:r>
    </w:p>
    <w:p>
      <w:pPr>
        <w:keepNext w:val="0"/>
        <w:keepLines w:val="0"/>
        <w:pageBreakBefore w:val="0"/>
        <w:widowControl w:val="0"/>
        <w:kinsoku/>
        <w:wordWrap/>
        <w:overflowPunct/>
        <w:topLinePunct w:val="0"/>
        <w:autoSpaceDE w:val="0"/>
        <w:autoSpaceDN/>
        <w:bidi w:val="0"/>
        <w:adjustRightInd w:val="0"/>
        <w:snapToGrid w:val="0"/>
        <w:spacing w:line="600" w:lineRule="exact"/>
        <w:ind w:left="0" w:firstLine="640" w:firstLineChars="200"/>
        <w:textAlignment w:val="auto"/>
        <w:rPr>
          <w:rFonts w:hint="eastAsia" w:ascii="方正仿宋_GBK" w:hAnsi="方正仿宋_GBK" w:eastAsia="方正仿宋_GBK" w:cs="方正仿宋_GBK"/>
          <w:b/>
          <w:bCs/>
          <w:color w:val="auto"/>
          <w:sz w:val="32"/>
          <w:szCs w:val="32"/>
          <w:lang w:eastAsia="zh-CN"/>
        </w:rPr>
      </w:pPr>
      <w:r>
        <w:rPr>
          <w:rFonts w:hint="eastAsia" w:ascii="Times New Roman" w:hAnsi="Times New Roman" w:eastAsia="方正仿宋_GB2312" w:cs="Times New Roman"/>
          <w:b w:val="0"/>
          <w:bCs w:val="0"/>
          <w:sz w:val="32"/>
          <w:szCs w:val="32"/>
          <w:lang w:val="en-US" w:eastAsia="zh-CN"/>
        </w:rPr>
        <w:t>7.被列入“信用中国”网站（www.creditchina.gov.cn）或中国政府采购网（www.ccgp.gov.cn）失信被执行人、重大税收违法当事人名单、政府采购违法失信行为记录名单的投标人，不得参加本项目投标。</w:t>
      </w:r>
    </w:p>
    <w:p>
      <w:pPr>
        <w:numPr>
          <w:ilvl w:val="0"/>
          <w:numId w:val="0"/>
        </w:numPr>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eastAsia="zh-CN"/>
        </w:rPr>
        <w:t>三、检测期限</w:t>
      </w:r>
    </w:p>
    <w:p>
      <w:pPr>
        <w:numPr>
          <w:ilvl w:val="0"/>
          <w:numId w:val="0"/>
        </w:numPr>
        <w:ind w:firstLine="640" w:firstLineChars="200"/>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val="en-US" w:eastAsia="zh-CN"/>
        </w:rPr>
        <w:t>年</w:t>
      </w:r>
    </w:p>
    <w:p>
      <w:pPr>
        <w:rPr>
          <w:rFonts w:hint="default" w:ascii="Times New Roman" w:hAnsi="Times New Roman" w:eastAsia="方正仿宋_GBK" w:cs="Times New Roman"/>
          <w:b/>
          <w:bCs/>
          <w:color w:val="auto"/>
          <w:sz w:val="32"/>
          <w:szCs w:val="32"/>
        </w:rPr>
      </w:pPr>
      <w:r>
        <w:rPr>
          <w:rFonts w:hint="eastAsia" w:ascii="Times New Roman" w:hAnsi="Times New Roman" w:eastAsia="方正仿宋_GBK" w:cs="Times New Roman"/>
          <w:b/>
          <w:bCs/>
          <w:color w:val="auto"/>
          <w:sz w:val="32"/>
          <w:szCs w:val="32"/>
          <w:lang w:eastAsia="zh-CN"/>
        </w:rPr>
        <w:t>四</w:t>
      </w:r>
      <w:r>
        <w:rPr>
          <w:rFonts w:hint="default" w:ascii="Times New Roman" w:hAnsi="Times New Roman" w:eastAsia="方正仿宋_GBK" w:cs="Times New Roman"/>
          <w:b/>
          <w:bCs/>
          <w:color w:val="auto"/>
          <w:sz w:val="32"/>
          <w:szCs w:val="32"/>
        </w:rPr>
        <w:t>、</w:t>
      </w:r>
      <w:r>
        <w:rPr>
          <w:rFonts w:hint="eastAsia" w:ascii="Times New Roman" w:hAnsi="Times New Roman" w:eastAsia="方正仿宋_GBK" w:cs="Times New Roman"/>
          <w:b/>
          <w:bCs/>
          <w:color w:val="auto"/>
          <w:sz w:val="32"/>
          <w:szCs w:val="32"/>
          <w:lang w:eastAsia="zh-CN"/>
        </w:rPr>
        <w:t>服务</w:t>
      </w:r>
      <w:r>
        <w:rPr>
          <w:rFonts w:hint="default" w:ascii="Times New Roman" w:hAnsi="Times New Roman" w:eastAsia="方正仿宋_GBK" w:cs="Times New Roman"/>
          <w:b/>
          <w:bCs/>
          <w:color w:val="auto"/>
          <w:sz w:val="32"/>
          <w:szCs w:val="32"/>
        </w:rPr>
        <w:t>要求</w:t>
      </w:r>
    </w:p>
    <w:p>
      <w:pPr>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中标</w:t>
      </w:r>
      <w:r>
        <w:rPr>
          <w:rFonts w:hint="eastAsia" w:ascii="Times New Roman" w:hAnsi="Times New Roman" w:eastAsia="方正仿宋_GBK" w:cs="Times New Roman"/>
          <w:color w:val="auto"/>
          <w:sz w:val="32"/>
          <w:szCs w:val="32"/>
          <w:lang w:eastAsia="zh-CN"/>
        </w:rPr>
        <w:t>检测</w:t>
      </w:r>
      <w:r>
        <w:rPr>
          <w:rFonts w:hint="default" w:ascii="Times New Roman" w:hAnsi="Times New Roman" w:eastAsia="方正仿宋_GBK" w:cs="Times New Roman"/>
          <w:color w:val="auto"/>
          <w:sz w:val="32"/>
          <w:szCs w:val="32"/>
        </w:rPr>
        <w:t>单位按照行业标准对医院排放的废水</w:t>
      </w:r>
      <w:r>
        <w:rPr>
          <w:rFonts w:hint="eastAsia" w:ascii="Times New Roman" w:hAnsi="Times New Roman" w:eastAsia="方正仿宋_GBK" w:cs="Times New Roman"/>
          <w:color w:val="auto"/>
          <w:sz w:val="32"/>
          <w:szCs w:val="32"/>
          <w:lang w:eastAsia="zh-CN"/>
        </w:rPr>
        <w:t>、废气、噪声</w:t>
      </w:r>
      <w:r>
        <w:rPr>
          <w:rFonts w:hint="default" w:ascii="Times New Roman" w:hAnsi="Times New Roman" w:eastAsia="方正仿宋_GBK" w:cs="Times New Roman"/>
          <w:color w:val="auto"/>
          <w:sz w:val="32"/>
          <w:szCs w:val="32"/>
        </w:rPr>
        <w:t>进行取样</w:t>
      </w:r>
      <w:r>
        <w:rPr>
          <w:rFonts w:hint="eastAsia" w:ascii="Times New Roman" w:hAnsi="Times New Roman" w:eastAsia="方正仿宋_GBK" w:cs="Times New Roman"/>
          <w:color w:val="auto"/>
          <w:sz w:val="32"/>
          <w:szCs w:val="32"/>
          <w:lang w:eastAsia="zh-CN"/>
        </w:rPr>
        <w:t>检测</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按照</w:t>
      </w:r>
      <w:r>
        <w:rPr>
          <w:rFonts w:hint="eastAsia" w:ascii="方正仿宋_GBK" w:hAnsi="方正仿宋_GBK" w:eastAsia="方正仿宋_GBK" w:cs="方正仿宋_GBK"/>
          <w:color w:val="auto"/>
          <w:sz w:val="32"/>
          <w:szCs w:val="32"/>
          <w:highlight w:val="none"/>
          <w:lang w:eastAsia="zh-CN"/>
        </w:rPr>
        <w:t>检测频次</w:t>
      </w:r>
      <w:r>
        <w:rPr>
          <w:rFonts w:hint="eastAsia" w:ascii="Times New Roman" w:hAnsi="Times New Roman" w:eastAsia="方正仿宋_GBK" w:cs="Times New Roman"/>
          <w:color w:val="auto"/>
          <w:sz w:val="32"/>
          <w:szCs w:val="32"/>
          <w:lang w:eastAsia="zh-CN"/>
        </w:rPr>
        <w:t>要求</w:t>
      </w:r>
      <w:r>
        <w:rPr>
          <w:rFonts w:hint="default" w:ascii="Times New Roman" w:hAnsi="Times New Roman" w:eastAsia="方正仿宋_GBK" w:cs="Times New Roman"/>
          <w:color w:val="auto"/>
          <w:sz w:val="32"/>
          <w:szCs w:val="32"/>
        </w:rPr>
        <w:t>出具检测报告。</w:t>
      </w:r>
    </w:p>
    <w:p>
      <w:pPr>
        <w:ind w:firstLine="640" w:firstLineChars="200"/>
        <w:rPr>
          <w:rFonts w:hint="eastAsia" w:eastAsia="仿宋_GB2312"/>
          <w:color w:val="000000"/>
          <w:sz w:val="32"/>
          <w:szCs w:val="32"/>
          <w:lang w:eastAsia="zh-CN"/>
        </w:rPr>
      </w:pPr>
      <w:r>
        <w:rPr>
          <w:rFonts w:hint="eastAsia" w:ascii="Times New Roman" w:hAnsi="Times New Roman" w:eastAsia="方正仿宋_GBK" w:cs="Times New Roman"/>
          <w:color w:val="auto"/>
          <w:sz w:val="32"/>
          <w:szCs w:val="32"/>
          <w:lang w:val="en-US" w:eastAsia="zh-CN"/>
        </w:rPr>
        <w:t>2.中标检测单位</w:t>
      </w:r>
      <w:r>
        <w:rPr>
          <w:rFonts w:hint="default" w:eastAsia="仿宋_GB2312"/>
          <w:color w:val="000000"/>
          <w:sz w:val="32"/>
          <w:szCs w:val="32"/>
        </w:rPr>
        <w:t>按照生态环境部与排污许可证管理相关要求，</w:t>
      </w:r>
      <w:r>
        <w:rPr>
          <w:rFonts w:hint="eastAsia" w:eastAsia="仿宋_GB2312"/>
          <w:color w:val="000000"/>
          <w:sz w:val="32"/>
          <w:szCs w:val="32"/>
          <w:lang w:eastAsia="zh-CN"/>
        </w:rPr>
        <w:t>需要在新疆维吾尔自治区污染源监测数据管理与信息共享系统填报各项报表数据。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合同未到期之前，中标方不允许变更公司及法人，影响结账，医院概不负责。</w:t>
      </w:r>
    </w:p>
    <w:p>
      <w:pPr>
        <w:keepNext w:val="0"/>
        <w:keepLines w:val="0"/>
        <w:pageBreakBefore w:val="0"/>
        <w:widowControl w:val="0"/>
        <w:numPr>
          <w:ilvl w:val="0"/>
          <w:numId w:val="0"/>
        </w:numPr>
        <w:kinsoku/>
        <w:wordWrap/>
        <w:overflowPunct/>
        <w:topLinePunct w:val="0"/>
        <w:autoSpaceDN/>
        <w:bidi w:val="0"/>
        <w:spacing w:line="600" w:lineRule="exact"/>
        <w:ind w:firstLine="640" w:firstLineChars="200"/>
        <w:textAlignment w:val="auto"/>
        <w:rPr>
          <w:rFonts w:hint="eastAsia" w:eastAsia="仿宋_GB2312"/>
          <w:color w:val="000000"/>
          <w:sz w:val="32"/>
          <w:szCs w:val="32"/>
          <w:lang w:val="en-US" w:eastAsia="zh-CN"/>
        </w:rPr>
      </w:pPr>
      <w:r>
        <w:rPr>
          <w:rFonts w:hint="eastAsia" w:ascii="Times New Roman" w:hAnsi="Times New Roman" w:eastAsia="方正仿宋_GB2312" w:cs="Times New Roman"/>
          <w:sz w:val="32"/>
          <w:szCs w:val="32"/>
          <w:highlight w:val="none"/>
          <w:lang w:val="en-US" w:eastAsia="zh-CN"/>
        </w:rPr>
        <w:t>4.中标方不以任何形式转租、转让、抵押室外管道疏通业务，如有违约，院方有权单方面解除合同。</w:t>
      </w:r>
    </w:p>
    <w:p>
      <w:pPr>
        <w:numPr>
          <w:ilvl w:val="0"/>
          <w:numId w:val="0"/>
        </w:numPr>
        <w:rPr>
          <w:rFonts w:hint="default" w:ascii="Times New Roman" w:hAnsi="Times New Roman" w:eastAsia="方正仿宋_GBK" w:cs="Times New Roman"/>
          <w:b/>
          <w:bCs/>
          <w:color w:val="auto"/>
          <w:sz w:val="32"/>
          <w:szCs w:val="32"/>
        </w:rPr>
      </w:pPr>
      <w:r>
        <w:rPr>
          <w:rFonts w:hint="eastAsia" w:ascii="Times New Roman" w:hAnsi="Times New Roman" w:eastAsia="方正仿宋_GBK" w:cs="Times New Roman"/>
          <w:b/>
          <w:bCs/>
          <w:color w:val="auto"/>
          <w:sz w:val="32"/>
          <w:szCs w:val="32"/>
          <w:lang w:eastAsia="zh-CN"/>
        </w:rPr>
        <w:t>五、</w:t>
      </w:r>
      <w:r>
        <w:rPr>
          <w:rFonts w:hint="default" w:ascii="Times New Roman" w:hAnsi="Times New Roman" w:eastAsia="方正仿宋_GBK" w:cs="Times New Roman"/>
          <w:b/>
          <w:bCs/>
          <w:color w:val="auto"/>
          <w:sz w:val="32"/>
          <w:szCs w:val="32"/>
        </w:rPr>
        <w:t>检测费</w:t>
      </w:r>
      <w:r>
        <w:rPr>
          <w:rFonts w:hint="default" w:ascii="Times New Roman" w:hAnsi="Times New Roman" w:eastAsia="方正仿宋_GBK" w:cs="Times New Roman"/>
          <w:b/>
          <w:bCs/>
          <w:color w:val="auto"/>
          <w:sz w:val="32"/>
          <w:szCs w:val="32"/>
          <w:lang w:eastAsia="zh-CN"/>
        </w:rPr>
        <w:t>总</w:t>
      </w:r>
      <w:r>
        <w:rPr>
          <w:rFonts w:hint="default" w:ascii="Times New Roman" w:hAnsi="Times New Roman" w:eastAsia="方正仿宋_GBK" w:cs="Times New Roman"/>
          <w:b/>
          <w:bCs/>
          <w:color w:val="auto"/>
          <w:sz w:val="32"/>
          <w:szCs w:val="32"/>
        </w:rPr>
        <w:t>预算价:</w:t>
      </w:r>
    </w:p>
    <w:p>
      <w:pPr>
        <w:numPr>
          <w:ilvl w:val="0"/>
          <w:numId w:val="0"/>
        </w:numPr>
        <w:ind w:firstLine="643" w:firstLineChars="200"/>
        <w:rPr>
          <w:rFonts w:hint="eastAsia" w:ascii="Times New Roman" w:hAnsi="Times New Roman" w:eastAsia="方正仿宋_GBK" w:cs="Times New Roman"/>
          <w:b/>
          <w:bCs/>
          <w:color w:val="auto"/>
          <w:sz w:val="32"/>
          <w:szCs w:val="32"/>
          <w:lang w:eastAsia="zh-CN"/>
        </w:rPr>
      </w:pPr>
      <w:r>
        <w:rPr>
          <w:rFonts w:hint="eastAsia" w:ascii="Times New Roman" w:hAnsi="Times New Roman" w:eastAsia="方正仿宋_GBK" w:cs="Times New Roman"/>
          <w:b/>
          <w:bCs/>
          <w:color w:val="auto"/>
          <w:sz w:val="32"/>
          <w:szCs w:val="32"/>
          <w:lang w:val="en-US" w:eastAsia="zh-CN"/>
        </w:rPr>
        <w:t>2年的费用为18万</w:t>
      </w:r>
      <w:r>
        <w:rPr>
          <w:rFonts w:hint="default" w:ascii="Times New Roman" w:hAnsi="Times New Roman" w:eastAsia="方正仿宋_GBK" w:cs="Times New Roman"/>
          <w:b/>
          <w:bCs/>
          <w:color w:val="auto"/>
          <w:sz w:val="32"/>
          <w:szCs w:val="32"/>
        </w:rPr>
        <w:t>元</w:t>
      </w:r>
      <w:r>
        <w:rPr>
          <w:rFonts w:hint="eastAsia" w:ascii="Times New Roman" w:hAnsi="Times New Roman" w:eastAsia="方正仿宋_GBK" w:cs="Times New Roman"/>
          <w:b/>
          <w:bCs/>
          <w:color w:val="auto"/>
          <w:sz w:val="32"/>
          <w:szCs w:val="32"/>
          <w:lang w:eastAsia="zh-CN"/>
        </w:rPr>
        <w:t>。</w:t>
      </w:r>
    </w:p>
    <w:p>
      <w:pPr>
        <w:rPr>
          <w:rFonts w:hint="default"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六</w:t>
      </w:r>
      <w:r>
        <w:rPr>
          <w:rFonts w:hint="default" w:ascii="Times New Roman" w:hAnsi="Times New Roman" w:eastAsia="方正仿宋_GBK" w:cs="Times New Roman"/>
          <w:b/>
          <w:bCs/>
          <w:sz w:val="32"/>
          <w:szCs w:val="32"/>
          <w:lang w:val="en-US" w:eastAsia="zh-CN"/>
        </w:rPr>
        <w:t>、付款方式</w:t>
      </w:r>
    </w:p>
    <w:p>
      <w:pPr>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每完成2个季度废水、废气、噪声监测并出具检测报告后支付合同总</w:t>
      </w:r>
      <w:r>
        <w:rPr>
          <w:rFonts w:hint="default" w:ascii="Times New Roman" w:hAnsi="Times New Roman" w:eastAsia="方正仿宋_GBK" w:cs="Times New Roman"/>
          <w:sz w:val="32"/>
          <w:szCs w:val="32"/>
          <w:lang w:val="en-US" w:eastAsia="zh-CN"/>
        </w:rPr>
        <w:t>金额的</w:t>
      </w:r>
      <w:r>
        <w:rPr>
          <w:rFonts w:hint="eastAsia"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直至完成2年的检测项目</w:t>
      </w:r>
      <w:r>
        <w:rPr>
          <w:rFonts w:hint="default" w:ascii="Times New Roman" w:hAnsi="Times New Roman" w:eastAsia="方正仿宋_GBK" w:cs="Times New Roman"/>
          <w:sz w:val="32"/>
          <w:szCs w:val="32"/>
          <w:lang w:val="en-US" w:eastAsia="zh-CN"/>
        </w:rPr>
        <w:t>。</w:t>
      </w:r>
    </w:p>
    <w:p>
      <w:pPr>
        <w:numPr>
          <w:ilvl w:val="0"/>
          <w:numId w:val="0"/>
        </w:numPr>
        <w:ind w:leftChars="0"/>
        <w:rPr>
          <w:rFonts w:hint="default" w:ascii="Times New Roman" w:hAnsi="Times New Roman" w:eastAsia="方正仿宋_GBK" w:cs="Times New Roman"/>
          <w:b/>
          <w:bCs/>
          <w:color w:val="auto"/>
          <w:sz w:val="32"/>
          <w:szCs w:val="32"/>
        </w:rPr>
      </w:pPr>
    </w:p>
    <w:p>
      <w:pPr>
        <w:widowControl w:val="0"/>
        <w:numPr>
          <w:ilvl w:val="0"/>
          <w:numId w:val="0"/>
        </w:numPr>
        <w:jc w:val="both"/>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总务</w:t>
      </w:r>
      <w:r>
        <w:rPr>
          <w:rFonts w:hint="eastAsia" w:ascii="Times New Roman" w:hAnsi="Times New Roman" w:eastAsia="方正仿宋_GBK" w:cs="Times New Roman"/>
          <w:color w:val="auto"/>
          <w:sz w:val="32"/>
          <w:szCs w:val="32"/>
          <w:lang w:val="en-US" w:eastAsia="zh-CN"/>
        </w:rPr>
        <w:t>部</w:t>
      </w:r>
    </w:p>
    <w:p>
      <w:pPr>
        <w:widowControl w:val="0"/>
        <w:numPr>
          <w:ilvl w:val="0"/>
          <w:numId w:val="0"/>
        </w:numPr>
        <w:jc w:val="both"/>
      </w:pP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2024</w:t>
      </w:r>
      <w:r>
        <w:rPr>
          <w:rFonts w:hint="default" w:ascii="Times New Roman" w:hAnsi="Times New Roman" w:eastAsia="方正仿宋_GBK" w:cs="Times New Roman"/>
          <w:color w:val="auto"/>
          <w:sz w:val="32"/>
          <w:szCs w:val="32"/>
          <w:lang w:val="en-US" w:eastAsia="zh-CN"/>
        </w:rPr>
        <w:t>年</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val="en-US" w:eastAsia="zh-CN"/>
        </w:rPr>
        <w:t>月</w:t>
      </w: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lang w:val="en-US" w:eastAsia="zh-CN"/>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wMGNiMzgxYjRlZGI4Y2ZlNDk2ZDIyNTM0OGNiZTMifQ=="/>
  </w:docVars>
  <w:rsids>
    <w:rsidRoot w:val="00000000"/>
    <w:rsid w:val="02DF5CFE"/>
    <w:rsid w:val="02EF1E8A"/>
    <w:rsid w:val="03724869"/>
    <w:rsid w:val="03732B89"/>
    <w:rsid w:val="04041965"/>
    <w:rsid w:val="047F2D99"/>
    <w:rsid w:val="057B5C57"/>
    <w:rsid w:val="057C3992"/>
    <w:rsid w:val="06293F54"/>
    <w:rsid w:val="06C8716F"/>
    <w:rsid w:val="06F3181D"/>
    <w:rsid w:val="07B92A66"/>
    <w:rsid w:val="07E850FA"/>
    <w:rsid w:val="08BC01D8"/>
    <w:rsid w:val="08D31906"/>
    <w:rsid w:val="08DB6A0C"/>
    <w:rsid w:val="08FB2C0B"/>
    <w:rsid w:val="08FB3561"/>
    <w:rsid w:val="09371E95"/>
    <w:rsid w:val="096560B2"/>
    <w:rsid w:val="0A570314"/>
    <w:rsid w:val="0CE75980"/>
    <w:rsid w:val="0D2275E9"/>
    <w:rsid w:val="0D330BC5"/>
    <w:rsid w:val="0D3A1F15"/>
    <w:rsid w:val="0D6B035F"/>
    <w:rsid w:val="0DC3019B"/>
    <w:rsid w:val="0F933B9D"/>
    <w:rsid w:val="11052878"/>
    <w:rsid w:val="11F03528"/>
    <w:rsid w:val="14CF5677"/>
    <w:rsid w:val="155362A8"/>
    <w:rsid w:val="15B64A89"/>
    <w:rsid w:val="16001475"/>
    <w:rsid w:val="16557DFE"/>
    <w:rsid w:val="16A86180"/>
    <w:rsid w:val="17555BDC"/>
    <w:rsid w:val="182C4B8E"/>
    <w:rsid w:val="18CE3E98"/>
    <w:rsid w:val="18E67433"/>
    <w:rsid w:val="1997506A"/>
    <w:rsid w:val="1A0C4C78"/>
    <w:rsid w:val="1A676352"/>
    <w:rsid w:val="1C273FEB"/>
    <w:rsid w:val="1C746B04"/>
    <w:rsid w:val="1CFE4F47"/>
    <w:rsid w:val="1D8965DF"/>
    <w:rsid w:val="1E57048B"/>
    <w:rsid w:val="1E672823"/>
    <w:rsid w:val="1EB377A5"/>
    <w:rsid w:val="1F1D5A66"/>
    <w:rsid w:val="1FE20207"/>
    <w:rsid w:val="1FEA15B7"/>
    <w:rsid w:val="201A79C2"/>
    <w:rsid w:val="20A756FA"/>
    <w:rsid w:val="20EF0E4F"/>
    <w:rsid w:val="21A734D8"/>
    <w:rsid w:val="21C127EB"/>
    <w:rsid w:val="21E64000"/>
    <w:rsid w:val="224420DA"/>
    <w:rsid w:val="23201794"/>
    <w:rsid w:val="23AC5F39"/>
    <w:rsid w:val="23F8626D"/>
    <w:rsid w:val="243A6885"/>
    <w:rsid w:val="245931AF"/>
    <w:rsid w:val="247E6772"/>
    <w:rsid w:val="26270918"/>
    <w:rsid w:val="27402404"/>
    <w:rsid w:val="277E2C29"/>
    <w:rsid w:val="28A8200F"/>
    <w:rsid w:val="290D4568"/>
    <w:rsid w:val="29477A7A"/>
    <w:rsid w:val="2A070FB7"/>
    <w:rsid w:val="2A866380"/>
    <w:rsid w:val="2C4E2ECE"/>
    <w:rsid w:val="2C974875"/>
    <w:rsid w:val="2D0619FA"/>
    <w:rsid w:val="2D5652BF"/>
    <w:rsid w:val="2E782C9F"/>
    <w:rsid w:val="2E995758"/>
    <w:rsid w:val="2F9037FD"/>
    <w:rsid w:val="2FE75B13"/>
    <w:rsid w:val="30BD0622"/>
    <w:rsid w:val="3172765E"/>
    <w:rsid w:val="31D06C5E"/>
    <w:rsid w:val="31D75713"/>
    <w:rsid w:val="32D832AD"/>
    <w:rsid w:val="32FB68DB"/>
    <w:rsid w:val="330B38C7"/>
    <w:rsid w:val="33244988"/>
    <w:rsid w:val="33C00B55"/>
    <w:rsid w:val="34012F1B"/>
    <w:rsid w:val="358139EC"/>
    <w:rsid w:val="35AD62FE"/>
    <w:rsid w:val="35D02BA5"/>
    <w:rsid w:val="360B74FC"/>
    <w:rsid w:val="37415BB6"/>
    <w:rsid w:val="37787885"/>
    <w:rsid w:val="38507FCD"/>
    <w:rsid w:val="38AC16A8"/>
    <w:rsid w:val="38CE295E"/>
    <w:rsid w:val="39822D68"/>
    <w:rsid w:val="39875C71"/>
    <w:rsid w:val="3A9E14C4"/>
    <w:rsid w:val="3B882144"/>
    <w:rsid w:val="3D335711"/>
    <w:rsid w:val="3D785FFC"/>
    <w:rsid w:val="3EFA75FC"/>
    <w:rsid w:val="3F0062A9"/>
    <w:rsid w:val="3F4A1A10"/>
    <w:rsid w:val="409273D5"/>
    <w:rsid w:val="41FD11C6"/>
    <w:rsid w:val="42935686"/>
    <w:rsid w:val="42FE6FA4"/>
    <w:rsid w:val="433B1FA6"/>
    <w:rsid w:val="44683753"/>
    <w:rsid w:val="44775260"/>
    <w:rsid w:val="449776B0"/>
    <w:rsid w:val="45DB537A"/>
    <w:rsid w:val="47087F18"/>
    <w:rsid w:val="47392CA0"/>
    <w:rsid w:val="47896FED"/>
    <w:rsid w:val="481D7ECC"/>
    <w:rsid w:val="48651873"/>
    <w:rsid w:val="487E46E3"/>
    <w:rsid w:val="48C540C0"/>
    <w:rsid w:val="48D367DD"/>
    <w:rsid w:val="499917D4"/>
    <w:rsid w:val="49F37B4A"/>
    <w:rsid w:val="4A9D70A2"/>
    <w:rsid w:val="4AA04DE4"/>
    <w:rsid w:val="4ABB1C1E"/>
    <w:rsid w:val="4AFD2237"/>
    <w:rsid w:val="4B517E8D"/>
    <w:rsid w:val="4CF17B79"/>
    <w:rsid w:val="4DB36BDD"/>
    <w:rsid w:val="4E1E674C"/>
    <w:rsid w:val="4E3A10AC"/>
    <w:rsid w:val="4E6D047A"/>
    <w:rsid w:val="4EFF657E"/>
    <w:rsid w:val="4F1813ED"/>
    <w:rsid w:val="4FDF015D"/>
    <w:rsid w:val="50011E81"/>
    <w:rsid w:val="5140550D"/>
    <w:rsid w:val="51730B5D"/>
    <w:rsid w:val="5212205B"/>
    <w:rsid w:val="52CB6777"/>
    <w:rsid w:val="532365B3"/>
    <w:rsid w:val="534F1156"/>
    <w:rsid w:val="53A70F92"/>
    <w:rsid w:val="545D5AF4"/>
    <w:rsid w:val="546940A2"/>
    <w:rsid w:val="54F00716"/>
    <w:rsid w:val="55E738C7"/>
    <w:rsid w:val="56BF7DB2"/>
    <w:rsid w:val="56F35418"/>
    <w:rsid w:val="57956D23"/>
    <w:rsid w:val="57B85DB3"/>
    <w:rsid w:val="58983276"/>
    <w:rsid w:val="596D4740"/>
    <w:rsid w:val="59EF71EF"/>
    <w:rsid w:val="5A251E19"/>
    <w:rsid w:val="5AA24261"/>
    <w:rsid w:val="5AD3266C"/>
    <w:rsid w:val="5B6163B0"/>
    <w:rsid w:val="5B77749C"/>
    <w:rsid w:val="5B7A6F8C"/>
    <w:rsid w:val="5BCF72D8"/>
    <w:rsid w:val="5C0F576D"/>
    <w:rsid w:val="5C2018E1"/>
    <w:rsid w:val="5C25514A"/>
    <w:rsid w:val="5CEB0141"/>
    <w:rsid w:val="5D0E2082"/>
    <w:rsid w:val="5F0251DF"/>
    <w:rsid w:val="5FC15189"/>
    <w:rsid w:val="60196D73"/>
    <w:rsid w:val="602B6AA7"/>
    <w:rsid w:val="60B92304"/>
    <w:rsid w:val="60E6782A"/>
    <w:rsid w:val="61534507"/>
    <w:rsid w:val="617D3332"/>
    <w:rsid w:val="618E5AB0"/>
    <w:rsid w:val="61A94127"/>
    <w:rsid w:val="61DE0D61"/>
    <w:rsid w:val="635F53E5"/>
    <w:rsid w:val="638E7A78"/>
    <w:rsid w:val="63A252D2"/>
    <w:rsid w:val="63E36016"/>
    <w:rsid w:val="640B2E77"/>
    <w:rsid w:val="645422D8"/>
    <w:rsid w:val="65261E46"/>
    <w:rsid w:val="65AE61B0"/>
    <w:rsid w:val="65E16585"/>
    <w:rsid w:val="66B94E0C"/>
    <w:rsid w:val="66BC48FC"/>
    <w:rsid w:val="66D24120"/>
    <w:rsid w:val="66DB4D83"/>
    <w:rsid w:val="673821D5"/>
    <w:rsid w:val="68040309"/>
    <w:rsid w:val="68B24209"/>
    <w:rsid w:val="6968677A"/>
    <w:rsid w:val="6A507835"/>
    <w:rsid w:val="6A696B49"/>
    <w:rsid w:val="6D4A4A10"/>
    <w:rsid w:val="6D605FE2"/>
    <w:rsid w:val="6EF2535F"/>
    <w:rsid w:val="6EFA4214"/>
    <w:rsid w:val="6F3465E9"/>
    <w:rsid w:val="6F5E7549"/>
    <w:rsid w:val="6FD9207B"/>
    <w:rsid w:val="70433998"/>
    <w:rsid w:val="717E112C"/>
    <w:rsid w:val="72487D61"/>
    <w:rsid w:val="727E1CA6"/>
    <w:rsid w:val="72DB610A"/>
    <w:rsid w:val="746C1710"/>
    <w:rsid w:val="749F4654"/>
    <w:rsid w:val="75114065"/>
    <w:rsid w:val="75910817"/>
    <w:rsid w:val="75931266"/>
    <w:rsid w:val="75F96FD3"/>
    <w:rsid w:val="7621652A"/>
    <w:rsid w:val="762B15A6"/>
    <w:rsid w:val="76A21419"/>
    <w:rsid w:val="76C92E49"/>
    <w:rsid w:val="76F757FF"/>
    <w:rsid w:val="771A5453"/>
    <w:rsid w:val="779525FD"/>
    <w:rsid w:val="78A551F0"/>
    <w:rsid w:val="78C57641"/>
    <w:rsid w:val="79607369"/>
    <w:rsid w:val="7A2860D9"/>
    <w:rsid w:val="7A2F0AA5"/>
    <w:rsid w:val="7A94551C"/>
    <w:rsid w:val="7AF661D7"/>
    <w:rsid w:val="7B242D44"/>
    <w:rsid w:val="7BD304F3"/>
    <w:rsid w:val="7C38637B"/>
    <w:rsid w:val="7C6F6241"/>
    <w:rsid w:val="7EE811AC"/>
    <w:rsid w:val="7F2C1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01"/>
    <w:basedOn w:val="6"/>
    <w:autoRedefine/>
    <w:qFormat/>
    <w:uiPriority w:val="0"/>
    <w:rPr>
      <w:rFonts w:hint="eastAsia" w:ascii="宋体" w:hAnsi="宋体" w:eastAsia="宋体" w:cs="宋体"/>
      <w:color w:val="000000"/>
      <w:sz w:val="22"/>
      <w:szCs w:val="22"/>
      <w:u w:val="none"/>
    </w:rPr>
  </w:style>
  <w:style w:type="character" w:customStyle="1" w:styleId="8">
    <w:name w:val="font21"/>
    <w:basedOn w:val="6"/>
    <w:autoRedefine/>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599</Words>
  <Characters>638</Characters>
  <Lines>0</Lines>
  <Paragraphs>0</Paragraphs>
  <TotalTime>10</TotalTime>
  <ScaleCrop>false</ScaleCrop>
  <LinksUpToDate>false</LinksUpToDate>
  <CharactersWithSpaces>705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2020-07-18T05:01:00Z</dcterms:created>
  <dc:creator>Administrator</dc:creator>
  <cp:lastModifiedBy>南宫逍遥</cp:lastModifiedBy>
  <cp:lastPrinted>2024-02-04T03:18:20Z</cp:lastPrinted>
  <dcterms:modified xsi:type="dcterms:W3CDTF">2024-02-04T03:18:53Z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5E4B8F568CA14FA5AB1882C379EB1A96_13</vt:lpwstr>
  </property>
</Properties>
</file>